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76B30D3" w14:textId="77777777" w:rsidR="006F2877" w:rsidRPr="00971D83" w:rsidRDefault="006F2877" w:rsidP="00971D83">
      <w:pPr>
        <w:tabs>
          <w:tab w:val="decimal" w:pos="9638"/>
        </w:tabs>
        <w:rPr>
          <w:rFonts w:eastAsia="Calibri"/>
          <w:b/>
          <w:sz w:val="16"/>
          <w:szCs w:val="16"/>
          <w:lang w:eastAsia="en-US"/>
        </w:rPr>
      </w:pPr>
      <w:bookmarkStart w:id="0" w:name="_GoBack"/>
      <w:bookmarkEnd w:id="0"/>
    </w:p>
    <w:p w14:paraId="163D03B1" w14:textId="77777777" w:rsidR="00C412A6" w:rsidRPr="00C412A6" w:rsidRDefault="00BF3AAB" w:rsidP="00C412A6">
      <w:pPr>
        <w:jc w:val="center"/>
        <w:rPr>
          <w:rFonts w:eastAsia="Calibri"/>
          <w:b/>
          <w:lang w:eastAsia="en-US"/>
        </w:rPr>
      </w:pPr>
      <w:r>
        <w:rPr>
          <w:rFonts w:eastAsia="Calibri"/>
          <w:b/>
          <w:lang w:eastAsia="en-US"/>
        </w:rPr>
        <w:t>201</w:t>
      </w:r>
      <w:r w:rsidR="009B753F">
        <w:rPr>
          <w:rFonts w:eastAsia="Calibri"/>
          <w:b/>
          <w:lang w:eastAsia="en-US"/>
        </w:rPr>
        <w:t>9</w:t>
      </w:r>
      <w:r w:rsidR="00C412A6" w:rsidRPr="00C412A6">
        <w:rPr>
          <w:rFonts w:eastAsia="Calibri"/>
          <w:b/>
          <w:lang w:eastAsia="en-US"/>
        </w:rPr>
        <w:t xml:space="preserve"> M. TEISINIO REGULIAVIMO STEBĖSENOS ATASKAITA</w:t>
      </w:r>
    </w:p>
    <w:p w14:paraId="3DC36C80" w14:textId="77777777" w:rsidR="00195716" w:rsidRPr="00C412A6" w:rsidRDefault="00195716" w:rsidP="009B70C9">
      <w:pPr>
        <w:suppressAutoHyphens w:val="0"/>
        <w:spacing w:after="160" w:line="259" w:lineRule="auto"/>
        <w:rPr>
          <w:rFonts w:eastAsia="Calibri"/>
          <w:b/>
          <w:lang w:eastAsia="en-US"/>
        </w:rPr>
      </w:pPr>
    </w:p>
    <w:p w14:paraId="0D26441E" w14:textId="77777777" w:rsidR="00C412A6" w:rsidRPr="00B0138B" w:rsidRDefault="00C412A6" w:rsidP="00195716">
      <w:pPr>
        <w:suppressAutoHyphens w:val="0"/>
        <w:spacing w:after="160" w:line="259" w:lineRule="auto"/>
        <w:ind w:firstLine="851"/>
        <w:jc w:val="both"/>
        <w:rPr>
          <w:rFonts w:eastAsia="Calibri"/>
          <w:b/>
          <w:lang w:eastAsia="en-US"/>
        </w:rPr>
      </w:pPr>
      <w:r w:rsidRPr="00B0138B">
        <w:rPr>
          <w:rFonts w:eastAsia="Calibri"/>
          <w:b/>
          <w:lang w:eastAsia="en-US"/>
        </w:rPr>
        <w:t>1. Teisinio reguliavimo stebėsenos teisinis reglamentavimas</w:t>
      </w:r>
    </w:p>
    <w:p w14:paraId="100FEFAB" w14:textId="77777777" w:rsidR="00C412A6" w:rsidRPr="00B0138B" w:rsidRDefault="00C412A6" w:rsidP="00C412A6">
      <w:pPr>
        <w:suppressAutoHyphens w:val="0"/>
        <w:spacing w:line="360" w:lineRule="auto"/>
        <w:ind w:firstLine="851"/>
        <w:jc w:val="both"/>
        <w:rPr>
          <w:rFonts w:eastAsia="Calibri"/>
          <w:bCs/>
          <w:lang w:eastAsia="en-US"/>
        </w:rPr>
      </w:pPr>
      <w:r w:rsidRPr="00B0138B">
        <w:rPr>
          <w:rFonts w:eastAsia="Calibri"/>
          <w:lang w:eastAsia="en-US"/>
        </w:rPr>
        <w:t xml:space="preserve">Vadovaujantis nuo 2014 m. sausio 1 d. įsigaliojusio Lietuvos Respublikos teisėkūros pagrindų įstatymo 23 straipsnio 1 dalimi, </w:t>
      </w:r>
      <w:r w:rsidRPr="00B0138B">
        <w:rPr>
          <w:rFonts w:eastAsia="Calibri"/>
          <w:bCs/>
          <w:lang w:eastAsia="en-US"/>
        </w:rPr>
        <w:t xml:space="preserve">atliekant teisinio reguliavimo stebėseną, vertinamas teisės aktuose nustatytų teisinio reguliavimo priemonių efektyvumas siekiant teisinio reguliavimo tikslų, teisinio reguliavimo teigiamas poveikis ir neigiamos pasekmės reguliuojamai sričiai ir kitoms sritims, asmenims ar jų grupėms, tiesioginė ir netiesioginė teisinio reguliavimo nauda bei šios naudos gavėjai, teisinio reguliavimo pasekmių atitiktis nustatant teisinį reguliavimą planuotiems tikslams ir pasekmėms, taip pat reikalingumas keisti teisinį reguliavimą ar jo atsisakyti. </w:t>
      </w:r>
    </w:p>
    <w:p w14:paraId="4E6A3283" w14:textId="77777777" w:rsidR="00C412A6" w:rsidRDefault="00C412A6" w:rsidP="003C76EB">
      <w:pPr>
        <w:suppressAutoHyphens w:val="0"/>
        <w:spacing w:line="360" w:lineRule="auto"/>
        <w:ind w:firstLine="851"/>
        <w:jc w:val="both"/>
        <w:rPr>
          <w:rFonts w:eastAsia="Calibri"/>
          <w:bCs/>
          <w:lang w:eastAsia="en-US"/>
        </w:rPr>
      </w:pPr>
      <w:r w:rsidRPr="00B0138B">
        <w:rPr>
          <w:rFonts w:eastAsia="Calibri"/>
          <w:bCs/>
          <w:lang w:eastAsia="en-US"/>
        </w:rPr>
        <w:t xml:space="preserve">Teisinio reguliavimo stebėsenos atlikimo tvarką nustato </w:t>
      </w:r>
      <w:r w:rsidR="009415E7">
        <w:rPr>
          <w:rFonts w:eastAsia="Calibri"/>
          <w:bCs/>
          <w:lang w:eastAsia="en-US"/>
        </w:rPr>
        <w:t>T</w:t>
      </w:r>
      <w:r w:rsidRPr="00B0138B">
        <w:rPr>
          <w:rFonts w:eastAsia="Calibri"/>
          <w:bCs/>
          <w:lang w:eastAsia="en-US"/>
        </w:rPr>
        <w:t xml:space="preserve">eisėkūros pagrindų įstatymas ir Teisinio reguliavimo stebėsenos atlikimo tvarkos aprašas, patvirtintas teisingumo ministro 2013 m. gegužės 8 d.  įsakymu Nr. 1R-142 ,,Dėl </w:t>
      </w:r>
      <w:r w:rsidR="00B57588">
        <w:rPr>
          <w:rFonts w:eastAsia="Calibri"/>
          <w:bCs/>
          <w:lang w:eastAsia="en-US"/>
        </w:rPr>
        <w:t>T</w:t>
      </w:r>
      <w:r w:rsidRPr="00B0138B">
        <w:rPr>
          <w:rFonts w:eastAsia="Calibri"/>
          <w:bCs/>
          <w:lang w:eastAsia="en-US"/>
        </w:rPr>
        <w:t xml:space="preserve">eisinio reguliavimo stebėsenos tvarkos aprašo ir </w:t>
      </w:r>
      <w:r w:rsidR="00B57588">
        <w:rPr>
          <w:rFonts w:eastAsia="Calibri"/>
          <w:bCs/>
          <w:lang w:eastAsia="en-US"/>
        </w:rPr>
        <w:t>T</w:t>
      </w:r>
      <w:r w:rsidRPr="00B0138B">
        <w:rPr>
          <w:rFonts w:eastAsia="Calibri"/>
          <w:bCs/>
          <w:lang w:eastAsia="en-US"/>
        </w:rPr>
        <w:t xml:space="preserve">eisinio reguliavimo stebėsenos formos patvirtinimo“ (toliau – Stebėsenos atlikimo tvarkos aprašas). Teisinio reguliavimo stebėsena atliekama </w:t>
      </w:r>
      <w:r w:rsidRPr="00B0138B">
        <w:rPr>
          <w:rFonts w:eastAsia="Calibri"/>
          <w:b/>
          <w:bCs/>
          <w:i/>
          <w:lang w:eastAsia="en-US"/>
        </w:rPr>
        <w:t>pagal planą</w:t>
      </w:r>
      <w:r w:rsidRPr="00B0138B">
        <w:rPr>
          <w:rFonts w:eastAsia="Calibri"/>
          <w:bCs/>
          <w:lang w:eastAsia="en-US"/>
        </w:rPr>
        <w:t xml:space="preserve">, kurį parengia ir patvirtina teisinio reguliavimo stebėseną atliekantys subjektai. Patvirtintas teisinio reguliavimo stebėsenos </w:t>
      </w:r>
      <w:r w:rsidRPr="00B0138B">
        <w:rPr>
          <w:rFonts w:eastAsia="Calibri"/>
          <w:b/>
          <w:bCs/>
          <w:i/>
          <w:lang w:eastAsia="en-US"/>
        </w:rPr>
        <w:t>planas skelbiamas teisinio reguliavimo stebėseną atliekančio subjekto interneto svetainėje</w:t>
      </w:r>
      <w:r w:rsidR="00D46490">
        <w:rPr>
          <w:rFonts w:eastAsia="Calibri"/>
          <w:b/>
          <w:bCs/>
          <w:i/>
          <w:lang w:eastAsia="en-US"/>
        </w:rPr>
        <w:t xml:space="preserve"> </w:t>
      </w:r>
      <w:r w:rsidRPr="00B0138B">
        <w:rPr>
          <w:rFonts w:eastAsia="Calibri"/>
          <w:b/>
          <w:bCs/>
          <w:i/>
          <w:lang w:eastAsia="en-US"/>
        </w:rPr>
        <w:t xml:space="preserve">ir apie šio plano patvirtinimą pranešama Lietuvos Respublikos teisingumo ministerijai </w:t>
      </w:r>
      <w:r w:rsidRPr="00B0138B">
        <w:rPr>
          <w:rFonts w:eastAsia="Calibri"/>
          <w:bCs/>
          <w:lang w:eastAsia="en-US"/>
        </w:rPr>
        <w:t xml:space="preserve">(toliau – Teisingumo ministerija). Per vieną mėnesį nuo teisinio reguliavimo stebėsenos termino pabaigos teisinio reguliavimo stebėseną atlikęs subjektas turi parengti </w:t>
      </w:r>
      <w:r w:rsidRPr="00B0138B">
        <w:rPr>
          <w:rFonts w:eastAsia="Calibri"/>
          <w:b/>
          <w:bCs/>
          <w:i/>
          <w:lang w:eastAsia="en-US"/>
        </w:rPr>
        <w:t>teisinio reguliavimo stebėsenos pažymą</w:t>
      </w:r>
      <w:r w:rsidRPr="00B0138B">
        <w:rPr>
          <w:rFonts w:eastAsia="Calibri"/>
          <w:bCs/>
          <w:lang w:eastAsia="en-US"/>
        </w:rPr>
        <w:t xml:space="preserve">, kurioje turi išdėstyti teisinio reguliavimo stebėsenos rezultatus, kartu įvertindamas asmenų pateiktus pasiūlymus dėl teisinio reguliavimo, kurio stebėsena atliekama, ir reikalingumą keisti tokį teisinį reguliavimą. Šią pažymą teisinio reguliavimo stebėseną atlikęs subjektas turi paskelbti savo interneto svetainėje, Teisės aktų informacinėje sistemoje ir pateikti Teisingumo ministerijai. </w:t>
      </w:r>
    </w:p>
    <w:p w14:paraId="5B2098B1" w14:textId="77777777" w:rsidR="003C76EB" w:rsidRPr="00C412A6" w:rsidRDefault="003C76EB" w:rsidP="003C76EB">
      <w:pPr>
        <w:suppressAutoHyphens w:val="0"/>
        <w:spacing w:line="360" w:lineRule="auto"/>
        <w:ind w:firstLine="851"/>
        <w:jc w:val="both"/>
        <w:rPr>
          <w:rFonts w:eastAsia="Calibri"/>
          <w:bCs/>
          <w:lang w:eastAsia="en-US"/>
        </w:rPr>
      </w:pPr>
    </w:p>
    <w:p w14:paraId="0C8E949F" w14:textId="77777777" w:rsidR="00C412A6" w:rsidRPr="00C412A6" w:rsidRDefault="002A2E0F" w:rsidP="00195716">
      <w:pPr>
        <w:suppressAutoHyphens w:val="0"/>
        <w:spacing w:line="360" w:lineRule="auto"/>
        <w:ind w:firstLine="851"/>
        <w:jc w:val="both"/>
        <w:rPr>
          <w:rFonts w:eastAsia="Calibri"/>
          <w:b/>
          <w:bCs/>
          <w:lang w:eastAsia="en-US"/>
        </w:rPr>
      </w:pPr>
      <w:r>
        <w:rPr>
          <w:rFonts w:eastAsia="Calibri"/>
          <w:b/>
          <w:bCs/>
          <w:lang w:eastAsia="en-US"/>
        </w:rPr>
        <w:t>2. 2019</w:t>
      </w:r>
      <w:r w:rsidR="00C412A6" w:rsidRPr="00C412A6">
        <w:rPr>
          <w:rFonts w:eastAsia="Calibri"/>
          <w:b/>
          <w:bCs/>
          <w:lang w:eastAsia="en-US"/>
        </w:rPr>
        <w:t xml:space="preserve"> m. atliktos teisinio reguliavimo stebėsenos apžvalga</w:t>
      </w:r>
    </w:p>
    <w:p w14:paraId="54E854D4" w14:textId="1097B345" w:rsidR="00C412A6" w:rsidRPr="00C412A6" w:rsidRDefault="00CD77C7" w:rsidP="00C412A6">
      <w:pPr>
        <w:suppressAutoHyphens w:val="0"/>
        <w:spacing w:line="360" w:lineRule="auto"/>
        <w:ind w:firstLine="851"/>
        <w:jc w:val="both"/>
        <w:rPr>
          <w:rFonts w:eastAsia="Calibri"/>
          <w:bCs/>
          <w:lang w:eastAsia="en-US"/>
        </w:rPr>
      </w:pPr>
      <w:r>
        <w:rPr>
          <w:rFonts w:eastAsia="Calibri"/>
          <w:bCs/>
          <w:lang w:eastAsia="en-US"/>
        </w:rPr>
        <w:t>2019</w:t>
      </w:r>
      <w:r w:rsidR="00742109">
        <w:rPr>
          <w:rFonts w:eastAsia="Calibri"/>
          <w:bCs/>
          <w:lang w:eastAsia="en-US"/>
        </w:rPr>
        <w:t xml:space="preserve"> metais</w:t>
      </w:r>
      <w:r w:rsidR="00D80F8D">
        <w:rPr>
          <w:rFonts w:eastAsia="Calibri"/>
          <w:bCs/>
          <w:lang w:eastAsia="en-US"/>
        </w:rPr>
        <w:t>, remiantis Teisingumo ministerijai pateiktais duomenimis,</w:t>
      </w:r>
      <w:r w:rsidR="00742109">
        <w:rPr>
          <w:rFonts w:eastAsia="Calibri"/>
          <w:bCs/>
          <w:lang w:eastAsia="en-US"/>
        </w:rPr>
        <w:t xml:space="preserve"> buvo a</w:t>
      </w:r>
      <w:r>
        <w:rPr>
          <w:rFonts w:eastAsia="Calibri"/>
          <w:bCs/>
          <w:lang w:eastAsia="en-US"/>
        </w:rPr>
        <w:t xml:space="preserve">tlikta </w:t>
      </w:r>
      <w:r w:rsidR="009D0BE4">
        <w:rPr>
          <w:rFonts w:eastAsia="Calibri"/>
          <w:bCs/>
          <w:lang w:eastAsia="en-US"/>
        </w:rPr>
        <w:t>4</w:t>
      </w:r>
      <w:r w:rsidR="00C412A6" w:rsidRPr="00C412A6">
        <w:rPr>
          <w:rFonts w:eastAsia="Calibri"/>
          <w:bCs/>
          <w:lang w:eastAsia="en-US"/>
        </w:rPr>
        <w:t xml:space="preserve"> sričių teisinio r</w:t>
      </w:r>
      <w:r w:rsidR="00793BB7">
        <w:rPr>
          <w:rFonts w:eastAsia="Calibri"/>
          <w:bCs/>
          <w:lang w:eastAsia="en-US"/>
        </w:rPr>
        <w:t xml:space="preserve">eguliavimo stebėsena, </w:t>
      </w:r>
      <w:r>
        <w:rPr>
          <w:rFonts w:eastAsia="Calibri"/>
          <w:bCs/>
          <w:lang w:eastAsia="en-US"/>
        </w:rPr>
        <w:t xml:space="preserve">stebint </w:t>
      </w:r>
      <w:r w:rsidR="00F90D0D">
        <w:rPr>
          <w:rFonts w:eastAsia="Calibri"/>
          <w:bCs/>
          <w:lang w:eastAsia="en-US"/>
        </w:rPr>
        <w:t>5</w:t>
      </w:r>
      <w:r w:rsidR="00C412A6" w:rsidRPr="00452A75">
        <w:rPr>
          <w:rFonts w:eastAsia="Calibri"/>
          <w:bCs/>
          <w:lang w:eastAsia="en-US"/>
        </w:rPr>
        <w:t xml:space="preserve"> teisės akt</w:t>
      </w:r>
      <w:r w:rsidR="00793BB7" w:rsidRPr="00452A75">
        <w:rPr>
          <w:rFonts w:eastAsia="Calibri"/>
          <w:bCs/>
          <w:lang w:eastAsia="en-US"/>
        </w:rPr>
        <w:t>ų</w:t>
      </w:r>
      <w:r>
        <w:rPr>
          <w:rFonts w:eastAsia="Calibri"/>
          <w:bCs/>
          <w:lang w:eastAsia="en-US"/>
        </w:rPr>
        <w:t xml:space="preserve"> </w:t>
      </w:r>
      <w:r w:rsidR="00D80F8D">
        <w:rPr>
          <w:rFonts w:eastAsia="Calibri"/>
          <w:bCs/>
          <w:lang w:eastAsia="en-US"/>
        </w:rPr>
        <w:t xml:space="preserve"> </w:t>
      </w:r>
      <w:r w:rsidR="00C412A6" w:rsidRPr="00452A75">
        <w:rPr>
          <w:rFonts w:eastAsia="Calibri"/>
          <w:bCs/>
          <w:lang w:eastAsia="en-US"/>
        </w:rPr>
        <w:t>teisinį reglamentavimą</w:t>
      </w:r>
      <w:r w:rsidR="00F90D0D">
        <w:rPr>
          <w:rFonts w:eastAsia="Calibri"/>
          <w:bCs/>
          <w:lang w:eastAsia="en-US"/>
        </w:rPr>
        <w:t xml:space="preserve"> – 4 įstatymų ir 1 įsakymo</w:t>
      </w:r>
      <w:r w:rsidR="00867EE7">
        <w:rPr>
          <w:rFonts w:eastAsia="Calibri"/>
          <w:bCs/>
          <w:lang w:eastAsia="en-US"/>
        </w:rPr>
        <w:t xml:space="preserve">. </w:t>
      </w:r>
      <w:r w:rsidR="00C412A6" w:rsidRPr="00C412A6">
        <w:rPr>
          <w:rFonts w:eastAsia="Calibri"/>
          <w:bCs/>
          <w:lang w:eastAsia="en-US"/>
        </w:rPr>
        <w:t>Tei</w:t>
      </w:r>
      <w:r>
        <w:rPr>
          <w:rFonts w:eastAsia="Calibri"/>
          <w:bCs/>
          <w:lang w:eastAsia="en-US"/>
        </w:rPr>
        <w:t>sinio reguliavimo stebėseną 2019</w:t>
      </w:r>
      <w:r w:rsidR="00621606">
        <w:rPr>
          <w:rFonts w:eastAsia="Calibri"/>
          <w:bCs/>
          <w:lang w:eastAsia="en-US"/>
        </w:rPr>
        <w:t xml:space="preserve"> metais atliko </w:t>
      </w:r>
      <w:r>
        <w:rPr>
          <w:rFonts w:eastAsia="Calibri"/>
          <w:bCs/>
          <w:lang w:eastAsia="en-US"/>
        </w:rPr>
        <w:t xml:space="preserve">2 ministerijos ir 1 kita </w:t>
      </w:r>
      <w:r w:rsidR="00C412A6" w:rsidRPr="00C412A6">
        <w:rPr>
          <w:rFonts w:eastAsia="Calibri"/>
          <w:bCs/>
          <w:lang w:eastAsia="en-US"/>
        </w:rPr>
        <w:t>į</w:t>
      </w:r>
      <w:r w:rsidR="00867EE7">
        <w:rPr>
          <w:rFonts w:eastAsia="Calibri"/>
          <w:bCs/>
          <w:lang w:eastAsia="en-US"/>
        </w:rPr>
        <w:t>staig</w:t>
      </w:r>
      <w:r>
        <w:rPr>
          <w:rFonts w:eastAsia="Calibri"/>
          <w:bCs/>
          <w:lang w:eastAsia="en-US"/>
        </w:rPr>
        <w:t>a</w:t>
      </w:r>
      <w:r w:rsidR="00867EE7">
        <w:rPr>
          <w:rFonts w:eastAsia="Calibri"/>
          <w:bCs/>
          <w:lang w:eastAsia="en-US"/>
        </w:rPr>
        <w:t xml:space="preserve">: </w:t>
      </w:r>
      <w:r>
        <w:rPr>
          <w:rFonts w:eastAsia="Calibri"/>
          <w:bCs/>
          <w:lang w:eastAsia="en-US"/>
        </w:rPr>
        <w:t>Lietuvos Respublikos finansų ministerija (1</w:t>
      </w:r>
      <w:r w:rsidR="00867EE7">
        <w:rPr>
          <w:rFonts w:eastAsia="Calibri"/>
          <w:bCs/>
          <w:lang w:eastAsia="en-US"/>
        </w:rPr>
        <w:t xml:space="preserve"> teisės akt</w:t>
      </w:r>
      <w:r>
        <w:rPr>
          <w:rFonts w:eastAsia="Calibri"/>
          <w:bCs/>
          <w:lang w:eastAsia="en-US"/>
        </w:rPr>
        <w:t>o</w:t>
      </w:r>
      <w:r w:rsidR="00C412A6" w:rsidRPr="00C412A6">
        <w:rPr>
          <w:rFonts w:eastAsia="Calibri"/>
          <w:bCs/>
          <w:lang w:eastAsia="en-US"/>
        </w:rPr>
        <w:t>),</w:t>
      </w:r>
      <w:r w:rsidR="00E80408" w:rsidRPr="00E80408">
        <w:rPr>
          <w:rFonts w:eastAsia="Calibri"/>
          <w:bCs/>
          <w:lang w:eastAsia="en-US"/>
        </w:rPr>
        <w:t xml:space="preserve"> </w:t>
      </w:r>
      <w:r w:rsidRPr="00CD77C7">
        <w:rPr>
          <w:rFonts w:eastAsia="Calibri"/>
          <w:bCs/>
          <w:lang w:eastAsia="en-US"/>
        </w:rPr>
        <w:t xml:space="preserve">Lietuvos Respublikos </w:t>
      </w:r>
      <w:r>
        <w:rPr>
          <w:rFonts w:eastAsia="Calibri"/>
          <w:bCs/>
          <w:lang w:eastAsia="en-US"/>
        </w:rPr>
        <w:t>k</w:t>
      </w:r>
      <w:r w:rsidR="00242503">
        <w:rPr>
          <w:rFonts w:eastAsia="Calibri"/>
          <w:bCs/>
          <w:lang w:eastAsia="en-US"/>
        </w:rPr>
        <w:t>rašto</w:t>
      </w:r>
      <w:r w:rsidR="00D26314">
        <w:rPr>
          <w:rFonts w:eastAsia="Calibri"/>
          <w:bCs/>
          <w:lang w:eastAsia="en-US"/>
        </w:rPr>
        <w:t xml:space="preserve"> apsaugos ministerija (1 teisės akto</w:t>
      </w:r>
      <w:r w:rsidR="00242503">
        <w:rPr>
          <w:rFonts w:eastAsia="Calibri"/>
          <w:bCs/>
          <w:lang w:eastAsia="en-US"/>
        </w:rPr>
        <w:t xml:space="preserve">), </w:t>
      </w:r>
      <w:r w:rsidR="00C412A6" w:rsidRPr="00C412A6">
        <w:rPr>
          <w:rFonts w:eastAsia="Calibri"/>
          <w:bCs/>
          <w:lang w:eastAsia="en-US"/>
        </w:rPr>
        <w:t>Valstybinė teritorijų planavimo ir statybos inspekci</w:t>
      </w:r>
      <w:r>
        <w:rPr>
          <w:rFonts w:eastAsia="Calibri"/>
          <w:bCs/>
          <w:lang w:eastAsia="en-US"/>
        </w:rPr>
        <w:t>ja prie Aplinkos ministerijos (</w:t>
      </w:r>
      <w:r w:rsidR="00F90D0D">
        <w:rPr>
          <w:rFonts w:eastAsia="Calibri"/>
          <w:bCs/>
          <w:lang w:eastAsia="en-US"/>
        </w:rPr>
        <w:t>3</w:t>
      </w:r>
      <w:r>
        <w:rPr>
          <w:rFonts w:eastAsia="Calibri"/>
          <w:bCs/>
          <w:lang w:eastAsia="en-US"/>
        </w:rPr>
        <w:t xml:space="preserve"> teisės aktų)</w:t>
      </w:r>
      <w:r w:rsidR="00D26314">
        <w:rPr>
          <w:rFonts w:eastAsia="Calibri"/>
          <w:bCs/>
          <w:lang w:eastAsia="en-US"/>
        </w:rPr>
        <w:t xml:space="preserve">. </w:t>
      </w:r>
      <w:r w:rsidR="009B753F">
        <w:rPr>
          <w:rFonts w:eastAsia="Calibri"/>
          <w:bCs/>
          <w:lang w:eastAsia="en-US"/>
        </w:rPr>
        <w:t xml:space="preserve">Kartu </w:t>
      </w:r>
      <w:r w:rsidR="00D26314">
        <w:rPr>
          <w:rFonts w:eastAsia="Calibri"/>
          <w:bCs/>
          <w:lang w:eastAsia="en-US"/>
        </w:rPr>
        <w:t xml:space="preserve">reikėtų pastebėti, kad </w:t>
      </w:r>
      <w:r w:rsidR="00AF3FEE">
        <w:rPr>
          <w:rFonts w:eastAsia="Calibri"/>
          <w:bCs/>
          <w:lang w:eastAsia="en-US"/>
        </w:rPr>
        <w:t>Finansų ministerija</w:t>
      </w:r>
      <w:r w:rsidR="00D26314">
        <w:rPr>
          <w:rFonts w:eastAsia="Calibri"/>
          <w:bCs/>
          <w:lang w:eastAsia="en-US"/>
        </w:rPr>
        <w:t xml:space="preserve"> teisinio reguliavimo stebėsenos plan</w:t>
      </w:r>
      <w:r w:rsidR="00AF3FEE">
        <w:rPr>
          <w:rFonts w:eastAsia="Calibri"/>
          <w:bCs/>
          <w:lang w:eastAsia="en-US"/>
        </w:rPr>
        <w:t xml:space="preserve">e </w:t>
      </w:r>
      <w:r w:rsidR="00CA3FC1" w:rsidRPr="008C61C7">
        <w:rPr>
          <w:rFonts w:eastAsia="Calibri"/>
          <w:bCs/>
          <w:lang w:eastAsia="en-US"/>
        </w:rPr>
        <w:t xml:space="preserve">yra </w:t>
      </w:r>
      <w:r w:rsidR="008C61C7">
        <w:rPr>
          <w:rFonts w:eastAsia="Calibri"/>
          <w:bCs/>
          <w:lang w:eastAsia="en-US"/>
        </w:rPr>
        <w:t xml:space="preserve">suplanavusi </w:t>
      </w:r>
      <w:r w:rsidR="00CA3FC1" w:rsidRPr="008C61C7">
        <w:rPr>
          <w:rFonts w:eastAsia="Calibri"/>
          <w:bCs/>
          <w:lang w:eastAsia="en-US"/>
        </w:rPr>
        <w:t>dar vieno teisės akto stebėseną, tačiau</w:t>
      </w:r>
      <w:r w:rsidR="00CA3FC1">
        <w:rPr>
          <w:rFonts w:eastAsia="Calibri"/>
          <w:bCs/>
          <w:lang w:eastAsia="en-US"/>
        </w:rPr>
        <w:t xml:space="preserve"> </w:t>
      </w:r>
      <w:r w:rsidR="008C61C7">
        <w:rPr>
          <w:rFonts w:eastAsia="Calibri"/>
          <w:bCs/>
          <w:lang w:eastAsia="en-US"/>
        </w:rPr>
        <w:t xml:space="preserve">dėl jo </w:t>
      </w:r>
      <w:r w:rsidR="00AF3FEE">
        <w:rPr>
          <w:rFonts w:eastAsia="Calibri"/>
          <w:bCs/>
          <w:lang w:eastAsia="en-US"/>
        </w:rPr>
        <w:t xml:space="preserve">numato pratęsti numatytą stebėsenos </w:t>
      </w:r>
      <w:r w:rsidR="00AF3FEE">
        <w:rPr>
          <w:rFonts w:eastAsia="Calibri"/>
          <w:bCs/>
          <w:lang w:eastAsia="en-US"/>
        </w:rPr>
        <w:lastRenderedPageBreak/>
        <w:t>terminą</w:t>
      </w:r>
      <w:r w:rsidR="00D26314">
        <w:rPr>
          <w:rFonts w:eastAsia="Calibri"/>
          <w:bCs/>
          <w:lang w:eastAsia="en-US"/>
        </w:rPr>
        <w:t xml:space="preserve">, todėl </w:t>
      </w:r>
      <w:r w:rsidR="00CA3FC1">
        <w:rPr>
          <w:rFonts w:eastAsia="Calibri"/>
          <w:bCs/>
          <w:lang w:eastAsia="en-US"/>
        </w:rPr>
        <w:t xml:space="preserve">šio teisės akto </w:t>
      </w:r>
      <w:r w:rsidR="00D26314">
        <w:rPr>
          <w:rFonts w:eastAsia="Calibri"/>
          <w:bCs/>
          <w:lang w:eastAsia="en-US"/>
        </w:rPr>
        <w:t>teisinio reguliavimo stebėsenos rezultat</w:t>
      </w:r>
      <w:r w:rsidR="00CA3FC1">
        <w:rPr>
          <w:rFonts w:eastAsia="Calibri"/>
          <w:bCs/>
          <w:lang w:eastAsia="en-US"/>
        </w:rPr>
        <w:t>a</w:t>
      </w:r>
      <w:r w:rsidR="008C61C7">
        <w:rPr>
          <w:rFonts w:eastAsia="Calibri"/>
          <w:bCs/>
          <w:lang w:eastAsia="en-US"/>
        </w:rPr>
        <w:t xml:space="preserve">i </w:t>
      </w:r>
      <w:r w:rsidR="007B2B33">
        <w:rPr>
          <w:rFonts w:eastAsia="Calibri"/>
          <w:bCs/>
          <w:lang w:eastAsia="en-US"/>
        </w:rPr>
        <w:t xml:space="preserve">kol kas </w:t>
      </w:r>
      <w:r w:rsidR="008C61C7">
        <w:rPr>
          <w:rFonts w:eastAsia="Calibri"/>
          <w:bCs/>
          <w:lang w:eastAsia="en-US"/>
        </w:rPr>
        <w:t>nėra pateikti ir šioje ataskaitoje ne</w:t>
      </w:r>
      <w:r w:rsidR="007B2B33">
        <w:rPr>
          <w:rFonts w:eastAsia="Calibri"/>
          <w:bCs/>
          <w:lang w:eastAsia="en-US"/>
        </w:rPr>
        <w:t>gali būti įvertint</w:t>
      </w:r>
      <w:r w:rsidR="008C61C7">
        <w:rPr>
          <w:rFonts w:eastAsia="Calibri"/>
          <w:bCs/>
          <w:lang w:eastAsia="en-US"/>
        </w:rPr>
        <w:t>i</w:t>
      </w:r>
      <w:r w:rsidR="00D26314" w:rsidRPr="008C61C7">
        <w:rPr>
          <w:rFonts w:eastAsia="Calibri"/>
          <w:bCs/>
          <w:lang w:eastAsia="en-US"/>
        </w:rPr>
        <w:t>.</w:t>
      </w:r>
      <w:r w:rsidR="009B753F">
        <w:rPr>
          <w:rFonts w:eastAsia="Calibri"/>
          <w:bCs/>
          <w:lang w:eastAsia="en-US"/>
        </w:rPr>
        <w:t xml:space="preserve"> Taip pat atkreiptinas dėmesys, kad </w:t>
      </w:r>
      <w:r w:rsidR="007B2B33">
        <w:rPr>
          <w:rFonts w:eastAsia="Calibri"/>
          <w:bCs/>
          <w:lang w:eastAsia="en-US"/>
        </w:rPr>
        <w:t xml:space="preserve">ir kitų </w:t>
      </w:r>
      <w:r w:rsidR="00EA32D3">
        <w:rPr>
          <w:rFonts w:eastAsia="Calibri"/>
          <w:bCs/>
          <w:lang w:eastAsia="en-US"/>
        </w:rPr>
        <w:t>institucijų parengtuose teisinio reguliavimo stebėsenos planuose buvo nurodyta ir daugiau teisinio reguliavimo stebėsenos sričių, tačiau Teisingumo ministerija nustatytais terminais</w:t>
      </w:r>
      <w:r w:rsidR="007B2B33">
        <w:rPr>
          <w:rFonts w:eastAsia="Calibri"/>
          <w:bCs/>
          <w:lang w:eastAsia="en-US"/>
        </w:rPr>
        <w:t xml:space="preserve"> </w:t>
      </w:r>
      <w:r w:rsidR="00EA32D3">
        <w:rPr>
          <w:rFonts w:eastAsia="Calibri"/>
          <w:bCs/>
          <w:lang w:eastAsia="en-US"/>
        </w:rPr>
        <w:t>negavo atitinkamų teisinio reguliavimo s</w:t>
      </w:r>
      <w:r w:rsidR="007B2B33">
        <w:rPr>
          <w:rFonts w:eastAsia="Calibri"/>
          <w:bCs/>
          <w:lang w:eastAsia="en-US"/>
        </w:rPr>
        <w:t>tebėsenos</w:t>
      </w:r>
      <w:r w:rsidR="00EA32D3">
        <w:rPr>
          <w:rFonts w:eastAsia="Calibri"/>
          <w:bCs/>
          <w:lang w:eastAsia="en-US"/>
        </w:rPr>
        <w:t xml:space="preserve"> pažymų. </w:t>
      </w:r>
    </w:p>
    <w:p w14:paraId="700B2447" w14:textId="4FBD976C" w:rsidR="00C412A6" w:rsidRDefault="00C412A6" w:rsidP="00C412A6">
      <w:pPr>
        <w:suppressAutoHyphens w:val="0"/>
        <w:spacing w:line="360" w:lineRule="auto"/>
        <w:ind w:firstLine="851"/>
        <w:jc w:val="both"/>
        <w:rPr>
          <w:rFonts w:eastAsia="Calibri"/>
          <w:bCs/>
          <w:lang w:eastAsia="en-US"/>
        </w:rPr>
      </w:pPr>
      <w:r w:rsidRPr="00C412A6">
        <w:rPr>
          <w:rFonts w:eastAsia="Calibri"/>
          <w:bCs/>
          <w:lang w:eastAsia="en-US"/>
        </w:rPr>
        <w:t>Atlikus visų Teisingumo ministerijai pateiktų pažymų</w:t>
      </w:r>
      <w:r w:rsidR="007B2B33">
        <w:rPr>
          <w:rFonts w:eastAsia="Calibri"/>
          <w:bCs/>
          <w:lang w:eastAsia="en-US"/>
        </w:rPr>
        <w:t xml:space="preserve"> dėl teisinio reguliavimo stebėsenos, atliktos 2019 metais,</w:t>
      </w:r>
      <w:r w:rsidRPr="00C412A6">
        <w:rPr>
          <w:rFonts w:eastAsia="Calibri"/>
          <w:bCs/>
          <w:lang w:eastAsia="en-US"/>
        </w:rPr>
        <w:t xml:space="preserve"> vertinimą</w:t>
      </w:r>
      <w:r w:rsidR="00D80F8D">
        <w:rPr>
          <w:rFonts w:eastAsia="Calibri"/>
          <w:bCs/>
          <w:lang w:eastAsia="en-US"/>
        </w:rPr>
        <w:t xml:space="preserve"> ir</w:t>
      </w:r>
      <w:r w:rsidR="00D80F8D" w:rsidRPr="00D80F8D">
        <w:rPr>
          <w:rFonts w:eastAsia="Calibri"/>
          <w:bCs/>
          <w:lang w:eastAsia="en-US"/>
        </w:rPr>
        <w:t xml:space="preserve"> </w:t>
      </w:r>
      <w:r w:rsidR="00D80F8D">
        <w:rPr>
          <w:rFonts w:eastAsia="Calibri"/>
          <w:bCs/>
          <w:lang w:eastAsia="en-US"/>
        </w:rPr>
        <w:t xml:space="preserve">atsižvelgiant į atliktų </w:t>
      </w:r>
      <w:r w:rsidR="00087D23">
        <w:rPr>
          <w:rFonts w:eastAsia="Calibri"/>
          <w:bCs/>
          <w:lang w:eastAsia="en-US"/>
        </w:rPr>
        <w:t xml:space="preserve">stebėsenų </w:t>
      </w:r>
      <w:r w:rsidR="00D80F8D">
        <w:rPr>
          <w:rFonts w:eastAsia="Calibri"/>
          <w:bCs/>
          <w:lang w:eastAsia="en-US"/>
        </w:rPr>
        <w:t>rezultatus</w:t>
      </w:r>
      <w:r w:rsidRPr="00C412A6">
        <w:rPr>
          <w:rFonts w:eastAsia="Calibri"/>
          <w:bCs/>
          <w:lang w:eastAsia="en-US"/>
        </w:rPr>
        <w:t xml:space="preserve">, matyti, kad </w:t>
      </w:r>
      <w:r w:rsidRPr="00876525">
        <w:rPr>
          <w:rFonts w:eastAsia="Calibri"/>
          <w:bCs/>
          <w:lang w:eastAsia="en-US"/>
        </w:rPr>
        <w:t xml:space="preserve">yra </w:t>
      </w:r>
      <w:r w:rsidRPr="00876525">
        <w:rPr>
          <w:rFonts w:eastAsia="Calibri"/>
          <w:b/>
          <w:bCs/>
          <w:i/>
          <w:lang w:eastAsia="en-US"/>
        </w:rPr>
        <w:t>planuoj</w:t>
      </w:r>
      <w:r w:rsidR="00876525" w:rsidRPr="00876525">
        <w:rPr>
          <w:rFonts w:eastAsia="Calibri"/>
          <w:b/>
          <w:bCs/>
          <w:i/>
          <w:lang w:eastAsia="en-US"/>
        </w:rPr>
        <w:t>ama keisti</w:t>
      </w:r>
      <w:r w:rsidRPr="00876525">
        <w:rPr>
          <w:rFonts w:eastAsia="Calibri"/>
          <w:b/>
          <w:bCs/>
          <w:i/>
          <w:lang w:eastAsia="en-US"/>
        </w:rPr>
        <w:t xml:space="preserve"> </w:t>
      </w:r>
      <w:r w:rsidR="009D0BE4">
        <w:rPr>
          <w:rFonts w:eastAsia="Calibri"/>
          <w:b/>
          <w:bCs/>
          <w:i/>
          <w:lang w:eastAsia="en-US"/>
        </w:rPr>
        <w:t>5</w:t>
      </w:r>
      <w:r w:rsidR="00876525" w:rsidRPr="00876525">
        <w:rPr>
          <w:rFonts w:eastAsia="Calibri"/>
          <w:b/>
          <w:bCs/>
          <w:i/>
          <w:lang w:eastAsia="en-US"/>
        </w:rPr>
        <w:t xml:space="preserve"> </w:t>
      </w:r>
      <w:r w:rsidRPr="00876525">
        <w:rPr>
          <w:rFonts w:eastAsia="Calibri"/>
          <w:b/>
          <w:bCs/>
          <w:i/>
          <w:lang w:eastAsia="en-US"/>
        </w:rPr>
        <w:t>teisės akt</w:t>
      </w:r>
      <w:r w:rsidR="00876525" w:rsidRPr="00876525">
        <w:rPr>
          <w:rFonts w:eastAsia="Calibri"/>
          <w:b/>
          <w:bCs/>
          <w:i/>
          <w:lang w:eastAsia="en-US"/>
        </w:rPr>
        <w:t>us</w:t>
      </w:r>
      <w:r w:rsidRPr="00876525">
        <w:rPr>
          <w:rFonts w:eastAsia="Calibri"/>
          <w:bCs/>
          <w:lang w:eastAsia="en-US"/>
        </w:rPr>
        <w:t>:</w:t>
      </w:r>
      <w:r w:rsidRPr="00C412A6">
        <w:rPr>
          <w:rFonts w:eastAsia="Calibri"/>
          <w:bCs/>
          <w:lang w:eastAsia="en-US"/>
        </w:rPr>
        <w:t xml:space="preserve"> </w:t>
      </w:r>
    </w:p>
    <w:p w14:paraId="767B9AC5" w14:textId="77777777" w:rsidR="00A3382B" w:rsidRPr="00C412A6" w:rsidRDefault="00A3382B" w:rsidP="00C412A6">
      <w:pPr>
        <w:suppressAutoHyphens w:val="0"/>
        <w:spacing w:line="360" w:lineRule="auto"/>
        <w:ind w:firstLine="851"/>
        <w:jc w:val="both"/>
        <w:rPr>
          <w:rFonts w:eastAsia="Calibri"/>
          <w:bCs/>
          <w:lang w:eastAsia="en-US"/>
        </w:rPr>
      </w:pPr>
      <w:r>
        <w:rPr>
          <w:rFonts w:eastAsia="Calibri"/>
          <w:bCs/>
          <w:lang w:eastAsia="en-US"/>
        </w:rPr>
        <w:t>1)</w:t>
      </w:r>
      <w:r w:rsidRPr="00A3382B">
        <w:rPr>
          <w:rFonts w:eastAsiaTheme="minorHAnsi"/>
          <w:lang w:eastAsia="en-US"/>
        </w:rPr>
        <w:t xml:space="preserve"> </w:t>
      </w:r>
      <w:r w:rsidRPr="00A3382B">
        <w:rPr>
          <w:rFonts w:eastAsia="Calibri"/>
          <w:bCs/>
          <w:lang w:eastAsia="en-US"/>
        </w:rPr>
        <w:t xml:space="preserve">Lietuvos Respublikos </w:t>
      </w:r>
      <w:r w:rsidR="00837CB1">
        <w:rPr>
          <w:rFonts w:eastAsia="Calibri"/>
          <w:bCs/>
          <w:lang w:eastAsia="en-US"/>
        </w:rPr>
        <w:t>turto ir verslo vertinimo pagrindų įstatymą</w:t>
      </w:r>
      <w:r>
        <w:rPr>
          <w:rFonts w:eastAsia="Calibri"/>
          <w:bCs/>
          <w:lang w:eastAsia="en-US"/>
        </w:rPr>
        <w:t>;</w:t>
      </w:r>
    </w:p>
    <w:p w14:paraId="7EED75D1" w14:textId="77777777" w:rsidR="00A3382B" w:rsidRDefault="00A941D5" w:rsidP="00393A6B">
      <w:pPr>
        <w:suppressAutoHyphens w:val="0"/>
        <w:spacing w:line="360" w:lineRule="auto"/>
        <w:ind w:firstLine="851"/>
        <w:jc w:val="both"/>
        <w:rPr>
          <w:rFonts w:eastAsia="Calibri"/>
          <w:bCs/>
          <w:lang w:eastAsia="en-US"/>
        </w:rPr>
      </w:pPr>
      <w:r>
        <w:rPr>
          <w:rFonts w:eastAsia="Calibri"/>
          <w:bCs/>
          <w:lang w:eastAsia="en-US"/>
        </w:rPr>
        <w:t>2</w:t>
      </w:r>
      <w:r w:rsidR="00C67DFF">
        <w:rPr>
          <w:rFonts w:eastAsia="Calibri"/>
          <w:bCs/>
          <w:lang w:eastAsia="en-US"/>
        </w:rPr>
        <w:t xml:space="preserve">) </w:t>
      </w:r>
      <w:r w:rsidR="00F76CE1">
        <w:rPr>
          <w:rFonts w:eastAsia="Calibri"/>
          <w:bCs/>
          <w:lang w:eastAsia="en-US"/>
        </w:rPr>
        <w:t>Lietuvos Respublikos</w:t>
      </w:r>
      <w:r w:rsidR="00393A6B">
        <w:rPr>
          <w:rFonts w:eastAsia="Calibri"/>
          <w:bCs/>
          <w:lang w:eastAsia="en-US"/>
        </w:rPr>
        <w:t xml:space="preserve"> </w:t>
      </w:r>
      <w:r w:rsidR="00837CB1">
        <w:rPr>
          <w:rFonts w:eastAsia="Calibri"/>
          <w:bCs/>
          <w:lang w:eastAsia="en-US"/>
        </w:rPr>
        <w:t>valstybės ir tarnybos paslapčių įstatymą</w:t>
      </w:r>
      <w:r w:rsidR="00A3382B">
        <w:rPr>
          <w:rFonts w:eastAsia="Calibri"/>
          <w:bCs/>
          <w:lang w:eastAsia="en-US"/>
        </w:rPr>
        <w:t>;</w:t>
      </w:r>
    </w:p>
    <w:p w14:paraId="76CDD5AC" w14:textId="77777777" w:rsidR="000306DA" w:rsidRDefault="00393A6B" w:rsidP="00C412A6">
      <w:pPr>
        <w:suppressAutoHyphens w:val="0"/>
        <w:spacing w:line="360" w:lineRule="auto"/>
        <w:ind w:firstLine="851"/>
        <w:jc w:val="both"/>
        <w:rPr>
          <w:rFonts w:eastAsia="Calibri"/>
          <w:bCs/>
          <w:lang w:eastAsia="en-US"/>
        </w:rPr>
      </w:pPr>
      <w:r>
        <w:rPr>
          <w:rFonts w:eastAsia="Calibri"/>
          <w:bCs/>
          <w:lang w:eastAsia="en-US"/>
        </w:rPr>
        <w:t>3</w:t>
      </w:r>
      <w:r w:rsidR="000306DA">
        <w:rPr>
          <w:rFonts w:eastAsia="Calibri"/>
          <w:bCs/>
          <w:lang w:eastAsia="en-US"/>
        </w:rPr>
        <w:t xml:space="preserve">) </w:t>
      </w:r>
      <w:r w:rsidR="000306DA" w:rsidRPr="000306DA">
        <w:rPr>
          <w:rFonts w:eastAsia="Calibri"/>
          <w:bCs/>
          <w:lang w:eastAsia="en-US"/>
        </w:rPr>
        <w:t xml:space="preserve">Lietuvos Respublikos </w:t>
      </w:r>
      <w:r w:rsidR="005B0810">
        <w:rPr>
          <w:rFonts w:eastAsia="Calibri"/>
          <w:bCs/>
          <w:lang w:eastAsia="en-US"/>
        </w:rPr>
        <w:t>statybos įstatymą</w:t>
      </w:r>
      <w:r w:rsidR="000306DA">
        <w:rPr>
          <w:rFonts w:eastAsia="Calibri"/>
          <w:bCs/>
          <w:lang w:eastAsia="en-US"/>
        </w:rPr>
        <w:t>;</w:t>
      </w:r>
    </w:p>
    <w:p w14:paraId="518B2656" w14:textId="3766F6E2" w:rsidR="00876525" w:rsidRDefault="00393A6B" w:rsidP="00837CB1">
      <w:pPr>
        <w:suppressAutoHyphens w:val="0"/>
        <w:spacing w:line="360" w:lineRule="auto"/>
        <w:ind w:firstLine="851"/>
        <w:jc w:val="both"/>
        <w:rPr>
          <w:rFonts w:eastAsia="Calibri"/>
          <w:bCs/>
          <w:lang w:eastAsia="en-US"/>
        </w:rPr>
      </w:pPr>
      <w:r>
        <w:rPr>
          <w:rFonts w:eastAsia="Calibri"/>
          <w:bCs/>
          <w:lang w:eastAsia="en-US"/>
        </w:rPr>
        <w:t>4</w:t>
      </w:r>
      <w:r w:rsidR="000306DA">
        <w:rPr>
          <w:rFonts w:eastAsia="Calibri"/>
          <w:bCs/>
          <w:lang w:eastAsia="en-US"/>
        </w:rPr>
        <w:t xml:space="preserve">) </w:t>
      </w:r>
      <w:r w:rsidR="00F76CE1">
        <w:rPr>
          <w:rFonts w:eastAsia="Calibri"/>
          <w:bCs/>
          <w:lang w:eastAsia="en-US"/>
        </w:rPr>
        <w:t>Lietuvos Respublikos t</w:t>
      </w:r>
      <w:r w:rsidR="000306DA" w:rsidRPr="000306DA">
        <w:rPr>
          <w:rFonts w:eastAsia="Calibri"/>
          <w:bCs/>
          <w:lang w:eastAsia="en-US"/>
        </w:rPr>
        <w:t xml:space="preserve">eritorijų planavimo ir statybos </w:t>
      </w:r>
      <w:r w:rsidR="005B0810">
        <w:rPr>
          <w:rFonts w:eastAsia="Calibri"/>
          <w:bCs/>
          <w:lang w:eastAsia="en-US"/>
        </w:rPr>
        <w:t>valstybinės priežiūros įstatymą</w:t>
      </w:r>
      <w:r w:rsidR="004314D5">
        <w:rPr>
          <w:rFonts w:eastAsia="Calibri"/>
          <w:bCs/>
          <w:lang w:eastAsia="en-US"/>
        </w:rPr>
        <w:t>;</w:t>
      </w:r>
    </w:p>
    <w:p w14:paraId="63C313E6" w14:textId="0419FE1E" w:rsidR="00195716" w:rsidRPr="00195716" w:rsidRDefault="00F90D0D" w:rsidP="00AA3F1F">
      <w:pPr>
        <w:suppressAutoHyphens w:val="0"/>
        <w:spacing w:line="360" w:lineRule="auto"/>
        <w:ind w:firstLine="851"/>
        <w:jc w:val="both"/>
        <w:rPr>
          <w:rFonts w:eastAsia="Calibri"/>
          <w:bCs/>
          <w:sz w:val="16"/>
          <w:szCs w:val="16"/>
          <w:lang w:eastAsia="en-US"/>
        </w:rPr>
      </w:pPr>
      <w:r>
        <w:rPr>
          <w:rFonts w:eastAsia="Calibri"/>
          <w:bCs/>
          <w:lang w:eastAsia="en-US"/>
        </w:rPr>
        <w:t>5) Statybos techninį reglamentą STR 1.05.01:2017 „Statybą leidžiantys dokumentai. Staty</w:t>
      </w:r>
      <w:r w:rsidR="00877069">
        <w:rPr>
          <w:rFonts w:eastAsia="Calibri"/>
          <w:bCs/>
          <w:lang w:eastAsia="en-US"/>
        </w:rPr>
        <w:t>bos užbaigimas. Statybos sustabdymas. Savavališkos statybos padarinių šalinimas. Statybos pagal neteisėtai išduotą statybą leidžiantį dokumentą padarinių šalinimas“, patvirtint</w:t>
      </w:r>
      <w:r w:rsidR="004314D5">
        <w:rPr>
          <w:rFonts w:eastAsia="Calibri"/>
          <w:bCs/>
          <w:lang w:eastAsia="en-US"/>
        </w:rPr>
        <w:t>ą</w:t>
      </w:r>
      <w:r w:rsidR="00877069">
        <w:rPr>
          <w:rFonts w:eastAsia="Calibri"/>
          <w:bCs/>
          <w:lang w:eastAsia="en-US"/>
        </w:rPr>
        <w:t xml:space="preserve"> Lietuvos </w:t>
      </w:r>
      <w:r w:rsidR="004314D5">
        <w:rPr>
          <w:rFonts w:eastAsia="Calibri"/>
          <w:bCs/>
          <w:lang w:eastAsia="en-US"/>
        </w:rPr>
        <w:t xml:space="preserve">Respublikos aplinkos ministro 2016 m. gruodžio 12 d. įsakymu Nr. D1-878. </w:t>
      </w:r>
      <w:r w:rsidR="00877069">
        <w:rPr>
          <w:rFonts w:eastAsia="Calibri"/>
          <w:bCs/>
          <w:lang w:eastAsia="en-US"/>
        </w:rPr>
        <w:t xml:space="preserve"> </w:t>
      </w:r>
    </w:p>
    <w:p w14:paraId="4DDF4847" w14:textId="77777777" w:rsidR="00C93D3F" w:rsidRDefault="00C412A6" w:rsidP="00C412A6">
      <w:pPr>
        <w:suppressAutoHyphens w:val="0"/>
        <w:spacing w:line="360" w:lineRule="auto"/>
        <w:ind w:firstLine="851"/>
        <w:jc w:val="both"/>
        <w:rPr>
          <w:rFonts w:eastAsia="Calibri"/>
          <w:bCs/>
          <w:lang w:eastAsia="en-US"/>
        </w:rPr>
      </w:pPr>
      <w:r w:rsidRPr="00C412A6">
        <w:rPr>
          <w:rFonts w:eastAsia="Calibri"/>
          <w:bCs/>
          <w:lang w:eastAsia="en-US"/>
        </w:rPr>
        <w:t xml:space="preserve">Kaip ir praėjusiais metais, buvo nustatytos panašios teisinio reguliavimo stebėsenos proceso klaidos. </w:t>
      </w:r>
    </w:p>
    <w:p w14:paraId="09E4B0F3" w14:textId="77777777" w:rsidR="00C412A6" w:rsidRPr="00C412A6" w:rsidRDefault="00C412A6" w:rsidP="00C412A6">
      <w:pPr>
        <w:suppressAutoHyphens w:val="0"/>
        <w:spacing w:line="360" w:lineRule="auto"/>
        <w:ind w:firstLine="851"/>
        <w:jc w:val="both"/>
        <w:rPr>
          <w:rFonts w:eastAsia="Calibri"/>
          <w:bCs/>
          <w:lang w:eastAsia="en-US"/>
        </w:rPr>
      </w:pPr>
      <w:r w:rsidRPr="00C412A6">
        <w:rPr>
          <w:rFonts w:eastAsia="Calibri"/>
          <w:bCs/>
          <w:lang w:eastAsia="en-US"/>
        </w:rPr>
        <w:t xml:space="preserve">Pirma, ne visos institucijos tinkamai laikosi Stebėsenos atlikimo tvarkos aprašo 15 punkto nuostatų bei neinformuoja Teisingumo ministerijos arba informuoja pavėluotai apie patvirtintą teisinio reguliavimo stebėsenos atlikimo planą. Teisinio reguliavimo stebėseną atliekantys subjektai dažnai nesilaiko Teisėkūros pagrindų įstatymo 5 straipsnio 2 dalyje, Stebėsenos atlikimo tvarkos aprašo 16 punkte nustatytos tvarkos per vieną mėnesį nuo teisinio reguliavimo stebėsenos termino pabaigos parengti, teisinio reguliavimo stebėseną atlikusio subjekto interneto svetainėje paskelbti ir Teisingumo ministerijai pateikti teisinio reguliavimo stebėsenos pažymą. </w:t>
      </w:r>
    </w:p>
    <w:p w14:paraId="256515FF" w14:textId="77777777" w:rsidR="00C412A6" w:rsidRPr="00C412A6" w:rsidRDefault="00C412A6" w:rsidP="00C412A6">
      <w:pPr>
        <w:suppressAutoHyphens w:val="0"/>
        <w:spacing w:line="360" w:lineRule="auto"/>
        <w:ind w:firstLine="851"/>
        <w:jc w:val="both"/>
        <w:rPr>
          <w:rFonts w:eastAsia="Calibri"/>
          <w:bCs/>
          <w:lang w:eastAsia="en-US"/>
        </w:rPr>
      </w:pPr>
      <w:r w:rsidRPr="00C412A6">
        <w:rPr>
          <w:rFonts w:eastAsia="Calibri"/>
          <w:bCs/>
          <w:lang w:eastAsia="en-US"/>
        </w:rPr>
        <w:t xml:space="preserve">Antra, pažymėtina, kad ne visi stebėseną atliekantys subjektai informaciją apie atliekamą teisinio reguliavimo stebėseną skelbia Teisės aktų informacinėje sistemoje, kaip tai numatyta Teisėkūros pagrindų įstatymo 5 straipsnio 2 </w:t>
      </w:r>
      <w:r w:rsidR="007E296B" w:rsidRPr="00C412A6">
        <w:rPr>
          <w:rFonts w:eastAsia="Calibri"/>
          <w:bCs/>
          <w:lang w:eastAsia="en-US"/>
        </w:rPr>
        <w:t>dal</w:t>
      </w:r>
      <w:r w:rsidR="007E296B">
        <w:rPr>
          <w:rFonts w:eastAsia="Calibri"/>
          <w:bCs/>
          <w:lang w:eastAsia="en-US"/>
        </w:rPr>
        <w:t>ies 5 punkte</w:t>
      </w:r>
      <w:r w:rsidRPr="00C412A6">
        <w:rPr>
          <w:rFonts w:eastAsia="Calibri"/>
          <w:bCs/>
          <w:lang w:eastAsia="en-US"/>
        </w:rPr>
        <w:t xml:space="preserve">, 24 straipsnio 3 ir 4 dalyse. Tuo atveju, kai informacija apie teisinio reguliavimo stebėseną ją vykdančių institucijų nėra skelbiama Teisės aktų informacinėje sistemoje, suinteresuotiems asmenims užkertamas kelias tinkamai su šia informacija susipažinti ir esant poreikiui pateikti savo pastabas bei pasiūlymus dėl teisinio reguliavimo stebėsenos. </w:t>
      </w:r>
      <w:r w:rsidR="00452A75">
        <w:rPr>
          <w:rFonts w:eastAsia="Calibri"/>
          <w:bCs/>
          <w:lang w:eastAsia="en-US"/>
        </w:rPr>
        <w:t xml:space="preserve">Atkreiptinas dėmesys, kad prielaidas tam, kad stebėseną atliekantys subjektai neskelbia informacijos </w:t>
      </w:r>
      <w:r w:rsidR="00452A75" w:rsidRPr="00452A75">
        <w:rPr>
          <w:rFonts w:eastAsia="Calibri"/>
          <w:bCs/>
          <w:lang w:eastAsia="en-US"/>
        </w:rPr>
        <w:t>Teisės aktų informacinėje sistemoje</w:t>
      </w:r>
      <w:r w:rsidR="005012A5">
        <w:rPr>
          <w:rFonts w:eastAsia="Calibri"/>
          <w:bCs/>
          <w:lang w:eastAsia="en-US"/>
        </w:rPr>
        <w:t>,</w:t>
      </w:r>
      <w:r w:rsidR="00452A75">
        <w:rPr>
          <w:rFonts w:eastAsia="Calibri"/>
          <w:bCs/>
          <w:lang w:eastAsia="en-US"/>
        </w:rPr>
        <w:t xml:space="preserve"> </w:t>
      </w:r>
      <w:r w:rsidR="00881A44">
        <w:rPr>
          <w:rFonts w:eastAsia="Calibri"/>
          <w:bCs/>
          <w:lang w:eastAsia="en-US"/>
        </w:rPr>
        <w:t xml:space="preserve">galimai </w:t>
      </w:r>
      <w:r w:rsidR="00452A75">
        <w:rPr>
          <w:rFonts w:eastAsia="Calibri"/>
          <w:bCs/>
          <w:lang w:eastAsia="en-US"/>
        </w:rPr>
        <w:t xml:space="preserve">sudaro netikslus, </w:t>
      </w:r>
      <w:r w:rsidR="00452A75">
        <w:rPr>
          <w:rFonts w:eastAsia="Calibri"/>
          <w:bCs/>
          <w:lang w:eastAsia="en-US"/>
        </w:rPr>
        <w:lastRenderedPageBreak/>
        <w:t>nekonkretus teisinis reguliavimas</w:t>
      </w:r>
      <w:r w:rsidR="00881A44">
        <w:rPr>
          <w:rFonts w:eastAsia="Calibri"/>
          <w:bCs/>
          <w:lang w:eastAsia="en-US"/>
        </w:rPr>
        <w:t xml:space="preserve">, kuris </w:t>
      </w:r>
      <w:r w:rsidR="007E296B">
        <w:rPr>
          <w:rFonts w:eastAsia="Calibri"/>
          <w:bCs/>
          <w:lang w:eastAsia="en-US"/>
        </w:rPr>
        <w:t>netrukus bus pakeistas</w:t>
      </w:r>
      <w:r w:rsidR="00CA3FC1">
        <w:rPr>
          <w:rFonts w:eastAsia="Calibri"/>
          <w:bCs/>
          <w:lang w:eastAsia="en-US"/>
        </w:rPr>
        <w:t xml:space="preserve"> (2020 m. balandžio 1 d. įsigalios </w:t>
      </w:r>
      <w:r w:rsidR="00BF2D54">
        <w:rPr>
          <w:rFonts w:eastAsia="Calibri"/>
          <w:bCs/>
          <w:lang w:eastAsia="en-US"/>
        </w:rPr>
        <w:t>T</w:t>
      </w:r>
      <w:r w:rsidR="00CA3FC1" w:rsidRPr="00F03A70">
        <w:rPr>
          <w:rFonts w:eastAsia="Calibri"/>
          <w:bCs/>
          <w:iCs/>
          <w:lang w:eastAsia="en-US"/>
        </w:rPr>
        <w:t>eisėkūros pagrindų įstatymo pakeitim</w:t>
      </w:r>
      <w:r w:rsidR="00BF2D54">
        <w:rPr>
          <w:rFonts w:eastAsia="Calibri"/>
          <w:bCs/>
          <w:iCs/>
          <w:lang w:eastAsia="en-US"/>
        </w:rPr>
        <w:t>ai)</w:t>
      </w:r>
      <w:r w:rsidR="005012A5">
        <w:rPr>
          <w:rFonts w:eastAsia="Calibri"/>
          <w:bCs/>
          <w:lang w:eastAsia="en-US"/>
        </w:rPr>
        <w:t xml:space="preserve">. </w:t>
      </w:r>
      <w:r w:rsidR="003E76B2">
        <w:rPr>
          <w:rFonts w:eastAsia="Calibri"/>
          <w:bCs/>
          <w:lang w:eastAsia="en-US"/>
        </w:rPr>
        <w:t xml:space="preserve">Nors Teisėkūros pagrindų įstatymo 24 straipsnio 4 dalis tiesiogiai numato, kad teisinio </w:t>
      </w:r>
      <w:r w:rsidR="00CB7F73">
        <w:rPr>
          <w:rFonts w:eastAsia="Calibri"/>
          <w:bCs/>
          <w:lang w:eastAsia="en-US"/>
        </w:rPr>
        <w:t>reguliavimo stebėseną atlikęs subjektas parengia ir Teisės aktų informacinėje sistemoje paskelbia teisinio reguliavimo stebėsenos pažymą, tačiau Stebėsenos atlikimo tvarkos aprašo 16 punktas, nustatantis teisinio reguliavimo stebėsenos pažymų pateikimą, nurodo poreikį tik paskelbti pažymas stebėseną atlikusio subjekto interneto svetainėje bei pateikti ją Teisingumo ministerijai. Taigi</w:t>
      </w:r>
      <w:r w:rsidR="004F0A96">
        <w:rPr>
          <w:rFonts w:eastAsia="Calibri"/>
          <w:bCs/>
          <w:lang w:eastAsia="en-US"/>
        </w:rPr>
        <w:t>,</w:t>
      </w:r>
      <w:r w:rsidR="00CB7F73">
        <w:rPr>
          <w:rFonts w:eastAsia="Calibri"/>
          <w:bCs/>
          <w:lang w:eastAsia="en-US"/>
        </w:rPr>
        <w:t xml:space="preserve"> nors teisinis reguliavimas turėtų būti vertinamas sistemiškai, vis tik stebėseną atliekantys asmenys daugiau vadovaujasi minėtu aprašu, todėl dažniausiai stebėsenos pažymos lieka nepaskelbtos Teisės aktų informacinėje sistemoje. </w:t>
      </w:r>
    </w:p>
    <w:p w14:paraId="3209A88F" w14:textId="77777777" w:rsidR="004F0A96" w:rsidRPr="00C412A6" w:rsidRDefault="00C412A6" w:rsidP="004F0A96">
      <w:pPr>
        <w:suppressAutoHyphens w:val="0"/>
        <w:spacing w:line="360" w:lineRule="auto"/>
        <w:ind w:firstLine="851"/>
        <w:jc w:val="both"/>
        <w:rPr>
          <w:rFonts w:eastAsia="Calibri"/>
          <w:bCs/>
          <w:lang w:eastAsia="en-US"/>
        </w:rPr>
      </w:pPr>
      <w:r w:rsidRPr="00C412A6">
        <w:rPr>
          <w:rFonts w:eastAsia="Calibri"/>
          <w:bCs/>
          <w:lang w:eastAsia="en-US"/>
        </w:rPr>
        <w:t>Trečia, pastebėtina, kad ne visada teisinio reguliavimo stebėsenos pažymos išsamiai atskleidžia teisinio reguliavimo srities, kurios teisinio reguliavimo stebėsena yra atliekama, trūkumus bei galimus šių trūkumų sprendimo variantus, o tai sąlygoja kelias problemas: nustačius poreikį keisti teisinį reguliavimą ir neišskiriant konkrečių pasiūlymų, kodėl teisinis reguliavimas keistinas, nukenčia teisinio reguliavimo stebėsenos kokybė</w:t>
      </w:r>
      <w:r w:rsidR="00B9644E">
        <w:rPr>
          <w:rFonts w:eastAsia="Calibri"/>
          <w:bCs/>
          <w:lang w:eastAsia="en-US"/>
        </w:rPr>
        <w:t xml:space="preserve"> ir efektyvumas</w:t>
      </w:r>
      <w:r w:rsidRPr="00C412A6">
        <w:rPr>
          <w:rFonts w:eastAsia="Calibri"/>
          <w:bCs/>
          <w:lang w:eastAsia="en-US"/>
        </w:rPr>
        <w:t xml:space="preserve">, tuo tarpu ateityje keičiant teisinį reguliavimą, iš naujo turi būti analizuojamas teisinis reguliavimas ir išskiriamos jo taikymo problemos (pavyzdžiui, rengiant aiškinamąjį raštą, lydraštį – teikimą Vyriausybei); Teisingumo ministerijai, kaip teisinio reguliavimo stebėseną koordinuojančiai institucijai, rengiant praėjusių metų teisinio reguliavimo stebėsenos ataskaitas, sudėtinga identifikuoti, ar būtent teisinio reguliavimo stebėsenos metu nustatyti teisės aktų trūkumai buvo pašalinti rengiant konkrečius teisės aktų pakeitimus. </w:t>
      </w:r>
    </w:p>
    <w:p w14:paraId="37945662" w14:textId="77777777" w:rsidR="009E6E52" w:rsidRDefault="009E6E52" w:rsidP="00C412A6">
      <w:pPr>
        <w:suppressAutoHyphens w:val="0"/>
        <w:spacing w:line="360" w:lineRule="auto"/>
        <w:jc w:val="both"/>
        <w:rPr>
          <w:rFonts w:eastAsia="Calibri"/>
          <w:b/>
          <w:bCs/>
          <w:lang w:eastAsia="en-US"/>
        </w:rPr>
      </w:pPr>
    </w:p>
    <w:p w14:paraId="50C2BEAC" w14:textId="77777777" w:rsidR="00C412A6" w:rsidRPr="00C412A6" w:rsidRDefault="00C412A6" w:rsidP="00195716">
      <w:pPr>
        <w:tabs>
          <w:tab w:val="left" w:pos="1276"/>
        </w:tabs>
        <w:suppressAutoHyphens w:val="0"/>
        <w:spacing w:line="360" w:lineRule="auto"/>
        <w:ind w:firstLine="851"/>
        <w:jc w:val="both"/>
        <w:rPr>
          <w:rFonts w:eastAsia="Calibri"/>
          <w:b/>
          <w:bCs/>
          <w:lang w:eastAsia="en-US"/>
        </w:rPr>
      </w:pPr>
      <w:r w:rsidRPr="00C412A6">
        <w:rPr>
          <w:rFonts w:eastAsia="Calibri"/>
          <w:b/>
          <w:bCs/>
          <w:lang w:eastAsia="en-US"/>
        </w:rPr>
        <w:t xml:space="preserve">3. </w:t>
      </w:r>
      <w:r w:rsidR="004C3DF0">
        <w:rPr>
          <w:rFonts w:eastAsia="Calibri"/>
          <w:b/>
          <w:bCs/>
          <w:lang w:eastAsia="en-US"/>
        </w:rPr>
        <w:t xml:space="preserve">Teisinio reguliavimo stebėsenos </w:t>
      </w:r>
      <w:r w:rsidR="00087D23">
        <w:rPr>
          <w:rFonts w:eastAsia="Calibri"/>
          <w:b/>
          <w:bCs/>
          <w:lang w:eastAsia="en-US"/>
        </w:rPr>
        <w:t>statistikos dinamika</w:t>
      </w:r>
    </w:p>
    <w:p w14:paraId="5A19BADA" w14:textId="77777777" w:rsidR="00371527" w:rsidRDefault="00371527" w:rsidP="00371527">
      <w:pPr>
        <w:suppressAutoHyphens w:val="0"/>
        <w:spacing w:line="360" w:lineRule="auto"/>
        <w:ind w:firstLine="851"/>
        <w:jc w:val="both"/>
        <w:rPr>
          <w:rFonts w:eastAsia="Calibri"/>
          <w:bCs/>
          <w:lang w:eastAsia="en-US"/>
        </w:rPr>
      </w:pPr>
      <w:r>
        <w:rPr>
          <w:rFonts w:eastAsia="Calibri"/>
          <w:bCs/>
          <w:lang w:eastAsia="en-US"/>
        </w:rPr>
        <w:t>2017</w:t>
      </w:r>
      <w:r w:rsidRPr="00371527">
        <w:rPr>
          <w:rFonts w:eastAsia="Calibri"/>
          <w:bCs/>
          <w:lang w:eastAsia="en-US"/>
        </w:rPr>
        <w:t xml:space="preserve"> metais buvo atlikta 18 sričių teisinio reguliavimo stebėsena, stebint 20 teisės aktų teisinį reglamentavimą, t. y. 12 įstatymų, 4 Vyriausybės </w:t>
      </w:r>
      <w:r w:rsidR="00EF7FD2" w:rsidRPr="00371527">
        <w:rPr>
          <w:rFonts w:eastAsia="Calibri"/>
          <w:bCs/>
          <w:lang w:eastAsia="en-US"/>
        </w:rPr>
        <w:t>nutarim</w:t>
      </w:r>
      <w:r w:rsidR="00EF7FD2">
        <w:rPr>
          <w:rFonts w:eastAsia="Calibri"/>
          <w:bCs/>
          <w:lang w:eastAsia="en-US"/>
        </w:rPr>
        <w:t>ų</w:t>
      </w:r>
      <w:r w:rsidRPr="00371527">
        <w:rPr>
          <w:rFonts w:eastAsia="Calibri"/>
          <w:bCs/>
          <w:lang w:eastAsia="en-US"/>
        </w:rPr>
        <w:t>, 5 ministro įsakym</w:t>
      </w:r>
      <w:r w:rsidR="00EF7FD2">
        <w:rPr>
          <w:rFonts w:eastAsia="Calibri"/>
          <w:bCs/>
          <w:lang w:eastAsia="en-US"/>
        </w:rPr>
        <w:t>ų</w:t>
      </w:r>
      <w:r w:rsidRPr="00371527">
        <w:rPr>
          <w:rFonts w:eastAsia="Calibri"/>
          <w:bCs/>
          <w:lang w:eastAsia="en-US"/>
        </w:rPr>
        <w:t xml:space="preserve">. Teisinio reguliavimo stebėseną 2017 metais atliko 7 ministerijos ir 2 kitos įstaigos: Aplinkos ministerija (1 teisės akto), </w:t>
      </w:r>
      <w:r w:rsidR="00F307B8">
        <w:rPr>
          <w:rFonts w:eastAsia="Calibri"/>
          <w:bCs/>
          <w:lang w:eastAsia="en-US"/>
        </w:rPr>
        <w:t>Ūkio</w:t>
      </w:r>
      <w:r w:rsidR="00E80408">
        <w:rPr>
          <w:rFonts w:eastAsia="Calibri"/>
          <w:bCs/>
          <w:lang w:eastAsia="en-US"/>
        </w:rPr>
        <w:t xml:space="preserve"> ministerija</w:t>
      </w:r>
      <w:r w:rsidR="00E80408" w:rsidRPr="00371527">
        <w:rPr>
          <w:rFonts w:eastAsia="Calibri"/>
          <w:bCs/>
          <w:lang w:eastAsia="en-US"/>
        </w:rPr>
        <w:t xml:space="preserve"> (2 teisės aktų)</w:t>
      </w:r>
      <w:r w:rsidR="00E80408">
        <w:rPr>
          <w:rFonts w:eastAsia="Calibri"/>
          <w:bCs/>
          <w:lang w:eastAsia="en-US"/>
        </w:rPr>
        <w:t xml:space="preserve">, </w:t>
      </w:r>
      <w:r w:rsidRPr="00371527">
        <w:rPr>
          <w:rFonts w:eastAsia="Calibri"/>
          <w:bCs/>
          <w:lang w:eastAsia="en-US"/>
        </w:rPr>
        <w:t>Finansų ministerija (2 teisės aktų), Krašto apsaugos ministerija (2 teisės aktų), Socialinės apsaugos ir darbo minister</w:t>
      </w:r>
      <w:r w:rsidR="000F4501">
        <w:rPr>
          <w:rFonts w:eastAsia="Calibri"/>
          <w:bCs/>
          <w:lang w:eastAsia="en-US"/>
        </w:rPr>
        <w:t>ija (4 teisės aktų), Švietimo</w:t>
      </w:r>
      <w:r w:rsidR="00F307B8">
        <w:rPr>
          <w:rFonts w:eastAsia="Calibri"/>
          <w:bCs/>
          <w:lang w:eastAsia="en-US"/>
        </w:rPr>
        <w:t xml:space="preserve"> ir</w:t>
      </w:r>
      <w:r w:rsidRPr="00371527">
        <w:rPr>
          <w:rFonts w:eastAsia="Calibri"/>
          <w:bCs/>
          <w:lang w:eastAsia="en-US"/>
        </w:rPr>
        <w:t xml:space="preserve"> mokslo ministerija (1 teisės akto), Teisingu</w:t>
      </w:r>
      <w:r w:rsidR="00E80408">
        <w:rPr>
          <w:rFonts w:eastAsia="Calibri"/>
          <w:bCs/>
          <w:lang w:eastAsia="en-US"/>
        </w:rPr>
        <w:t>mo ministerija (3 teisės aktų),</w:t>
      </w:r>
      <w:r w:rsidRPr="00371527">
        <w:rPr>
          <w:rFonts w:eastAsia="Calibri"/>
          <w:bCs/>
          <w:lang w:eastAsia="en-US"/>
        </w:rPr>
        <w:t xml:space="preserve"> Valstybinė teritorijų planavimo ir statybos inspekcija prie Aplinkos ministerijos (4 teisės aktų), Aplinkos apsaugos agentūra (1 teisės akto).</w:t>
      </w:r>
    </w:p>
    <w:p w14:paraId="28222C64" w14:textId="77777777" w:rsidR="00621A9E" w:rsidRDefault="003C7E21" w:rsidP="003C7E21">
      <w:pPr>
        <w:suppressAutoHyphens w:val="0"/>
        <w:spacing w:line="360" w:lineRule="auto"/>
        <w:ind w:firstLine="851"/>
        <w:jc w:val="both"/>
        <w:rPr>
          <w:rFonts w:eastAsia="Calibri"/>
          <w:bCs/>
          <w:lang w:eastAsia="en-US"/>
        </w:rPr>
      </w:pPr>
      <w:r w:rsidRPr="003C7E21">
        <w:rPr>
          <w:rFonts w:eastAsia="Calibri"/>
          <w:bCs/>
          <w:lang w:eastAsia="en-US"/>
        </w:rPr>
        <w:t>2018 metais buvo atlikta 11 sričių teisinio reguliavimo stebėsena, stebint 11 teisės aktų</w:t>
      </w:r>
      <w:r w:rsidR="00F307B8">
        <w:rPr>
          <w:rFonts w:eastAsia="Calibri"/>
          <w:bCs/>
          <w:lang w:eastAsia="en-US"/>
        </w:rPr>
        <w:t xml:space="preserve"> </w:t>
      </w:r>
      <w:r w:rsidRPr="003C7E21">
        <w:rPr>
          <w:rFonts w:eastAsia="Calibri"/>
          <w:bCs/>
          <w:lang w:eastAsia="en-US"/>
        </w:rPr>
        <w:t xml:space="preserve">teisinį reglamentavimą, t. y. 6 įstatymų, 1 Vyriausybės nutarimo, 3 ministro įsakymų ir 1 įstaigos vadovo įsakymo. Teisinio reguliavimo stebėseną 2018 metais atliko 4 ministerijos ir 2 kitos </w:t>
      </w:r>
      <w:r w:rsidRPr="003C7E21">
        <w:rPr>
          <w:rFonts w:eastAsia="Calibri"/>
          <w:bCs/>
          <w:lang w:eastAsia="en-US"/>
        </w:rPr>
        <w:lastRenderedPageBreak/>
        <w:t xml:space="preserve">įstaigos: Finansų ministerija (2 teisės aktų), </w:t>
      </w:r>
      <w:r w:rsidR="00F307B8">
        <w:rPr>
          <w:rFonts w:eastAsia="Calibri"/>
          <w:bCs/>
          <w:lang w:eastAsia="en-US"/>
        </w:rPr>
        <w:t>Ūkio</w:t>
      </w:r>
      <w:r w:rsidRPr="003C7E21">
        <w:rPr>
          <w:rFonts w:eastAsia="Calibri"/>
          <w:bCs/>
          <w:lang w:eastAsia="en-US"/>
        </w:rPr>
        <w:t xml:space="preserve"> ministerija (1 teisės akto), Krašto apsaugos ministerija (1 teisės akto), Teisingumo ministerija (2 teisės aktų), Valstybinė teritorijų planavimo ir statybos inspekcija prie Aplinkos ministerijos (4 teisės aktų), Konkurencijos Taryba (1 teisės akto). </w:t>
      </w:r>
    </w:p>
    <w:p w14:paraId="420DC115" w14:textId="77777777" w:rsidR="00CD74F4" w:rsidRDefault="00371527" w:rsidP="00371527">
      <w:pPr>
        <w:suppressAutoHyphens w:val="0"/>
        <w:spacing w:line="360" w:lineRule="auto"/>
        <w:ind w:firstLine="851"/>
        <w:jc w:val="both"/>
        <w:rPr>
          <w:rFonts w:eastAsia="Calibri"/>
          <w:bCs/>
          <w:lang w:eastAsia="en-US"/>
        </w:rPr>
      </w:pPr>
      <w:r>
        <w:rPr>
          <w:rFonts w:eastAsia="Calibri"/>
          <w:bCs/>
          <w:lang w:eastAsia="en-US"/>
        </w:rPr>
        <w:t>Pa</w:t>
      </w:r>
      <w:r w:rsidR="003C7E21">
        <w:rPr>
          <w:rFonts w:eastAsia="Calibri"/>
          <w:bCs/>
          <w:lang w:eastAsia="en-US"/>
        </w:rPr>
        <w:t xml:space="preserve">stebėtina, kad lyginant 2017 m., </w:t>
      </w:r>
      <w:r>
        <w:rPr>
          <w:rFonts w:eastAsia="Calibri"/>
          <w:bCs/>
          <w:lang w:eastAsia="en-US"/>
        </w:rPr>
        <w:t>2018 m.</w:t>
      </w:r>
      <w:r w:rsidR="003C7E21">
        <w:rPr>
          <w:rFonts w:eastAsia="Calibri"/>
          <w:bCs/>
          <w:lang w:eastAsia="en-US"/>
        </w:rPr>
        <w:t>, 2019 m.</w:t>
      </w:r>
      <w:r>
        <w:rPr>
          <w:rFonts w:eastAsia="Calibri"/>
          <w:bCs/>
          <w:lang w:eastAsia="en-US"/>
        </w:rPr>
        <w:t xml:space="preserve"> teisinio reguliavimo stebėsenos duomenis, stebimų teisės aktų skaičius </w:t>
      </w:r>
      <w:r w:rsidR="003C7E21">
        <w:rPr>
          <w:rFonts w:eastAsia="Calibri"/>
          <w:bCs/>
          <w:lang w:eastAsia="en-US"/>
        </w:rPr>
        <w:t>ženkliai sumažėjo</w:t>
      </w:r>
      <w:r>
        <w:rPr>
          <w:rFonts w:eastAsia="Calibri"/>
          <w:bCs/>
          <w:lang w:eastAsia="en-US"/>
        </w:rPr>
        <w:t xml:space="preserve">, kartu prie teisinio reguliavimo stebėsenos </w:t>
      </w:r>
      <w:r w:rsidR="00936D7F">
        <w:rPr>
          <w:rFonts w:eastAsia="Calibri"/>
          <w:bCs/>
          <w:lang w:eastAsia="en-US"/>
        </w:rPr>
        <w:t xml:space="preserve">atlikimo </w:t>
      </w:r>
      <w:r>
        <w:rPr>
          <w:rFonts w:eastAsia="Calibri"/>
          <w:bCs/>
          <w:lang w:eastAsia="en-US"/>
        </w:rPr>
        <w:t xml:space="preserve">prisijungė </w:t>
      </w:r>
      <w:r w:rsidR="00936D7F">
        <w:rPr>
          <w:rFonts w:eastAsia="Calibri"/>
          <w:bCs/>
          <w:lang w:eastAsia="en-US"/>
        </w:rPr>
        <w:t xml:space="preserve">ir </w:t>
      </w:r>
      <w:r>
        <w:rPr>
          <w:rFonts w:eastAsia="Calibri"/>
          <w:bCs/>
          <w:lang w:eastAsia="en-US"/>
        </w:rPr>
        <w:t xml:space="preserve">mažiau institucijų. Tai sąlygoti galėjo ir pačios teisinio reguliavimo stebėsenos kaip instituto </w:t>
      </w:r>
      <w:r w:rsidR="00CD74F4">
        <w:rPr>
          <w:rFonts w:eastAsia="Calibri"/>
          <w:bCs/>
          <w:lang w:eastAsia="en-US"/>
        </w:rPr>
        <w:t>pernelyg retas panaudojimas</w:t>
      </w:r>
      <w:r>
        <w:rPr>
          <w:rFonts w:eastAsia="Calibri"/>
          <w:bCs/>
          <w:lang w:eastAsia="en-US"/>
        </w:rPr>
        <w:t xml:space="preserve">. </w:t>
      </w:r>
    </w:p>
    <w:p w14:paraId="24B52AC8" w14:textId="37D2DCFA" w:rsidR="00200003" w:rsidRDefault="0048379C">
      <w:pPr>
        <w:suppressAutoHyphens w:val="0"/>
        <w:spacing w:line="360" w:lineRule="auto"/>
        <w:ind w:firstLine="851"/>
        <w:jc w:val="both"/>
        <w:rPr>
          <w:rFonts w:eastAsia="Calibri"/>
          <w:bCs/>
          <w:lang w:eastAsia="en-US"/>
        </w:rPr>
      </w:pPr>
      <w:r>
        <w:rPr>
          <w:rFonts w:eastAsia="Calibri"/>
          <w:bCs/>
          <w:lang w:eastAsia="en-US"/>
        </w:rPr>
        <w:t>R</w:t>
      </w:r>
      <w:r w:rsidR="00CD74F4">
        <w:rPr>
          <w:rFonts w:eastAsia="Calibri"/>
          <w:bCs/>
          <w:lang w:eastAsia="en-US"/>
        </w:rPr>
        <w:t xml:space="preserve">etą stebėsenos instituto taikymą atskleidžia statistiniai duomenys ir per metus priimtų bei stebėtų teisės aktų santykis. </w:t>
      </w:r>
      <w:r w:rsidR="00371527" w:rsidRPr="00371527">
        <w:rPr>
          <w:rFonts w:eastAsia="Calibri"/>
          <w:bCs/>
          <w:lang w:eastAsia="en-US"/>
        </w:rPr>
        <w:t xml:space="preserve">Pavyzdžiui, </w:t>
      </w:r>
      <w:r w:rsidR="003303C9" w:rsidRPr="00371527">
        <w:rPr>
          <w:rFonts w:eastAsia="Calibri"/>
          <w:bCs/>
          <w:lang w:eastAsia="en-US"/>
        </w:rPr>
        <w:t xml:space="preserve">2016 m. </w:t>
      </w:r>
      <w:r w:rsidR="003303C9">
        <w:rPr>
          <w:rFonts w:eastAsia="Calibri"/>
          <w:bCs/>
          <w:lang w:eastAsia="en-US"/>
        </w:rPr>
        <w:t>buvo stebėtas 21 teisės aktas,</w:t>
      </w:r>
      <w:r w:rsidR="003303C9" w:rsidRPr="00371527">
        <w:rPr>
          <w:rFonts w:eastAsia="Calibri"/>
          <w:bCs/>
          <w:lang w:eastAsia="en-US"/>
        </w:rPr>
        <w:t xml:space="preserve"> įstatymų ir Vy</w:t>
      </w:r>
      <w:r w:rsidR="003303C9">
        <w:rPr>
          <w:rFonts w:eastAsia="Calibri"/>
          <w:bCs/>
          <w:lang w:eastAsia="en-US"/>
        </w:rPr>
        <w:t xml:space="preserve">riausybės nutarimų priimta 2463, </w:t>
      </w:r>
      <w:r w:rsidR="00371527" w:rsidRPr="00371527">
        <w:rPr>
          <w:rFonts w:eastAsia="Calibri"/>
          <w:bCs/>
          <w:lang w:eastAsia="en-US"/>
        </w:rPr>
        <w:t xml:space="preserve">2017 m. buvo stebėta 20 teisės aktų, tuo tarpu įstatymų ir Vyriausybės nutarimų priimta 2782, </w:t>
      </w:r>
      <w:r w:rsidR="003303C9">
        <w:rPr>
          <w:rFonts w:eastAsia="Calibri"/>
          <w:bCs/>
          <w:lang w:eastAsia="en-US"/>
        </w:rPr>
        <w:t>2018 m. stebėta 11 teisės aktų, o</w:t>
      </w:r>
      <w:r w:rsidR="003303C9" w:rsidRPr="003303C9">
        <w:rPr>
          <w:rFonts w:eastAsia="Calibri"/>
          <w:bCs/>
          <w:lang w:eastAsia="en-US"/>
        </w:rPr>
        <w:t xml:space="preserve"> įstatymų ir Vyriausybės nutarimų priimta</w:t>
      </w:r>
      <w:r w:rsidR="003303C9">
        <w:rPr>
          <w:rFonts w:eastAsia="Calibri"/>
          <w:bCs/>
          <w:lang w:eastAsia="en-US"/>
        </w:rPr>
        <w:t xml:space="preserve"> 2301, </w:t>
      </w:r>
      <w:r w:rsidR="003C7E21" w:rsidRPr="00780DCC">
        <w:rPr>
          <w:rFonts w:eastAsia="Calibri"/>
          <w:bCs/>
          <w:lang w:eastAsia="en-US"/>
        </w:rPr>
        <w:t xml:space="preserve">2019 m. buvo stebėti </w:t>
      </w:r>
      <w:r w:rsidR="00C05BEF">
        <w:rPr>
          <w:rFonts w:eastAsia="Calibri"/>
          <w:bCs/>
          <w:lang w:eastAsia="en-US"/>
        </w:rPr>
        <w:t>5</w:t>
      </w:r>
      <w:r w:rsidR="003C7E21" w:rsidRPr="00780DCC">
        <w:rPr>
          <w:rFonts w:eastAsia="Calibri"/>
          <w:bCs/>
          <w:lang w:eastAsia="en-US"/>
        </w:rPr>
        <w:t xml:space="preserve"> teisės aktai, o įstatymų ir Vyriausybės nutarimų priimta 2797</w:t>
      </w:r>
      <w:r w:rsidR="00371527" w:rsidRPr="00780DCC">
        <w:rPr>
          <w:rFonts w:eastAsia="Calibri"/>
          <w:bCs/>
          <w:vertAlign w:val="superscript"/>
          <w:lang w:eastAsia="en-US"/>
        </w:rPr>
        <w:footnoteReference w:id="1"/>
      </w:r>
      <w:r w:rsidR="00371527" w:rsidRPr="00780DCC">
        <w:rPr>
          <w:rFonts w:eastAsia="Calibri"/>
          <w:bCs/>
          <w:lang w:eastAsia="en-US"/>
        </w:rPr>
        <w:t xml:space="preserve">. </w:t>
      </w:r>
      <w:r w:rsidR="00200003">
        <w:rPr>
          <w:rFonts w:eastAsia="Calibri"/>
          <w:bCs/>
          <w:lang w:eastAsia="en-US"/>
        </w:rPr>
        <w:t>Taigi, s</w:t>
      </w:r>
      <w:r w:rsidR="00200003">
        <w:t>tebimų teisės aktų skaičius, palyginti su įprasta teisėkūros apimtimi, nesiekia nė 1 procento vidutinio per metus priimamų teisės aktų skaičiaus, be to, nuolat mažėja (pavyzdžiui, 2019 m. jis tebuvo 0,1</w:t>
      </w:r>
      <w:r w:rsidR="009428A2">
        <w:t>8</w:t>
      </w:r>
      <w:r w:rsidR="00200003">
        <w:t xml:space="preserve"> procento). Atsižvelgiant į tai, darytina išvada, kad, esant tokiam nedideliam stebimų teisės aktų kiekiui, nėra galimybės taikant teisinio reguliavimo stebėsenos institutą iš esmės pagerinti teisės aktų kokybę ir veiksmingai sumažinti priimamų teisės aktų skaičių.</w:t>
      </w:r>
    </w:p>
    <w:p w14:paraId="55370090" w14:textId="77777777" w:rsidR="006039CA" w:rsidRDefault="00F307B8">
      <w:pPr>
        <w:suppressAutoHyphens w:val="0"/>
        <w:spacing w:line="360" w:lineRule="auto"/>
        <w:ind w:firstLine="851"/>
        <w:jc w:val="both"/>
        <w:rPr>
          <w:rFonts w:eastAsia="Calibri"/>
          <w:b/>
          <w:bCs/>
          <w:lang w:eastAsia="en-US"/>
        </w:rPr>
      </w:pPr>
      <w:r w:rsidRPr="00780DCC">
        <w:rPr>
          <w:rFonts w:eastAsia="Calibri"/>
          <w:bCs/>
          <w:lang w:eastAsia="en-US"/>
        </w:rPr>
        <w:t xml:space="preserve">Atkreiptinas dėmesys, kad papildoma statistinė informacija apie 2016-2019 m. atliktą teisinio reguliavimo stebėseną, parodanti </w:t>
      </w:r>
      <w:r w:rsidRPr="00F307B8">
        <w:rPr>
          <w:rFonts w:eastAsia="Calibri"/>
          <w:bCs/>
          <w:lang w:eastAsia="en-US"/>
        </w:rPr>
        <w:t xml:space="preserve">su stebėsena susijusių duomenų pokytį ir tendencijas pastarųjų </w:t>
      </w:r>
      <w:r w:rsidR="00364ED5">
        <w:rPr>
          <w:rFonts w:eastAsia="Calibri"/>
          <w:bCs/>
          <w:lang w:eastAsia="en-US"/>
        </w:rPr>
        <w:t>4</w:t>
      </w:r>
      <w:r w:rsidRPr="00F307B8">
        <w:rPr>
          <w:rFonts w:eastAsia="Calibri"/>
          <w:bCs/>
          <w:lang w:eastAsia="en-US"/>
        </w:rPr>
        <w:t xml:space="preserve"> metų laikotarpiu, pateikiama </w:t>
      </w:r>
      <w:r w:rsidRPr="000775A8">
        <w:rPr>
          <w:rFonts w:eastAsia="Calibri"/>
          <w:bCs/>
          <w:lang w:eastAsia="en-US"/>
        </w:rPr>
        <w:t xml:space="preserve">pridedamose schemose. </w:t>
      </w:r>
    </w:p>
    <w:p w14:paraId="3A1D8036" w14:textId="77777777" w:rsidR="006D161B" w:rsidRPr="000775A8" w:rsidRDefault="006D161B">
      <w:pPr>
        <w:suppressAutoHyphens w:val="0"/>
        <w:spacing w:line="360" w:lineRule="auto"/>
        <w:ind w:firstLine="851"/>
        <w:jc w:val="both"/>
        <w:rPr>
          <w:rFonts w:eastAsia="Calibri"/>
          <w:b/>
          <w:bCs/>
          <w:lang w:eastAsia="en-US"/>
        </w:rPr>
      </w:pPr>
    </w:p>
    <w:p w14:paraId="18CC60AD" w14:textId="77777777" w:rsidR="0064302F" w:rsidRPr="00971D83" w:rsidRDefault="0064302F" w:rsidP="00195716">
      <w:pPr>
        <w:pStyle w:val="Sraopastraipa"/>
        <w:numPr>
          <w:ilvl w:val="0"/>
          <w:numId w:val="14"/>
        </w:numPr>
        <w:tabs>
          <w:tab w:val="left" w:pos="284"/>
          <w:tab w:val="left" w:pos="1134"/>
        </w:tabs>
        <w:suppressAutoHyphens w:val="0"/>
        <w:spacing w:line="360" w:lineRule="auto"/>
        <w:ind w:left="851" w:firstLine="0"/>
        <w:jc w:val="both"/>
        <w:rPr>
          <w:rFonts w:eastAsia="Calibri"/>
          <w:b/>
          <w:bCs/>
          <w:lang w:eastAsia="en-US"/>
        </w:rPr>
      </w:pPr>
      <w:r w:rsidRPr="00971D83">
        <w:rPr>
          <w:rFonts w:eastAsia="Calibri"/>
          <w:b/>
          <w:bCs/>
          <w:lang w:eastAsia="en-US"/>
        </w:rPr>
        <w:t xml:space="preserve">Veiksmai, kurių imtasi siekiant pagerinti stebėsenos </w:t>
      </w:r>
      <w:r w:rsidR="00195716">
        <w:rPr>
          <w:rFonts w:eastAsia="Calibri"/>
          <w:b/>
          <w:bCs/>
          <w:lang w:eastAsia="en-US"/>
        </w:rPr>
        <w:t>kokybę ir efektyvumą</w:t>
      </w:r>
    </w:p>
    <w:p w14:paraId="73A58424" w14:textId="77777777" w:rsidR="00F03A70" w:rsidRDefault="00E563D2" w:rsidP="00F03A70">
      <w:pPr>
        <w:suppressAutoHyphens w:val="0"/>
        <w:spacing w:line="360" w:lineRule="auto"/>
        <w:ind w:firstLine="851"/>
        <w:jc w:val="both"/>
        <w:rPr>
          <w:rFonts w:eastAsia="Calibri"/>
          <w:bCs/>
          <w:lang w:eastAsia="en-US"/>
        </w:rPr>
      </w:pPr>
      <w:r>
        <w:rPr>
          <w:rFonts w:eastAsia="Calibri"/>
          <w:bCs/>
          <w:lang w:eastAsia="en-US"/>
        </w:rPr>
        <w:t>Lietuvos Respublikoje galiojantis</w:t>
      </w:r>
      <w:r w:rsidR="00936D7F">
        <w:rPr>
          <w:rFonts w:eastAsia="Calibri"/>
          <w:bCs/>
          <w:lang w:eastAsia="en-US"/>
        </w:rPr>
        <w:t xml:space="preserve"> teisinio reguliavimo stebėsenos reguliavimas</w:t>
      </w:r>
      <w:r>
        <w:rPr>
          <w:rFonts w:eastAsia="Calibri"/>
          <w:bCs/>
          <w:lang w:eastAsia="en-US"/>
        </w:rPr>
        <w:t xml:space="preserve"> </w:t>
      </w:r>
      <w:r w:rsidR="00936D7F">
        <w:rPr>
          <w:rFonts w:eastAsia="Calibri"/>
          <w:bCs/>
          <w:lang w:eastAsia="en-US"/>
        </w:rPr>
        <w:t xml:space="preserve">buvo </w:t>
      </w:r>
      <w:r w:rsidR="004C3DF0">
        <w:rPr>
          <w:rFonts w:eastAsia="Calibri"/>
          <w:bCs/>
          <w:lang w:eastAsia="en-US"/>
        </w:rPr>
        <w:t>į</w:t>
      </w:r>
      <w:r w:rsidR="00936D7F">
        <w:rPr>
          <w:rFonts w:eastAsia="Calibri"/>
          <w:bCs/>
          <w:lang w:eastAsia="en-US"/>
        </w:rPr>
        <w:t>vertintas</w:t>
      </w:r>
      <w:r w:rsidR="004C3DF0">
        <w:rPr>
          <w:rFonts w:eastAsia="Calibri"/>
          <w:bCs/>
          <w:lang w:eastAsia="en-US"/>
        </w:rPr>
        <w:t xml:space="preserve"> </w:t>
      </w:r>
      <w:r w:rsidR="00936D7F" w:rsidRPr="00936D7F">
        <w:rPr>
          <w:rFonts w:eastAsia="Calibri"/>
          <w:bCs/>
          <w:lang w:eastAsia="en-US"/>
        </w:rPr>
        <w:t>Ekonominio bendradarbiavimo ir plėtros organizacijos (EBPO) 2015 m. liepos 29 d. ataskaitoje dėl reguliavimo politikos Lietuvoje</w:t>
      </w:r>
      <w:r w:rsidR="00936D7F">
        <w:rPr>
          <w:rFonts w:eastAsia="Calibri"/>
          <w:bCs/>
          <w:lang w:eastAsia="en-US"/>
        </w:rPr>
        <w:t xml:space="preserve"> ir buvo</w:t>
      </w:r>
      <w:r w:rsidR="00936D7F" w:rsidRPr="00936D7F">
        <w:rPr>
          <w:rFonts w:eastAsia="Calibri"/>
          <w:bCs/>
          <w:lang w:eastAsia="en-US"/>
        </w:rPr>
        <w:t xml:space="preserve"> pateikta rekomendacija įtvirtinti sistemingą baigiamąjį </w:t>
      </w:r>
      <w:r w:rsidR="00936D7F" w:rsidRPr="00936D7F">
        <w:rPr>
          <w:rFonts w:eastAsia="Calibri"/>
          <w:bCs/>
          <w:i/>
          <w:iCs/>
          <w:lang w:eastAsia="en-US"/>
        </w:rPr>
        <w:t>(ex post</w:t>
      </w:r>
      <w:r w:rsidR="00936D7F" w:rsidRPr="00936D7F">
        <w:rPr>
          <w:rFonts w:eastAsia="Calibri"/>
          <w:bCs/>
          <w:lang w:eastAsia="en-US"/>
        </w:rPr>
        <w:t>) teisinio reguliavimo poveikio vertinimą, kartu parengti tokio vertinimo metodiką ir gaires.</w:t>
      </w:r>
      <w:r w:rsidR="00A533E6">
        <w:rPr>
          <w:rFonts w:eastAsia="Calibri"/>
          <w:bCs/>
          <w:lang w:eastAsia="en-US"/>
        </w:rPr>
        <w:t xml:space="preserve"> </w:t>
      </w:r>
      <w:r w:rsidR="00936D7F" w:rsidRPr="00936D7F">
        <w:rPr>
          <w:rFonts w:eastAsia="Calibri"/>
          <w:bCs/>
          <w:lang w:eastAsia="en-US"/>
        </w:rPr>
        <w:t>Atsižvelgiant į EBPO pateiktas rekomendacijas Lietuvai, Lietuvos Respublikos Vyriausybės programos įgyvendinimo plano, patvirtinto Lietuvos Respublikos Vyriausybės 2017 m. kovo</w:t>
      </w:r>
      <w:r w:rsidR="00A533E6">
        <w:rPr>
          <w:rFonts w:eastAsia="Calibri"/>
          <w:bCs/>
          <w:lang w:eastAsia="en-US"/>
        </w:rPr>
        <w:t xml:space="preserve"> 13 d. nutarimu Nr. 167, 3.1.7</w:t>
      </w:r>
      <w:r w:rsidR="00936D7F" w:rsidRPr="00936D7F">
        <w:rPr>
          <w:rFonts w:eastAsia="Calibri"/>
          <w:bCs/>
          <w:lang w:eastAsia="en-US"/>
        </w:rPr>
        <w:t xml:space="preserve"> papunktyje </w:t>
      </w:r>
      <w:r w:rsidR="00637122">
        <w:rPr>
          <w:rFonts w:eastAsia="Calibri"/>
          <w:bCs/>
          <w:lang w:eastAsia="en-US"/>
        </w:rPr>
        <w:t>kaip viena</w:t>
      </w:r>
      <w:r w:rsidR="00FF38B0">
        <w:rPr>
          <w:rFonts w:eastAsia="Calibri"/>
          <w:bCs/>
          <w:lang w:eastAsia="en-US"/>
        </w:rPr>
        <w:t>s</w:t>
      </w:r>
      <w:r w:rsidR="00637122">
        <w:rPr>
          <w:rFonts w:eastAsia="Calibri"/>
          <w:bCs/>
          <w:lang w:eastAsia="en-US"/>
        </w:rPr>
        <w:t xml:space="preserve"> iš darbo </w:t>
      </w:r>
      <w:r w:rsidR="00FF38B0">
        <w:rPr>
          <w:rFonts w:eastAsia="Calibri"/>
          <w:bCs/>
          <w:lang w:eastAsia="en-US"/>
        </w:rPr>
        <w:t xml:space="preserve">„Teisėkūros procesų tobulinimas“ elementų </w:t>
      </w:r>
      <w:r w:rsidR="00936D7F" w:rsidRPr="00936D7F">
        <w:rPr>
          <w:rFonts w:eastAsia="Calibri"/>
          <w:bCs/>
          <w:lang w:eastAsia="en-US"/>
        </w:rPr>
        <w:t>numatytas veiksmas – baigiamojo (</w:t>
      </w:r>
      <w:r w:rsidR="00936D7F" w:rsidRPr="00936D7F">
        <w:rPr>
          <w:rFonts w:eastAsia="Calibri"/>
          <w:bCs/>
          <w:i/>
          <w:lang w:eastAsia="en-US"/>
        </w:rPr>
        <w:t>ex-post</w:t>
      </w:r>
      <w:r w:rsidR="00936D7F" w:rsidRPr="00936D7F">
        <w:rPr>
          <w:rFonts w:eastAsia="Calibri"/>
          <w:bCs/>
          <w:lang w:eastAsia="en-US"/>
        </w:rPr>
        <w:t xml:space="preserve">) vertinimo įdiegimas į </w:t>
      </w:r>
      <w:r w:rsidR="00936D7F" w:rsidRPr="00F03A70">
        <w:rPr>
          <w:rFonts w:eastAsia="Calibri"/>
          <w:bCs/>
          <w:lang w:eastAsia="en-US"/>
        </w:rPr>
        <w:t xml:space="preserve">teisėkūros proceso ciklą. </w:t>
      </w:r>
    </w:p>
    <w:p w14:paraId="2FCB5B3B" w14:textId="77777777" w:rsidR="00F70D29" w:rsidRPr="00F70D29" w:rsidRDefault="00F70D29" w:rsidP="00F70D29">
      <w:pPr>
        <w:suppressAutoHyphens w:val="0"/>
        <w:spacing w:line="360" w:lineRule="auto"/>
        <w:ind w:firstLine="851"/>
        <w:jc w:val="both"/>
        <w:rPr>
          <w:rFonts w:eastAsia="Calibri"/>
          <w:bCs/>
          <w:lang w:val="en-US" w:eastAsia="en-US"/>
        </w:rPr>
      </w:pPr>
      <w:r w:rsidRPr="00F70D29">
        <w:rPr>
          <w:rFonts w:eastAsia="Calibri"/>
          <w:bCs/>
          <w:lang w:eastAsia="en-US"/>
        </w:rPr>
        <w:lastRenderedPageBreak/>
        <w:t>Be kita ko, Lietuvos Respublikos valstybės kontrolės 2018 m. kovo 16 d. valstybinio audito ataskaitoje „Teisėkūros procesas“ buvo pateikta rekomendacija – siekiant nuosekliai ir kryptingai tobulinti esamą teisinį reguliavimą ir efektyviai šiam tikslui naudoti žmogiškuosius išteklius, pertvarkyti teisinio reguliavimo stebėsenos sistemą taip, kad būtų sutelktos skirtingų institucijų kompetencijos teisinio reguliavimo vertinimui atlikti ir nuo fragmentiškų teisinio reguliavimo vertinimų būtų pereita prie aktualių ir problemiškų jo sričių sisteminių vertinimų.</w:t>
      </w:r>
    </w:p>
    <w:p w14:paraId="2777AD8B" w14:textId="77777777" w:rsidR="00F70D29" w:rsidRPr="00F70D29" w:rsidRDefault="00F70D29" w:rsidP="00F70D29">
      <w:pPr>
        <w:suppressAutoHyphens w:val="0"/>
        <w:spacing w:line="360" w:lineRule="auto"/>
        <w:ind w:firstLine="851"/>
        <w:jc w:val="both"/>
        <w:rPr>
          <w:rFonts w:eastAsia="Calibri"/>
          <w:bCs/>
          <w:lang w:val="en-US" w:eastAsia="en-US"/>
        </w:rPr>
      </w:pPr>
      <w:r w:rsidRPr="00F70D29">
        <w:rPr>
          <w:rFonts w:eastAsia="Calibri"/>
          <w:bCs/>
          <w:lang w:eastAsia="en-US"/>
        </w:rPr>
        <w:t>Minėtoje Lietuvos Respublikos valstybės kontrolės ataskaitoje konstatuota, kad fragmentiškai ir nekokybiškai atliekama teisinio reguliavimo stebėsena nesuteikia informacijos apie esamo teisinio reguliavimo reikalingumą, tinkamumą, pakankamumą, efektyvumą, todėl neleidžia kryptingai ir nuosekliai tobulinti esamo teisinio reguliavimo ir tinkamai reaguoti į pokyčius, kurie vyksta įvairiose gyvenimo srityse.</w:t>
      </w:r>
    </w:p>
    <w:p w14:paraId="35496F6F" w14:textId="77777777" w:rsidR="00FF38B0" w:rsidRPr="00971D83" w:rsidRDefault="00F70D29">
      <w:pPr>
        <w:suppressAutoHyphens w:val="0"/>
        <w:spacing w:line="360" w:lineRule="auto"/>
        <w:ind w:firstLine="851"/>
        <w:jc w:val="both"/>
        <w:rPr>
          <w:rFonts w:eastAsia="Calibri"/>
          <w:bCs/>
          <w:lang w:val="en-US" w:eastAsia="en-US"/>
        </w:rPr>
      </w:pPr>
      <w:r w:rsidRPr="00F70D29">
        <w:rPr>
          <w:rFonts w:eastAsia="Calibri"/>
          <w:bCs/>
          <w:lang w:eastAsia="en-US"/>
        </w:rPr>
        <w:t>Be to, vadovaujantis 2017 m. Vyriausybės teisėkūros apžvalgos duomenimis, 2017 m. teisėkūra nebuvo nuosekli; didelė išteklių dalis buvo skiriama vienkartiniams sprendimams, nekuriantiems teisinių taisyklių; net 45 proc. projektų, keičiančių galiojančius teisės aktus, buvo svarstomi Vyriausybės posėdyje nepraėjus metams nuo ankstesnio to paties teisės akto pakeitimo svarstymo Vyriausybėje. Tai liudija, kad stokojama sisteminio požiūrio į galiojančio teisinio reguliavimo vertinimą ir tobulinimą, taip pat į tinkamą teisės aktų projektų kokybę.</w:t>
      </w:r>
    </w:p>
    <w:p w14:paraId="5D44C92B" w14:textId="77777777" w:rsidR="00A533E6" w:rsidRPr="00F03A70" w:rsidRDefault="00936D7F" w:rsidP="00F03A70">
      <w:pPr>
        <w:suppressAutoHyphens w:val="0"/>
        <w:spacing w:line="360" w:lineRule="auto"/>
        <w:ind w:firstLine="851"/>
        <w:jc w:val="both"/>
        <w:rPr>
          <w:rFonts w:eastAsia="Calibri"/>
          <w:bCs/>
          <w:lang w:eastAsia="en-US"/>
        </w:rPr>
      </w:pPr>
      <w:r w:rsidRPr="00F03A70">
        <w:rPr>
          <w:rFonts w:eastAsia="Calibri"/>
          <w:bCs/>
          <w:lang w:eastAsia="en-US"/>
        </w:rPr>
        <w:t xml:space="preserve">Atsižvelgiant į tai, </w:t>
      </w:r>
      <w:r w:rsidR="007C2265">
        <w:rPr>
          <w:rFonts w:eastAsia="Calibri"/>
          <w:bCs/>
          <w:lang w:eastAsia="en-US"/>
        </w:rPr>
        <w:t>Teisingumo ministerija parengė</w:t>
      </w:r>
      <w:r w:rsidR="00183160" w:rsidRPr="00183160">
        <w:rPr>
          <w:rFonts w:eastAsia="Calibri"/>
          <w:bCs/>
          <w:iCs/>
          <w:lang w:eastAsia="en-US"/>
        </w:rPr>
        <w:t xml:space="preserve"> Lietuvos Respublikos teisėkūros pagrindų įstatymo Nr. XI-2220 2, 3, 5, 6, 7, 8, 10 straipsnių ir ketvir</w:t>
      </w:r>
      <w:r w:rsidR="00183160">
        <w:rPr>
          <w:rFonts w:eastAsia="Calibri"/>
          <w:bCs/>
          <w:iCs/>
          <w:lang w:eastAsia="en-US"/>
        </w:rPr>
        <w:t>tojo skirsnio pakeitimo įstatymo projektą</w:t>
      </w:r>
      <w:r w:rsidR="007C2265">
        <w:rPr>
          <w:rFonts w:eastAsia="Calibri"/>
          <w:bCs/>
          <w:lang w:eastAsia="en-US"/>
        </w:rPr>
        <w:t xml:space="preserve">, </w:t>
      </w:r>
      <w:r w:rsidR="00B525A3">
        <w:rPr>
          <w:rFonts w:eastAsia="Calibri"/>
          <w:bCs/>
          <w:lang w:eastAsia="en-US"/>
        </w:rPr>
        <w:t>kurį</w:t>
      </w:r>
      <w:r w:rsidR="007C2265">
        <w:rPr>
          <w:rFonts w:eastAsia="Calibri"/>
          <w:bCs/>
          <w:lang w:eastAsia="en-US"/>
        </w:rPr>
        <w:t xml:space="preserve"> Vyriausybė </w:t>
      </w:r>
      <w:r w:rsidR="00195716">
        <w:rPr>
          <w:rFonts w:eastAsia="Calibri"/>
          <w:bCs/>
          <w:lang w:eastAsia="en-US"/>
        </w:rPr>
        <w:t xml:space="preserve">2018 m. spalio 3 d. </w:t>
      </w:r>
      <w:r w:rsidR="007C2265">
        <w:rPr>
          <w:rFonts w:eastAsia="Calibri"/>
          <w:bCs/>
          <w:lang w:eastAsia="en-US"/>
        </w:rPr>
        <w:t>pateikė</w:t>
      </w:r>
      <w:r w:rsidR="00B525A3">
        <w:rPr>
          <w:rFonts w:eastAsia="Calibri"/>
          <w:bCs/>
          <w:lang w:eastAsia="en-US"/>
        </w:rPr>
        <w:t xml:space="preserve"> Lietuvos Respublikos Seimui. </w:t>
      </w:r>
      <w:r w:rsidR="00F03A70" w:rsidRPr="00F03A70">
        <w:rPr>
          <w:rFonts w:eastAsia="Calibri"/>
          <w:bCs/>
          <w:lang w:eastAsia="en-US"/>
        </w:rPr>
        <w:t>2</w:t>
      </w:r>
      <w:r w:rsidR="00A533E6" w:rsidRPr="00F03A70">
        <w:rPr>
          <w:rFonts w:eastAsia="Calibri"/>
          <w:bCs/>
          <w:iCs/>
          <w:lang w:val="en-US" w:eastAsia="en-US"/>
        </w:rPr>
        <w:t xml:space="preserve">019 m. </w:t>
      </w:r>
      <w:r w:rsidR="00A533E6" w:rsidRPr="00F03A70">
        <w:rPr>
          <w:rFonts w:eastAsia="Calibri"/>
          <w:bCs/>
          <w:iCs/>
          <w:lang w:eastAsia="en-US"/>
        </w:rPr>
        <w:t>gegužės</w:t>
      </w:r>
      <w:r w:rsidR="00A533E6" w:rsidRPr="00F03A70">
        <w:rPr>
          <w:rFonts w:eastAsia="Calibri"/>
          <w:bCs/>
          <w:iCs/>
          <w:lang w:val="en-US" w:eastAsia="en-US"/>
        </w:rPr>
        <w:t xml:space="preserve"> 28 d.</w:t>
      </w:r>
      <w:r w:rsidR="00A533E6" w:rsidRPr="00F03A70">
        <w:rPr>
          <w:rFonts w:eastAsia="Calibri"/>
          <w:bCs/>
          <w:iCs/>
          <w:lang w:eastAsia="en-US"/>
        </w:rPr>
        <w:t xml:space="preserve"> </w:t>
      </w:r>
      <w:r w:rsidR="007C2265">
        <w:rPr>
          <w:rFonts w:eastAsia="Calibri"/>
          <w:bCs/>
          <w:iCs/>
          <w:lang w:eastAsia="en-US"/>
        </w:rPr>
        <w:t xml:space="preserve">buvo </w:t>
      </w:r>
      <w:r w:rsidR="00A533E6" w:rsidRPr="00F03A70">
        <w:rPr>
          <w:rFonts w:eastAsia="Calibri"/>
          <w:bCs/>
          <w:iCs/>
          <w:lang w:eastAsia="en-US"/>
        </w:rPr>
        <w:t>priimtas Lietuvos Respublikos teisėkūros pagrindų įstatymo Nr. XI-2220 2, 3, 5, 6, 7, 8, 10 straipsnių ir ketvirtojo skirsnio pakeitimo įstatymas Nr. XIII-2134</w:t>
      </w:r>
      <w:r w:rsidR="00A533E6" w:rsidRPr="00F03A70">
        <w:rPr>
          <w:rFonts w:eastAsia="Calibri"/>
          <w:bCs/>
          <w:lang w:eastAsia="en-US"/>
        </w:rPr>
        <w:t xml:space="preserve">, numatantis </w:t>
      </w:r>
      <w:r w:rsidR="007C2265">
        <w:rPr>
          <w:rFonts w:eastAsia="Calibri"/>
          <w:bCs/>
          <w:lang w:eastAsia="en-US"/>
        </w:rPr>
        <w:t xml:space="preserve">galiojančio teisinio reguliavimo poveikio ex post vertinimo institutą, kuris nuo </w:t>
      </w:r>
      <w:r w:rsidR="00A533E6" w:rsidRPr="00F03A70">
        <w:rPr>
          <w:rFonts w:eastAsia="Calibri"/>
          <w:bCs/>
          <w:lang w:eastAsia="en-US"/>
        </w:rPr>
        <w:t>2020 m. balandžio 1 d.</w:t>
      </w:r>
      <w:r w:rsidR="007C2265">
        <w:rPr>
          <w:rFonts w:eastAsia="Calibri"/>
          <w:bCs/>
          <w:lang w:eastAsia="en-US"/>
        </w:rPr>
        <w:t xml:space="preserve"> pakeis </w:t>
      </w:r>
      <w:r w:rsidR="00B525A3">
        <w:rPr>
          <w:rFonts w:eastAsia="Calibri"/>
          <w:bCs/>
          <w:lang w:eastAsia="en-US"/>
        </w:rPr>
        <w:t xml:space="preserve">teisinio reguliavimo </w:t>
      </w:r>
      <w:r w:rsidR="007C2265">
        <w:rPr>
          <w:rFonts w:eastAsia="Calibri"/>
          <w:bCs/>
          <w:lang w:eastAsia="en-US"/>
        </w:rPr>
        <w:t xml:space="preserve">stebėsenos institutą. </w:t>
      </w:r>
    </w:p>
    <w:p w14:paraId="32E65A47" w14:textId="77777777" w:rsidR="00A533E6" w:rsidRPr="00F03A70" w:rsidRDefault="00A533E6" w:rsidP="00A533E6">
      <w:pPr>
        <w:suppressAutoHyphens w:val="0"/>
        <w:spacing w:line="360" w:lineRule="auto"/>
        <w:ind w:firstLine="851"/>
        <w:jc w:val="both"/>
        <w:rPr>
          <w:rFonts w:eastAsia="Calibri"/>
          <w:bCs/>
          <w:lang w:eastAsia="en-US"/>
        </w:rPr>
      </w:pPr>
      <w:r w:rsidRPr="00F03A70">
        <w:rPr>
          <w:rFonts w:eastAsia="Calibri"/>
          <w:bCs/>
          <w:lang w:eastAsia="en-US"/>
        </w:rPr>
        <w:t xml:space="preserve">Galiojančio teisinio reguliavimo poveikio </w:t>
      </w:r>
      <w:r w:rsidRPr="00F03A70">
        <w:rPr>
          <w:rFonts w:eastAsia="Calibri"/>
          <w:bCs/>
          <w:i/>
          <w:lang w:eastAsia="en-US"/>
        </w:rPr>
        <w:t>ex post</w:t>
      </w:r>
      <w:r w:rsidRPr="00F03A70">
        <w:rPr>
          <w:rFonts w:eastAsia="Calibri"/>
          <w:bCs/>
          <w:lang w:eastAsia="en-US"/>
        </w:rPr>
        <w:t xml:space="preserve"> vertinimo tikslas – pasitikrinti, ar / kaip praktikoje veikia atitinkamas teisinis reguliavimas, t. y. surinkti patikimus duomenis apie šio reguliavimo praktinį poveikį ir kokybiškai įvertinti jo taikymą bei veikimą. Įdiegus </w:t>
      </w:r>
      <w:r w:rsidRPr="00F03A70">
        <w:rPr>
          <w:rFonts w:eastAsia="Calibri"/>
          <w:bCs/>
          <w:i/>
          <w:iCs/>
          <w:lang w:eastAsia="en-US"/>
        </w:rPr>
        <w:t>ex post</w:t>
      </w:r>
      <w:r w:rsidRPr="00F03A70">
        <w:rPr>
          <w:rFonts w:eastAsia="Calibri"/>
          <w:bCs/>
          <w:lang w:eastAsia="en-US"/>
        </w:rPr>
        <w:t xml:space="preserve"> vertinimo modelį tikimasi nuoseklesnės teisėkūros, sisteminio požiūrio į galiojančio teisinio reguliavimo vertinimą ir tobulinimą, taip pat į tinkamą teisės aktų projektų kokybę, racionalesnio išteklių panaudojimo, didesnio visuomenės įtraukimo. </w:t>
      </w:r>
    </w:p>
    <w:p w14:paraId="4A221F99" w14:textId="77777777" w:rsidR="00A533E6" w:rsidRPr="00F03A70" w:rsidRDefault="00A533E6" w:rsidP="00A533E6">
      <w:pPr>
        <w:suppressAutoHyphens w:val="0"/>
        <w:spacing w:line="360" w:lineRule="auto"/>
        <w:ind w:firstLine="851"/>
        <w:jc w:val="both"/>
        <w:rPr>
          <w:rFonts w:eastAsia="Calibri"/>
          <w:bCs/>
          <w:lang w:eastAsia="en-US"/>
        </w:rPr>
      </w:pPr>
      <w:r w:rsidRPr="00F03A70">
        <w:rPr>
          <w:rFonts w:eastAsia="Calibri"/>
          <w:bCs/>
          <w:lang w:eastAsia="en-US"/>
        </w:rPr>
        <w:t>2020 m. sausio 29 d. Vyriausybė priėmė nutarimą „Dėl Lietuvos Respublikos teisėkūros pagrindų įstatymo įgyvendinimo“</w:t>
      </w:r>
      <w:r w:rsidR="00F03A70" w:rsidRPr="00F03A70">
        <w:rPr>
          <w:rFonts w:eastAsia="Calibri"/>
          <w:bCs/>
          <w:lang w:eastAsia="en-US"/>
        </w:rPr>
        <w:t xml:space="preserve"> Nr. 69</w:t>
      </w:r>
      <w:r w:rsidRPr="00F03A70">
        <w:rPr>
          <w:rFonts w:eastAsia="Calibri"/>
          <w:bCs/>
          <w:lang w:eastAsia="en-US"/>
        </w:rPr>
        <w:t xml:space="preserve">, kuriuo paskyrė Lietuvos Respublikos teisingumo ministeriją galiojančio teisinio reguliavimo poveikio </w:t>
      </w:r>
      <w:r w:rsidRPr="00F03A70">
        <w:rPr>
          <w:rFonts w:eastAsia="Calibri"/>
          <w:bCs/>
          <w:i/>
          <w:lang w:eastAsia="en-US"/>
        </w:rPr>
        <w:t>ex post</w:t>
      </w:r>
      <w:r w:rsidRPr="00F03A70">
        <w:rPr>
          <w:rFonts w:eastAsia="Calibri"/>
          <w:bCs/>
          <w:lang w:eastAsia="en-US"/>
        </w:rPr>
        <w:t xml:space="preserve"> vertinimą koordinuojančia institucija. </w:t>
      </w:r>
    </w:p>
    <w:p w14:paraId="1A230734" w14:textId="77777777" w:rsidR="00A533E6" w:rsidRPr="00F03A70" w:rsidRDefault="00A533E6" w:rsidP="00A533E6">
      <w:pPr>
        <w:suppressAutoHyphens w:val="0"/>
        <w:spacing w:line="360" w:lineRule="auto"/>
        <w:ind w:firstLine="851"/>
        <w:jc w:val="both"/>
        <w:rPr>
          <w:rFonts w:eastAsia="Calibri"/>
          <w:bCs/>
          <w:lang w:eastAsia="en-US"/>
        </w:rPr>
      </w:pPr>
      <w:r w:rsidRPr="00F03A70">
        <w:rPr>
          <w:rFonts w:eastAsia="Calibri"/>
          <w:bCs/>
          <w:lang w:eastAsia="en-US"/>
        </w:rPr>
        <w:lastRenderedPageBreak/>
        <w:t xml:space="preserve">Šiuo metu Teisingumo ministerija </w:t>
      </w:r>
      <w:r w:rsidR="008F5B79">
        <w:rPr>
          <w:rFonts w:eastAsia="Calibri"/>
          <w:bCs/>
          <w:lang w:eastAsia="en-US"/>
        </w:rPr>
        <w:t xml:space="preserve">yra parengusi </w:t>
      </w:r>
      <w:r w:rsidR="008F5B79" w:rsidRPr="00A92599">
        <w:rPr>
          <w:rFonts w:eastAsia="Calibri"/>
          <w:bCs/>
          <w:lang w:eastAsia="en-US"/>
        </w:rPr>
        <w:t>ir pateikusi derinti</w:t>
      </w:r>
      <w:r w:rsidR="008F5B79" w:rsidRPr="00F03A70">
        <w:rPr>
          <w:rFonts w:eastAsia="Calibri"/>
          <w:bCs/>
          <w:lang w:eastAsia="en-US"/>
        </w:rPr>
        <w:t xml:space="preserve"> </w:t>
      </w:r>
      <w:r w:rsidRPr="00F03A70">
        <w:rPr>
          <w:rFonts w:eastAsia="Calibri"/>
          <w:bCs/>
          <w:lang w:eastAsia="en-US"/>
        </w:rPr>
        <w:t xml:space="preserve">Vyriausybės nutarimo projektą, kuriuo numatoma tvirtinti Galiojančio teisinio reguliavimo poveikio </w:t>
      </w:r>
      <w:r w:rsidRPr="00F03A70">
        <w:rPr>
          <w:rFonts w:eastAsia="Calibri"/>
          <w:bCs/>
          <w:i/>
          <w:iCs/>
          <w:lang w:eastAsia="en-US"/>
        </w:rPr>
        <w:t xml:space="preserve">ex post </w:t>
      </w:r>
      <w:r w:rsidRPr="00F03A70">
        <w:rPr>
          <w:rFonts w:eastAsia="Calibri"/>
          <w:bCs/>
          <w:lang w:eastAsia="en-US"/>
        </w:rPr>
        <w:t>vertinimo metodiką ir</w:t>
      </w:r>
      <w:r w:rsidR="00FA4F68">
        <w:rPr>
          <w:rFonts w:eastAsia="Calibri"/>
          <w:bCs/>
          <w:lang w:eastAsia="en-US"/>
        </w:rPr>
        <w:t xml:space="preserve"> G</w:t>
      </w:r>
      <w:r w:rsidR="006D5458">
        <w:rPr>
          <w:rFonts w:eastAsia="Calibri"/>
          <w:bCs/>
          <w:lang w:eastAsia="en-US"/>
        </w:rPr>
        <w:t>aliojančio</w:t>
      </w:r>
      <w:r w:rsidR="008F5B79">
        <w:rPr>
          <w:rFonts w:eastAsia="Calibri"/>
          <w:bCs/>
          <w:lang w:eastAsia="en-US"/>
        </w:rPr>
        <w:t xml:space="preserve"> teisinio reguliavimo poveikio</w:t>
      </w:r>
      <w:r w:rsidRPr="00F03A70">
        <w:rPr>
          <w:rFonts w:eastAsia="Calibri"/>
          <w:bCs/>
          <w:lang w:eastAsia="en-US"/>
        </w:rPr>
        <w:t xml:space="preserve"> </w:t>
      </w:r>
      <w:r w:rsidRPr="00F03A70">
        <w:rPr>
          <w:rFonts w:eastAsia="Calibri"/>
          <w:bCs/>
          <w:i/>
          <w:lang w:eastAsia="en-US"/>
        </w:rPr>
        <w:t>ex post</w:t>
      </w:r>
      <w:r w:rsidRPr="00F03A70">
        <w:rPr>
          <w:rFonts w:eastAsia="Calibri"/>
          <w:bCs/>
          <w:lang w:eastAsia="en-US"/>
        </w:rPr>
        <w:t xml:space="preserve"> vertinimo ataskaitos formą. </w:t>
      </w:r>
    </w:p>
    <w:p w14:paraId="4CD80877" w14:textId="77777777" w:rsidR="001248EC" w:rsidRPr="001248EC" w:rsidRDefault="001248EC" w:rsidP="001248EC">
      <w:pPr>
        <w:suppressAutoHyphens w:val="0"/>
        <w:spacing w:line="360" w:lineRule="auto"/>
        <w:ind w:firstLine="851"/>
        <w:jc w:val="both"/>
        <w:rPr>
          <w:rFonts w:eastAsia="Calibri"/>
          <w:bCs/>
          <w:lang w:val="en-US" w:eastAsia="en-US"/>
        </w:rPr>
      </w:pPr>
    </w:p>
    <w:p w14:paraId="16C9AE60" w14:textId="77777777" w:rsidR="004C3DF0" w:rsidRPr="004C3DF0" w:rsidRDefault="005D60AF" w:rsidP="00195716">
      <w:pPr>
        <w:suppressAutoHyphens w:val="0"/>
        <w:spacing w:line="360" w:lineRule="auto"/>
        <w:ind w:firstLine="851"/>
        <w:jc w:val="both"/>
        <w:rPr>
          <w:rFonts w:eastAsia="Calibri"/>
          <w:b/>
          <w:bCs/>
          <w:lang w:eastAsia="en-US"/>
        </w:rPr>
      </w:pPr>
      <w:r>
        <w:rPr>
          <w:rFonts w:eastAsia="Calibri"/>
          <w:b/>
          <w:bCs/>
          <w:lang w:eastAsia="en-US"/>
        </w:rPr>
        <w:t>5</w:t>
      </w:r>
      <w:r w:rsidR="004C3DF0" w:rsidRPr="004C3DF0">
        <w:rPr>
          <w:rFonts w:eastAsia="Calibri"/>
          <w:b/>
          <w:bCs/>
          <w:lang w:eastAsia="en-US"/>
        </w:rPr>
        <w:t>. Tolimesni veiksmai</w:t>
      </w:r>
    </w:p>
    <w:p w14:paraId="523356FD" w14:textId="77777777" w:rsidR="006A10B2" w:rsidRDefault="004C3DF0" w:rsidP="009D3AB1">
      <w:pPr>
        <w:suppressAutoHyphens w:val="0"/>
        <w:spacing w:line="360" w:lineRule="auto"/>
        <w:ind w:firstLine="851"/>
        <w:jc w:val="both"/>
        <w:rPr>
          <w:rFonts w:eastAsia="Calibri"/>
          <w:bCs/>
          <w:lang w:eastAsia="en-US"/>
        </w:rPr>
      </w:pPr>
      <w:r>
        <w:rPr>
          <w:rFonts w:eastAsia="Calibri"/>
          <w:bCs/>
          <w:lang w:eastAsia="en-US"/>
        </w:rPr>
        <w:t>Po 201</w:t>
      </w:r>
      <w:r w:rsidR="005448CE">
        <w:rPr>
          <w:rFonts w:eastAsia="Calibri"/>
          <w:bCs/>
          <w:lang w:eastAsia="en-US"/>
        </w:rPr>
        <w:t>9</w:t>
      </w:r>
      <w:r w:rsidR="00C412A6" w:rsidRPr="00030DFF">
        <w:rPr>
          <w:rFonts w:eastAsia="Calibri"/>
          <w:bCs/>
          <w:lang w:eastAsia="en-US"/>
        </w:rPr>
        <w:t xml:space="preserve"> m. atliktos teisinio reguliavimo stebėsenos institucijos, numačiusios keisti teisinį reguliavimą, turi per Stebėsenos atlikimo tvarkos aprašo 18 punkte nustatytą 6 mėnesių nuo teisinio reguliavimo stebėsenos atlikimo pabaigos terminą parengti ir pateikti te</w:t>
      </w:r>
      <w:r w:rsidR="00195713">
        <w:rPr>
          <w:rFonts w:eastAsia="Calibri"/>
          <w:bCs/>
          <w:lang w:eastAsia="en-US"/>
        </w:rPr>
        <w:t>isės aktų projektus.</w:t>
      </w:r>
      <w:r w:rsidR="009D3AB1">
        <w:rPr>
          <w:rFonts w:eastAsia="Calibri"/>
          <w:bCs/>
          <w:lang w:eastAsia="en-US"/>
        </w:rPr>
        <w:t xml:space="preserve"> Taip pat pažymėtina, kad k</w:t>
      </w:r>
      <w:r w:rsidR="005C591A">
        <w:rPr>
          <w:rFonts w:eastAsia="Calibri"/>
          <w:bCs/>
          <w:lang w:eastAsia="en-US"/>
        </w:rPr>
        <w:t>ol kas nei viena institucija</w:t>
      </w:r>
      <w:r w:rsidR="00ED19DE">
        <w:rPr>
          <w:rFonts w:eastAsia="Calibri"/>
          <w:bCs/>
          <w:lang w:eastAsia="en-US"/>
        </w:rPr>
        <w:t xml:space="preserve"> Teisingumo ministerijai </w:t>
      </w:r>
      <w:r w:rsidR="005C591A">
        <w:rPr>
          <w:rFonts w:eastAsia="Calibri"/>
          <w:bCs/>
          <w:lang w:eastAsia="en-US"/>
        </w:rPr>
        <w:t>nėra</w:t>
      </w:r>
      <w:r w:rsidR="00ED19DE">
        <w:rPr>
          <w:rFonts w:eastAsia="Calibri"/>
          <w:bCs/>
          <w:lang w:eastAsia="en-US"/>
        </w:rPr>
        <w:t xml:space="preserve"> pateikusi 20</w:t>
      </w:r>
      <w:r w:rsidR="00C60B11">
        <w:rPr>
          <w:rFonts w:eastAsia="Calibri"/>
          <w:bCs/>
          <w:lang w:eastAsia="en-US"/>
        </w:rPr>
        <w:t>20</w:t>
      </w:r>
      <w:r w:rsidR="00ED19DE">
        <w:rPr>
          <w:rFonts w:eastAsia="Calibri"/>
          <w:bCs/>
          <w:lang w:eastAsia="en-US"/>
        </w:rPr>
        <w:t xml:space="preserve"> m. teisin</w:t>
      </w:r>
      <w:r w:rsidR="005C591A">
        <w:rPr>
          <w:rFonts w:eastAsia="Calibri"/>
          <w:bCs/>
          <w:lang w:eastAsia="en-US"/>
        </w:rPr>
        <w:t>io reguliavimo stebėsenos planų</w:t>
      </w:r>
      <w:r w:rsidR="00ED19DE">
        <w:rPr>
          <w:rFonts w:eastAsia="Calibri"/>
          <w:bCs/>
          <w:lang w:eastAsia="en-US"/>
        </w:rPr>
        <w:t>.</w:t>
      </w:r>
      <w:r w:rsidR="00E80408">
        <w:rPr>
          <w:rFonts w:eastAsia="Calibri"/>
          <w:bCs/>
          <w:lang w:eastAsia="en-US"/>
        </w:rPr>
        <w:t xml:space="preserve"> </w:t>
      </w:r>
      <w:r w:rsidR="00C60B11">
        <w:rPr>
          <w:rFonts w:eastAsia="Calibri"/>
          <w:bCs/>
          <w:lang w:eastAsia="en-US"/>
        </w:rPr>
        <w:t xml:space="preserve">Pažymėtina, kad iki </w:t>
      </w:r>
      <w:r w:rsidR="00C60B11" w:rsidRPr="00C60B11">
        <w:rPr>
          <w:rFonts w:eastAsia="Calibri"/>
          <w:bCs/>
          <w:iCs/>
          <w:lang w:eastAsia="en-US"/>
        </w:rPr>
        <w:t>Lietuvos Respublikos teisėkūros pagrindų įstatymo Nr. XI-2220 2, 3, 5, 6, 7, 8, 10 straipsnių ir ketvirt</w:t>
      </w:r>
      <w:r w:rsidR="00C60B11">
        <w:rPr>
          <w:rFonts w:eastAsia="Calibri"/>
          <w:bCs/>
          <w:iCs/>
          <w:lang w:eastAsia="en-US"/>
        </w:rPr>
        <w:t>ojo skirsnio pakeitimo įstatymo</w:t>
      </w:r>
      <w:r w:rsidR="00C60B11" w:rsidRPr="00C60B11">
        <w:rPr>
          <w:rFonts w:eastAsia="Calibri"/>
          <w:bCs/>
          <w:iCs/>
          <w:lang w:eastAsia="en-US"/>
        </w:rPr>
        <w:t xml:space="preserve"> Nr. XIII-2134</w:t>
      </w:r>
      <w:r w:rsidR="00C60B11">
        <w:rPr>
          <w:rFonts w:eastAsia="Calibri"/>
          <w:bCs/>
          <w:iCs/>
          <w:lang w:eastAsia="en-US"/>
        </w:rPr>
        <w:t xml:space="preserve"> įsigaliojimo stebėsenos planai dar </w:t>
      </w:r>
      <w:r w:rsidR="00045ABD">
        <w:rPr>
          <w:rFonts w:eastAsia="Calibri"/>
          <w:bCs/>
          <w:iCs/>
          <w:lang w:eastAsia="en-US"/>
        </w:rPr>
        <w:t xml:space="preserve">gali </w:t>
      </w:r>
      <w:r w:rsidR="00C60B11">
        <w:rPr>
          <w:rFonts w:eastAsia="Calibri"/>
          <w:bCs/>
          <w:iCs/>
          <w:lang w:eastAsia="en-US"/>
        </w:rPr>
        <w:t xml:space="preserve">būti tvirtinami vadovaujantis galiojančiu teisiniu reguliavimu. </w:t>
      </w:r>
      <w:r w:rsidR="00BC61F6">
        <w:rPr>
          <w:rFonts w:eastAsia="Calibri"/>
          <w:bCs/>
          <w:lang w:eastAsia="en-US"/>
        </w:rPr>
        <w:t xml:space="preserve">Atkreiptinas dėmesys į </w:t>
      </w:r>
      <w:r w:rsidR="00BC61F6" w:rsidRPr="00BC61F6">
        <w:rPr>
          <w:rFonts w:eastAsia="Calibri"/>
          <w:bCs/>
          <w:iCs/>
          <w:lang w:eastAsia="en-US"/>
        </w:rPr>
        <w:t>Lietuvos Respublikos teisėkūros pagrindų įstatymo Nr. XI-2220 2, 3, 5, 6, 7, 8, 10 straipsnių ir ketvirtojo skirsnio pakeitimo įstatymo Nr. XIII-2134</w:t>
      </w:r>
      <w:r w:rsidR="00BC61F6">
        <w:rPr>
          <w:rFonts w:eastAsia="Calibri"/>
          <w:bCs/>
          <w:iCs/>
          <w:lang w:eastAsia="en-US"/>
        </w:rPr>
        <w:t xml:space="preserve"> 9 straipsnio 3 dalį </w:t>
      </w:r>
      <w:r w:rsidR="009379BC">
        <w:rPr>
          <w:rFonts w:eastAsia="Calibri"/>
          <w:bCs/>
          <w:iCs/>
          <w:lang w:eastAsia="en-US"/>
        </w:rPr>
        <w:t>nustatančią, kad t</w:t>
      </w:r>
      <w:r w:rsidR="009379BC" w:rsidRPr="009379BC">
        <w:rPr>
          <w:rFonts w:eastAsia="Calibri"/>
          <w:bCs/>
          <w:iCs/>
          <w:lang w:eastAsia="en-US"/>
        </w:rPr>
        <w:t>eisinio reguliavimo stebėsena, pradėta iki šio įstatymo įsigaliojimo, baigiama pagal iki šio įstatymo įsigaliojimo galiojusias teisinio reguliavimo stebėsenos atlikimo taisykles</w:t>
      </w:r>
      <w:r w:rsidR="00045ABD">
        <w:rPr>
          <w:rFonts w:eastAsia="Calibri"/>
          <w:bCs/>
          <w:iCs/>
          <w:lang w:eastAsia="en-US"/>
        </w:rPr>
        <w:t>, taigi</w:t>
      </w:r>
      <w:r w:rsidR="009379BC">
        <w:rPr>
          <w:rFonts w:eastAsia="Calibri"/>
          <w:bCs/>
          <w:iCs/>
          <w:lang w:eastAsia="en-US"/>
        </w:rPr>
        <w:t xml:space="preserve"> </w:t>
      </w:r>
      <w:r w:rsidR="004D6816" w:rsidRPr="004D6816">
        <w:rPr>
          <w:rFonts w:eastAsia="Calibri"/>
          <w:bCs/>
          <w:iCs/>
          <w:lang w:eastAsia="en-US"/>
        </w:rPr>
        <w:t>teisin</w:t>
      </w:r>
      <w:r w:rsidR="004D6816">
        <w:rPr>
          <w:rFonts w:eastAsia="Calibri"/>
          <w:bCs/>
          <w:iCs/>
          <w:lang w:eastAsia="en-US"/>
        </w:rPr>
        <w:t xml:space="preserve">io reguliavimo stebėsena, pradėta vykdyti </w:t>
      </w:r>
      <w:r w:rsidR="004D6816" w:rsidRPr="004D6816">
        <w:rPr>
          <w:rFonts w:eastAsia="Calibri"/>
          <w:bCs/>
          <w:iCs/>
          <w:lang w:eastAsia="en-US"/>
        </w:rPr>
        <w:t xml:space="preserve">pagal iki </w:t>
      </w:r>
      <w:r w:rsidR="00045ABD">
        <w:rPr>
          <w:rFonts w:eastAsia="Calibri"/>
          <w:bCs/>
          <w:iCs/>
          <w:lang w:eastAsia="en-US"/>
        </w:rPr>
        <w:t>2020 m. balandžio 1 d. patvirtintus stebėsenos planus</w:t>
      </w:r>
      <w:r w:rsidR="00A16458">
        <w:rPr>
          <w:rFonts w:eastAsia="Calibri"/>
          <w:bCs/>
          <w:iCs/>
          <w:lang w:eastAsia="en-US"/>
        </w:rPr>
        <w:t>,</w:t>
      </w:r>
      <w:r w:rsidR="00045ABD">
        <w:rPr>
          <w:rFonts w:eastAsia="Calibri"/>
          <w:bCs/>
          <w:iCs/>
          <w:lang w:eastAsia="en-US"/>
        </w:rPr>
        <w:t xml:space="preserve"> galės būti </w:t>
      </w:r>
      <w:r w:rsidR="004D6816">
        <w:rPr>
          <w:rFonts w:eastAsia="Calibri"/>
          <w:bCs/>
          <w:iCs/>
          <w:lang w:eastAsia="en-US"/>
        </w:rPr>
        <w:t>baigiama pagal šiuo metu galiojančią tvarką. T</w:t>
      </w:r>
      <w:r w:rsidR="00A16458">
        <w:rPr>
          <w:rFonts w:eastAsia="Calibri"/>
          <w:bCs/>
          <w:iCs/>
          <w:lang w:eastAsia="en-US"/>
        </w:rPr>
        <w:t>odėl</w:t>
      </w:r>
      <w:r w:rsidR="004D6816">
        <w:rPr>
          <w:rFonts w:eastAsia="Calibri"/>
          <w:bCs/>
          <w:iCs/>
          <w:lang w:eastAsia="en-US"/>
        </w:rPr>
        <w:t>, pavyzdžiui, Finansų ministerija</w:t>
      </w:r>
      <w:r w:rsidR="00045ABD">
        <w:rPr>
          <w:rFonts w:eastAsia="Calibri"/>
          <w:bCs/>
          <w:iCs/>
          <w:lang w:eastAsia="en-US"/>
        </w:rPr>
        <w:t>,</w:t>
      </w:r>
      <w:r w:rsidR="004D6816">
        <w:rPr>
          <w:rFonts w:eastAsia="Calibri"/>
          <w:bCs/>
          <w:iCs/>
          <w:lang w:eastAsia="en-US"/>
        </w:rPr>
        <w:t xml:space="preserve"> </w:t>
      </w:r>
      <w:r w:rsidR="004D6816">
        <w:rPr>
          <w:rFonts w:eastAsia="Calibri"/>
          <w:bCs/>
          <w:lang w:eastAsia="en-US"/>
        </w:rPr>
        <w:t xml:space="preserve">kuri informavo, jog ketina pratęsti Lietuvos Respublikos mokesčių administravimo įstatymo teisinio reguliavimo stebėseną, savo atliekamą stebėseną turės užbaigti pagal šiuo metu galiojančias teisinio reguliavimo nuostatas. </w:t>
      </w:r>
    </w:p>
    <w:p w14:paraId="169D1801" w14:textId="77777777" w:rsidR="006A10B2" w:rsidRDefault="006A10B2" w:rsidP="009D3AB1">
      <w:pPr>
        <w:suppressAutoHyphens w:val="0"/>
        <w:spacing w:line="360" w:lineRule="auto"/>
        <w:ind w:firstLine="851"/>
        <w:jc w:val="both"/>
        <w:rPr>
          <w:rFonts w:eastAsia="Calibri"/>
          <w:bCs/>
          <w:lang w:eastAsia="en-US"/>
        </w:rPr>
      </w:pPr>
    </w:p>
    <w:p w14:paraId="23AEAE04" w14:textId="77777777" w:rsidR="00ED19DE" w:rsidRPr="00971D83" w:rsidRDefault="006A10B2" w:rsidP="00195716">
      <w:pPr>
        <w:pStyle w:val="Sraopastraipa"/>
        <w:numPr>
          <w:ilvl w:val="0"/>
          <w:numId w:val="15"/>
        </w:numPr>
        <w:tabs>
          <w:tab w:val="left" w:pos="426"/>
          <w:tab w:val="left" w:pos="1134"/>
        </w:tabs>
        <w:suppressAutoHyphens w:val="0"/>
        <w:spacing w:line="360" w:lineRule="auto"/>
        <w:ind w:left="0" w:firstLine="851"/>
        <w:jc w:val="both"/>
        <w:rPr>
          <w:rFonts w:eastAsia="Calibri"/>
          <w:b/>
          <w:bCs/>
          <w:lang w:eastAsia="en-US"/>
        </w:rPr>
      </w:pPr>
      <w:r w:rsidRPr="00971D83">
        <w:rPr>
          <w:rFonts w:eastAsia="Calibri"/>
          <w:b/>
          <w:bCs/>
          <w:lang w:eastAsia="en-US"/>
        </w:rPr>
        <w:t>Būsimi pokyčiai</w:t>
      </w:r>
      <w:r w:rsidR="00752E65">
        <w:rPr>
          <w:rFonts w:eastAsia="Calibri"/>
          <w:b/>
          <w:bCs/>
          <w:lang w:eastAsia="en-US"/>
        </w:rPr>
        <w:t xml:space="preserve"> nuo 2020 m. balandžio 1 d</w:t>
      </w:r>
      <w:r w:rsidRPr="00971D83">
        <w:rPr>
          <w:rFonts w:eastAsia="Calibri"/>
          <w:b/>
          <w:bCs/>
          <w:lang w:eastAsia="en-US"/>
        </w:rPr>
        <w:t xml:space="preserve">. </w:t>
      </w:r>
    </w:p>
    <w:p w14:paraId="7F568626" w14:textId="77777777" w:rsidR="00255B23" w:rsidRDefault="00C22172" w:rsidP="00255B23">
      <w:pPr>
        <w:suppressAutoHyphens w:val="0"/>
        <w:spacing w:line="360" w:lineRule="auto"/>
        <w:ind w:firstLine="851"/>
        <w:jc w:val="both"/>
        <w:rPr>
          <w:rFonts w:eastAsia="Calibri"/>
          <w:bCs/>
          <w:lang w:eastAsia="en-US"/>
        </w:rPr>
      </w:pPr>
      <w:r>
        <w:rPr>
          <w:rFonts w:eastAsia="Calibri"/>
          <w:bCs/>
          <w:lang w:eastAsia="en-US"/>
        </w:rPr>
        <w:t xml:space="preserve">Nuo 2020 m. balandžio 1 d. įsigaliojus </w:t>
      </w:r>
      <w:r w:rsidR="00E45151" w:rsidRPr="00E45151">
        <w:rPr>
          <w:rFonts w:eastAsia="Calibri"/>
          <w:bCs/>
          <w:lang w:eastAsia="en-US"/>
        </w:rPr>
        <w:t xml:space="preserve">galiojančio teisinio reguliavimo poveikio </w:t>
      </w:r>
      <w:r w:rsidR="00E45151" w:rsidRPr="00E45151">
        <w:rPr>
          <w:rFonts w:eastAsia="Calibri"/>
          <w:bCs/>
          <w:i/>
          <w:iCs/>
          <w:lang w:eastAsia="en-US"/>
        </w:rPr>
        <w:t xml:space="preserve">ex post </w:t>
      </w:r>
      <w:r w:rsidR="00E45151">
        <w:rPr>
          <w:rFonts w:eastAsia="Calibri"/>
          <w:bCs/>
          <w:lang w:eastAsia="en-US"/>
        </w:rPr>
        <w:t>vertinimo</w:t>
      </w:r>
      <w:r>
        <w:rPr>
          <w:rFonts w:eastAsia="Calibri"/>
          <w:bCs/>
          <w:lang w:eastAsia="en-US"/>
        </w:rPr>
        <w:t xml:space="preserve"> institutui </w:t>
      </w:r>
      <w:r w:rsidR="005F1801">
        <w:rPr>
          <w:rFonts w:eastAsia="Calibri"/>
          <w:bCs/>
          <w:lang w:eastAsia="en-US"/>
        </w:rPr>
        <w:t>bus a</w:t>
      </w:r>
      <w:r w:rsidR="005F1801" w:rsidRPr="005F1801">
        <w:rPr>
          <w:rFonts w:eastAsia="Calibri"/>
          <w:bCs/>
          <w:lang w:eastAsia="en-US"/>
        </w:rPr>
        <w:t xml:space="preserve">tliekamas tik tokio galiojančio teisinio reguliavimo, kuris be esminių pakeitimų galioja bent dvejus metus nuo įsigaliojimo, poveikio </w:t>
      </w:r>
      <w:r w:rsidR="005F1801" w:rsidRPr="005F1801">
        <w:rPr>
          <w:rFonts w:eastAsia="Calibri"/>
          <w:bCs/>
          <w:i/>
          <w:iCs/>
          <w:lang w:eastAsia="en-US"/>
        </w:rPr>
        <w:t xml:space="preserve">ex post </w:t>
      </w:r>
      <w:r w:rsidR="005F1801" w:rsidRPr="005F1801">
        <w:rPr>
          <w:rFonts w:eastAsia="Calibri"/>
          <w:bCs/>
          <w:lang w:eastAsia="en-US"/>
        </w:rPr>
        <w:t>vertinimas</w:t>
      </w:r>
      <w:r w:rsidR="005F1801">
        <w:rPr>
          <w:rFonts w:eastAsia="Calibri"/>
          <w:bCs/>
          <w:lang w:eastAsia="en-US"/>
        </w:rPr>
        <w:t xml:space="preserve">. </w:t>
      </w:r>
      <w:r w:rsidR="00255B23" w:rsidRPr="00255B23">
        <w:rPr>
          <w:rFonts w:eastAsia="Calibri"/>
          <w:bCs/>
          <w:lang w:eastAsia="en-US"/>
        </w:rPr>
        <w:t xml:space="preserve">Galiojančio teisinio reguliavimo poveikio </w:t>
      </w:r>
      <w:r w:rsidR="00255B23" w:rsidRPr="00255B23">
        <w:rPr>
          <w:rFonts w:eastAsia="Calibri"/>
          <w:bCs/>
          <w:i/>
          <w:iCs/>
          <w:lang w:eastAsia="en-US"/>
        </w:rPr>
        <w:t xml:space="preserve">ex post </w:t>
      </w:r>
      <w:r w:rsidR="00255B23" w:rsidRPr="00255B23">
        <w:rPr>
          <w:rFonts w:eastAsia="Calibri"/>
          <w:bCs/>
          <w:lang w:eastAsia="en-US"/>
        </w:rPr>
        <w:t>vertinimą atli</w:t>
      </w:r>
      <w:r w:rsidR="00255B23">
        <w:rPr>
          <w:rFonts w:eastAsia="Calibri"/>
          <w:bCs/>
          <w:lang w:eastAsia="en-US"/>
        </w:rPr>
        <w:t>ks</w:t>
      </w:r>
      <w:r w:rsidR="00255B23" w:rsidRPr="00255B23">
        <w:rPr>
          <w:rFonts w:eastAsia="Calibri"/>
          <w:bCs/>
          <w:lang w:eastAsia="en-US"/>
        </w:rPr>
        <w:t xml:space="preserve"> ministerijos pagal atitinkamam ministrui pavestas valdymo sritis.</w:t>
      </w:r>
      <w:r w:rsidR="00255B23">
        <w:rPr>
          <w:rFonts w:eastAsia="Calibri"/>
          <w:bCs/>
          <w:lang w:eastAsia="en-US"/>
        </w:rPr>
        <w:t xml:space="preserve"> O v</w:t>
      </w:r>
      <w:r w:rsidR="00255B23" w:rsidRPr="00255B23">
        <w:rPr>
          <w:rFonts w:eastAsia="Calibri"/>
          <w:bCs/>
          <w:lang w:eastAsia="en-US"/>
        </w:rPr>
        <w:t>alstybės ir savivaldybių institucijos ir įstaigos pagal teisės aktuose nustatytą kompetenciją teik</w:t>
      </w:r>
      <w:r w:rsidR="00255B23">
        <w:rPr>
          <w:rFonts w:eastAsia="Calibri"/>
          <w:bCs/>
          <w:lang w:eastAsia="en-US"/>
        </w:rPr>
        <w:t>s</w:t>
      </w:r>
      <w:r w:rsidR="00255B23" w:rsidRPr="00255B23">
        <w:rPr>
          <w:rFonts w:eastAsia="Calibri"/>
          <w:bCs/>
          <w:lang w:eastAsia="en-US"/>
        </w:rPr>
        <w:t xml:space="preserve"> ministerijos pagal atitinkamam ministrui pavestas valdymo sritis informaciją, reikalingą galiojančio teisinio reguliavimo poveikio </w:t>
      </w:r>
      <w:r w:rsidR="00255B23" w:rsidRPr="00255B23">
        <w:rPr>
          <w:rFonts w:eastAsia="Calibri"/>
          <w:bCs/>
          <w:i/>
          <w:iCs/>
          <w:lang w:eastAsia="en-US"/>
        </w:rPr>
        <w:t xml:space="preserve">ex post </w:t>
      </w:r>
      <w:r w:rsidR="00255B23" w:rsidRPr="00255B23">
        <w:rPr>
          <w:rFonts w:eastAsia="Calibri"/>
          <w:bCs/>
          <w:lang w:eastAsia="en-US"/>
        </w:rPr>
        <w:t>vertinimui atlikti.</w:t>
      </w:r>
    </w:p>
    <w:p w14:paraId="35655093" w14:textId="77777777" w:rsidR="0004378B" w:rsidRPr="00255B23" w:rsidRDefault="0004378B">
      <w:pPr>
        <w:suppressAutoHyphens w:val="0"/>
        <w:spacing w:line="360" w:lineRule="auto"/>
        <w:ind w:firstLine="851"/>
        <w:jc w:val="both"/>
        <w:rPr>
          <w:rFonts w:eastAsia="Calibri"/>
          <w:bCs/>
          <w:lang w:eastAsia="en-US"/>
        </w:rPr>
      </w:pPr>
      <w:r w:rsidRPr="0004378B">
        <w:rPr>
          <w:rFonts w:eastAsia="Calibri"/>
          <w:bCs/>
          <w:lang w:eastAsia="en-US"/>
        </w:rPr>
        <w:t xml:space="preserve">Vadovaujantis Teisėkūros pagrindų įstatymo (redakcija nuo 2020 m. balandžio 1 d.) </w:t>
      </w:r>
      <w:r>
        <w:rPr>
          <w:rFonts w:eastAsia="Calibri"/>
          <w:bCs/>
          <w:lang w:eastAsia="en-US"/>
        </w:rPr>
        <w:t xml:space="preserve"> 24 straipsniu </w:t>
      </w:r>
      <w:r w:rsidRPr="00971D83">
        <w:rPr>
          <w:rFonts w:eastAsia="Calibri"/>
          <w:bCs/>
          <w:lang w:eastAsia="en-US"/>
        </w:rPr>
        <w:t xml:space="preserve">galiojančio teisinio reguliavimo poveikio </w:t>
      </w:r>
      <w:r w:rsidRPr="00971D83">
        <w:rPr>
          <w:rFonts w:eastAsia="Calibri"/>
          <w:bCs/>
          <w:i/>
          <w:iCs/>
          <w:lang w:eastAsia="en-US"/>
        </w:rPr>
        <w:t>ex post</w:t>
      </w:r>
      <w:r w:rsidRPr="00971D83">
        <w:rPr>
          <w:rFonts w:eastAsia="Calibri"/>
          <w:bCs/>
          <w:lang w:eastAsia="en-US"/>
        </w:rPr>
        <w:t xml:space="preserve"> vertinimas</w:t>
      </w:r>
      <w:r>
        <w:rPr>
          <w:rFonts w:eastAsia="Calibri"/>
          <w:bCs/>
          <w:lang w:eastAsia="en-US"/>
        </w:rPr>
        <w:t xml:space="preserve"> bus </w:t>
      </w:r>
      <w:r w:rsidRPr="00971D83">
        <w:rPr>
          <w:rFonts w:eastAsia="Calibri"/>
          <w:bCs/>
          <w:lang w:eastAsia="en-US"/>
        </w:rPr>
        <w:t xml:space="preserve">atliekamas </w:t>
      </w:r>
      <w:r w:rsidR="0003680B">
        <w:rPr>
          <w:rFonts w:eastAsia="Calibri"/>
          <w:bCs/>
          <w:lang w:eastAsia="en-US"/>
        </w:rPr>
        <w:t>dviem atvejais: jei n</w:t>
      </w:r>
      <w:r w:rsidRPr="0004378B">
        <w:rPr>
          <w:rFonts w:eastAsia="Calibri"/>
          <w:bCs/>
          <w:lang w:eastAsia="en-US"/>
        </w:rPr>
        <w:t xml:space="preserve">uostata dėl poreikio atlikti galiojančio teisinio reguliavimo poveikio </w:t>
      </w:r>
      <w:r w:rsidRPr="0004378B">
        <w:rPr>
          <w:rFonts w:eastAsia="Calibri"/>
          <w:bCs/>
          <w:i/>
          <w:iCs/>
          <w:lang w:eastAsia="en-US"/>
        </w:rPr>
        <w:t xml:space="preserve">ex post </w:t>
      </w:r>
      <w:r w:rsidRPr="0004378B">
        <w:rPr>
          <w:rFonts w:eastAsia="Calibri"/>
          <w:bCs/>
          <w:lang w:eastAsia="en-US"/>
        </w:rPr>
        <w:t xml:space="preserve">vertinimą </w:t>
      </w:r>
      <w:r w:rsidR="00A36A65">
        <w:rPr>
          <w:rFonts w:eastAsia="Calibri"/>
          <w:bCs/>
          <w:lang w:eastAsia="en-US"/>
        </w:rPr>
        <w:lastRenderedPageBreak/>
        <w:t xml:space="preserve">bus </w:t>
      </w:r>
      <w:r w:rsidRPr="0004378B">
        <w:rPr>
          <w:rFonts w:eastAsia="Calibri"/>
          <w:bCs/>
          <w:lang w:eastAsia="en-US"/>
        </w:rPr>
        <w:t>įtrauk</w:t>
      </w:r>
      <w:r w:rsidR="0003680B">
        <w:rPr>
          <w:rFonts w:eastAsia="Calibri"/>
          <w:bCs/>
          <w:lang w:eastAsia="en-US"/>
        </w:rPr>
        <w:t>ta į įstatymą</w:t>
      </w:r>
      <w:r w:rsidR="0003680B" w:rsidRPr="0003680B">
        <w:rPr>
          <w:rFonts w:eastAsia="Calibri"/>
          <w:bCs/>
          <w:lang w:eastAsia="en-US"/>
        </w:rPr>
        <w:t xml:space="preserve"> </w:t>
      </w:r>
      <w:r w:rsidR="0003680B">
        <w:rPr>
          <w:rFonts w:eastAsia="Calibri"/>
          <w:bCs/>
          <w:lang w:eastAsia="en-US"/>
        </w:rPr>
        <w:t xml:space="preserve">arba </w:t>
      </w:r>
      <w:r w:rsidR="00A36A65">
        <w:rPr>
          <w:rFonts w:eastAsia="Calibri"/>
          <w:bCs/>
          <w:lang w:eastAsia="en-US"/>
        </w:rPr>
        <w:t xml:space="preserve">jei </w:t>
      </w:r>
      <w:r w:rsidR="0003680B">
        <w:rPr>
          <w:rFonts w:eastAsia="Calibri"/>
          <w:bCs/>
          <w:lang w:eastAsia="en-US"/>
        </w:rPr>
        <w:t>t</w:t>
      </w:r>
      <w:r w:rsidR="0003680B" w:rsidRPr="0004378B">
        <w:rPr>
          <w:rFonts w:eastAsia="Calibri"/>
          <w:bCs/>
          <w:lang w:eastAsia="en-US"/>
        </w:rPr>
        <w:t xml:space="preserve">eisinio reguliavimo galiojimo metu ministras pagal jam pavestą valdymo sritį </w:t>
      </w:r>
      <w:r w:rsidR="0003680B">
        <w:rPr>
          <w:rFonts w:eastAsia="Calibri"/>
          <w:bCs/>
          <w:lang w:eastAsia="en-US"/>
        </w:rPr>
        <w:t>priima</w:t>
      </w:r>
      <w:r w:rsidR="0003680B" w:rsidRPr="0004378B">
        <w:rPr>
          <w:rFonts w:eastAsia="Calibri"/>
          <w:bCs/>
          <w:lang w:eastAsia="en-US"/>
        </w:rPr>
        <w:t xml:space="preserve"> sprendimą dėl poreikio atlikti šio teisinio reguliavimo poveikio </w:t>
      </w:r>
      <w:r w:rsidR="0003680B" w:rsidRPr="0004378B">
        <w:rPr>
          <w:rFonts w:eastAsia="Calibri"/>
          <w:bCs/>
          <w:i/>
          <w:iCs/>
          <w:lang w:eastAsia="en-US"/>
        </w:rPr>
        <w:t>ex post</w:t>
      </w:r>
      <w:r w:rsidR="0003680B" w:rsidRPr="0004378B">
        <w:rPr>
          <w:rFonts w:eastAsia="Calibri"/>
          <w:bCs/>
          <w:lang w:eastAsia="en-US"/>
        </w:rPr>
        <w:t xml:space="preserve"> vertinimą.</w:t>
      </w:r>
      <w:r w:rsidR="00A36A65">
        <w:rPr>
          <w:rFonts w:eastAsia="Calibri"/>
          <w:bCs/>
          <w:lang w:eastAsia="en-US"/>
        </w:rPr>
        <w:t xml:space="preserve"> Planų, analogiškų numatytiems </w:t>
      </w:r>
      <w:r w:rsidR="004862A6" w:rsidRPr="004862A6">
        <w:rPr>
          <w:rFonts w:eastAsia="Calibri"/>
          <w:bCs/>
          <w:lang w:eastAsia="en-US"/>
        </w:rPr>
        <w:t>Ste</w:t>
      </w:r>
      <w:r w:rsidR="004862A6">
        <w:rPr>
          <w:rFonts w:eastAsia="Calibri"/>
          <w:bCs/>
          <w:lang w:eastAsia="en-US"/>
        </w:rPr>
        <w:t>bėsenos atlikimo tvarkos apraše</w:t>
      </w:r>
      <w:r w:rsidR="00A36A65">
        <w:rPr>
          <w:rFonts w:eastAsia="Calibri"/>
          <w:bCs/>
          <w:lang w:eastAsia="en-US"/>
        </w:rPr>
        <w:t xml:space="preserve">, tvirtinimas nebebus numatytas. </w:t>
      </w:r>
    </w:p>
    <w:p w14:paraId="0AD0D91E" w14:textId="77777777" w:rsidR="00FE5E79" w:rsidRDefault="00CA2562" w:rsidP="0049172A">
      <w:pPr>
        <w:suppressAutoHyphens w:val="0"/>
        <w:spacing w:line="360" w:lineRule="auto"/>
        <w:ind w:firstLine="851"/>
        <w:jc w:val="both"/>
        <w:rPr>
          <w:rFonts w:eastAsia="Calibri"/>
          <w:bCs/>
          <w:lang w:eastAsia="en-US"/>
        </w:rPr>
      </w:pPr>
      <w:r>
        <w:rPr>
          <w:rFonts w:eastAsia="Calibri"/>
          <w:bCs/>
          <w:lang w:eastAsia="en-US"/>
        </w:rPr>
        <w:t xml:space="preserve">Pagal </w:t>
      </w:r>
      <w:r w:rsidR="00FE5E79">
        <w:rPr>
          <w:rFonts w:eastAsia="Calibri"/>
          <w:bCs/>
          <w:lang w:eastAsia="en-US"/>
        </w:rPr>
        <w:t>Teisėkūros pagrindų įstatymo (redakcija nuo 2020 m. balandžio 1 d.)</w:t>
      </w:r>
      <w:r>
        <w:rPr>
          <w:rFonts w:eastAsia="Calibri"/>
          <w:bCs/>
          <w:lang w:eastAsia="en-US"/>
        </w:rPr>
        <w:t xml:space="preserve"> 24</w:t>
      </w:r>
      <w:r>
        <w:rPr>
          <w:rFonts w:eastAsia="Calibri"/>
          <w:bCs/>
          <w:vertAlign w:val="superscript"/>
          <w:lang w:eastAsia="en-US"/>
        </w:rPr>
        <w:t>3</w:t>
      </w:r>
      <w:r>
        <w:rPr>
          <w:rFonts w:eastAsia="Calibri"/>
          <w:bCs/>
          <w:lang w:eastAsia="en-US"/>
        </w:rPr>
        <w:t xml:space="preserve"> straipsnio </w:t>
      </w:r>
      <w:r w:rsidR="00FE5E79">
        <w:rPr>
          <w:rFonts w:eastAsia="Calibri"/>
          <w:bCs/>
          <w:lang w:eastAsia="en-US"/>
        </w:rPr>
        <w:t xml:space="preserve"> </w:t>
      </w:r>
      <w:r w:rsidR="00BC3306">
        <w:rPr>
          <w:rFonts w:eastAsia="Calibri"/>
          <w:bCs/>
          <w:lang w:eastAsia="en-US"/>
        </w:rPr>
        <w:t>1</w:t>
      </w:r>
      <w:r>
        <w:rPr>
          <w:rFonts w:eastAsia="Calibri"/>
          <w:bCs/>
          <w:lang w:eastAsia="en-US"/>
        </w:rPr>
        <w:t>-2</w:t>
      </w:r>
      <w:r w:rsidR="00BC3306">
        <w:rPr>
          <w:rFonts w:eastAsia="Calibri"/>
          <w:bCs/>
          <w:lang w:eastAsia="en-US"/>
        </w:rPr>
        <w:t xml:space="preserve"> </w:t>
      </w:r>
      <w:r>
        <w:rPr>
          <w:rFonts w:eastAsia="Calibri"/>
          <w:bCs/>
          <w:lang w:eastAsia="en-US"/>
        </w:rPr>
        <w:t xml:space="preserve">dalis </w:t>
      </w:r>
      <w:r w:rsidR="00BC3306">
        <w:rPr>
          <w:rFonts w:eastAsia="Calibri"/>
          <w:bCs/>
          <w:lang w:eastAsia="en-US"/>
        </w:rPr>
        <w:t>i</w:t>
      </w:r>
      <w:r w:rsidR="00FE5E79" w:rsidRPr="00FE5E79">
        <w:rPr>
          <w:rFonts w:eastAsia="Calibri"/>
          <w:bCs/>
          <w:lang w:eastAsia="en-US"/>
        </w:rPr>
        <w:t xml:space="preserve">nformacija apie teisės akte nustatyto galiojančio teisinio reguliavimo poveikio </w:t>
      </w:r>
      <w:r w:rsidR="00FE5E79" w:rsidRPr="00FE5E79">
        <w:rPr>
          <w:rFonts w:eastAsia="Calibri"/>
          <w:bCs/>
          <w:i/>
          <w:iCs/>
          <w:lang w:eastAsia="en-US"/>
        </w:rPr>
        <w:t xml:space="preserve">ex post </w:t>
      </w:r>
      <w:r w:rsidR="00FE5E79" w:rsidRPr="00FE5E79">
        <w:rPr>
          <w:rFonts w:eastAsia="Calibri"/>
          <w:bCs/>
          <w:lang w:eastAsia="en-US"/>
        </w:rPr>
        <w:t xml:space="preserve">vertinimą </w:t>
      </w:r>
      <w:r w:rsidR="00BC3306">
        <w:rPr>
          <w:rFonts w:eastAsia="Calibri"/>
          <w:bCs/>
          <w:lang w:eastAsia="en-US"/>
        </w:rPr>
        <w:t xml:space="preserve">bus skelbiama Teisės aktų registre, o teisės aktų, </w:t>
      </w:r>
      <w:r w:rsidR="00BC3306" w:rsidRPr="00BC3306">
        <w:rPr>
          <w:rFonts w:eastAsia="Calibri"/>
          <w:bCs/>
          <w:lang w:eastAsia="en-US"/>
        </w:rPr>
        <w:t xml:space="preserve">kuriuose nustatyto galiojančio teisinio reguliavimo poveikio </w:t>
      </w:r>
      <w:r w:rsidR="00BC3306" w:rsidRPr="00BC3306">
        <w:rPr>
          <w:rFonts w:eastAsia="Calibri"/>
          <w:bCs/>
          <w:i/>
          <w:iCs/>
          <w:lang w:eastAsia="en-US"/>
        </w:rPr>
        <w:t xml:space="preserve">ex post </w:t>
      </w:r>
      <w:r w:rsidR="00BC3306" w:rsidRPr="00BC3306">
        <w:rPr>
          <w:rFonts w:eastAsia="Calibri"/>
          <w:bCs/>
          <w:lang w:eastAsia="en-US"/>
        </w:rPr>
        <w:t xml:space="preserve">vertinimas atliekamas ar planuojamas atlikti, sąrašas </w:t>
      </w:r>
      <w:r w:rsidR="00401287">
        <w:rPr>
          <w:rFonts w:eastAsia="Calibri"/>
          <w:bCs/>
          <w:lang w:eastAsia="en-US"/>
        </w:rPr>
        <w:t xml:space="preserve">turės būti </w:t>
      </w:r>
      <w:r w:rsidR="00BC3306" w:rsidRPr="00BC3306">
        <w:rPr>
          <w:rFonts w:eastAsia="Calibri"/>
          <w:bCs/>
          <w:lang w:eastAsia="en-US"/>
        </w:rPr>
        <w:t xml:space="preserve">skelbiamas Teisės aktų informacinėje sistemoje </w:t>
      </w:r>
      <w:r>
        <w:rPr>
          <w:rFonts w:eastAsia="Calibri"/>
          <w:bCs/>
          <w:lang w:eastAsia="en-US"/>
        </w:rPr>
        <w:t>ir T</w:t>
      </w:r>
      <w:r w:rsidR="0043404F">
        <w:rPr>
          <w:rFonts w:eastAsia="Calibri"/>
          <w:bCs/>
          <w:lang w:eastAsia="en-US"/>
        </w:rPr>
        <w:t xml:space="preserve">eisingumo ministerijos, </w:t>
      </w:r>
      <w:r>
        <w:rPr>
          <w:rFonts w:eastAsia="Calibri"/>
          <w:bCs/>
          <w:lang w:eastAsia="en-US"/>
        </w:rPr>
        <w:t xml:space="preserve">kaip </w:t>
      </w:r>
      <w:r w:rsidRPr="00CA2562">
        <w:rPr>
          <w:rFonts w:eastAsia="Calibri"/>
          <w:bCs/>
          <w:lang w:eastAsia="en-US"/>
        </w:rPr>
        <w:t xml:space="preserve">galiojančio teisinio reguliavimo poveikio </w:t>
      </w:r>
      <w:r w:rsidRPr="00CA2562">
        <w:rPr>
          <w:rFonts w:eastAsia="Calibri"/>
          <w:bCs/>
          <w:i/>
          <w:iCs/>
          <w:lang w:eastAsia="en-US"/>
        </w:rPr>
        <w:t xml:space="preserve">ex post </w:t>
      </w:r>
      <w:r w:rsidRPr="00CA2562">
        <w:rPr>
          <w:rFonts w:eastAsia="Calibri"/>
          <w:bCs/>
          <w:lang w:eastAsia="en-US"/>
        </w:rPr>
        <w:t>vertinimą</w:t>
      </w:r>
      <w:r>
        <w:rPr>
          <w:rFonts w:eastAsia="Calibri"/>
          <w:bCs/>
          <w:lang w:eastAsia="en-US"/>
        </w:rPr>
        <w:t xml:space="preserve"> </w:t>
      </w:r>
      <w:r w:rsidR="0043404F">
        <w:rPr>
          <w:rFonts w:eastAsia="Calibri"/>
          <w:bCs/>
          <w:lang w:eastAsia="en-US"/>
        </w:rPr>
        <w:t>koordinuojančios institucijos,</w:t>
      </w:r>
      <w:r>
        <w:rPr>
          <w:rFonts w:eastAsia="Calibri"/>
          <w:bCs/>
          <w:lang w:eastAsia="en-US"/>
        </w:rPr>
        <w:t xml:space="preserve"> </w:t>
      </w:r>
      <w:r w:rsidR="00BC3306" w:rsidRPr="00BC3306">
        <w:rPr>
          <w:rFonts w:eastAsia="Calibri"/>
          <w:bCs/>
          <w:lang w:eastAsia="en-US"/>
        </w:rPr>
        <w:t>interneto svetainėje</w:t>
      </w:r>
      <w:r w:rsidR="00BC3306">
        <w:rPr>
          <w:rFonts w:eastAsia="Calibri"/>
          <w:bCs/>
          <w:lang w:eastAsia="en-US"/>
        </w:rPr>
        <w:t xml:space="preserve">. </w:t>
      </w:r>
      <w:r w:rsidR="00FE5E79" w:rsidRPr="00FE5E79">
        <w:rPr>
          <w:rFonts w:eastAsia="Calibri"/>
          <w:bCs/>
          <w:lang w:eastAsia="en-US"/>
        </w:rPr>
        <w:t xml:space="preserve">Galiojančio teisinio reguliavimo poveikio </w:t>
      </w:r>
      <w:r w:rsidR="00FE5E79" w:rsidRPr="00FE5E79">
        <w:rPr>
          <w:rFonts w:eastAsia="Calibri"/>
          <w:bCs/>
          <w:i/>
          <w:iCs/>
          <w:lang w:eastAsia="en-US"/>
        </w:rPr>
        <w:t xml:space="preserve">ex post </w:t>
      </w:r>
      <w:r w:rsidR="00FE5E79" w:rsidRPr="00FE5E79">
        <w:rPr>
          <w:rFonts w:eastAsia="Calibri"/>
          <w:bCs/>
          <w:lang w:eastAsia="en-US"/>
        </w:rPr>
        <w:t xml:space="preserve">vertinimą atliekanti ministerija informaciją, susijusią su galiojančio teisinio reguliavimo poveikio </w:t>
      </w:r>
      <w:r w:rsidR="00FE5E79" w:rsidRPr="00FE5E79">
        <w:rPr>
          <w:rFonts w:eastAsia="Calibri"/>
          <w:bCs/>
          <w:i/>
          <w:iCs/>
          <w:lang w:eastAsia="en-US"/>
        </w:rPr>
        <w:t xml:space="preserve">ex post </w:t>
      </w:r>
      <w:r w:rsidR="00FE5E79" w:rsidRPr="00FE5E79">
        <w:rPr>
          <w:rFonts w:eastAsia="Calibri"/>
          <w:bCs/>
          <w:lang w:eastAsia="en-US"/>
        </w:rPr>
        <w:t>vertinimu, skelb</w:t>
      </w:r>
      <w:r w:rsidR="00401287">
        <w:rPr>
          <w:rFonts w:eastAsia="Calibri"/>
          <w:bCs/>
          <w:lang w:eastAsia="en-US"/>
        </w:rPr>
        <w:t xml:space="preserve">s </w:t>
      </w:r>
      <w:r w:rsidR="00FE5E79" w:rsidRPr="00FE5E79">
        <w:rPr>
          <w:rFonts w:eastAsia="Calibri"/>
          <w:bCs/>
          <w:lang w:eastAsia="en-US"/>
        </w:rPr>
        <w:t xml:space="preserve">Teisės aktų informacinėje sistemoje. </w:t>
      </w:r>
    </w:p>
    <w:p w14:paraId="092612D8" w14:textId="77777777" w:rsidR="003F0869" w:rsidRPr="003F0869" w:rsidRDefault="00661FB4" w:rsidP="003F0869">
      <w:pPr>
        <w:suppressAutoHyphens w:val="0"/>
        <w:spacing w:line="360" w:lineRule="auto"/>
        <w:ind w:firstLine="851"/>
        <w:jc w:val="both"/>
        <w:rPr>
          <w:rFonts w:eastAsia="Calibri"/>
          <w:bCs/>
          <w:lang w:eastAsia="en-US"/>
        </w:rPr>
      </w:pPr>
      <w:r>
        <w:rPr>
          <w:rFonts w:eastAsia="Calibri"/>
          <w:bCs/>
          <w:lang w:eastAsia="en-US"/>
        </w:rPr>
        <w:t xml:space="preserve">Teisingumo ministerija, kaip </w:t>
      </w:r>
      <w:r w:rsidRPr="00661FB4">
        <w:rPr>
          <w:rFonts w:eastAsia="Calibri"/>
          <w:bCs/>
          <w:lang w:eastAsia="en-US"/>
        </w:rPr>
        <w:t xml:space="preserve">galiojančio teisinio reguliavimo poveikio </w:t>
      </w:r>
      <w:r w:rsidRPr="00661FB4">
        <w:rPr>
          <w:rFonts w:eastAsia="Calibri"/>
          <w:bCs/>
          <w:i/>
          <w:iCs/>
          <w:lang w:eastAsia="en-US"/>
        </w:rPr>
        <w:t xml:space="preserve">ex post </w:t>
      </w:r>
      <w:r w:rsidRPr="00661FB4">
        <w:rPr>
          <w:rFonts w:eastAsia="Calibri"/>
          <w:bCs/>
          <w:lang w:eastAsia="en-US"/>
        </w:rPr>
        <w:t>vertinimą koordinuojan</w:t>
      </w:r>
      <w:r>
        <w:rPr>
          <w:rFonts w:eastAsia="Calibri"/>
          <w:bCs/>
          <w:lang w:eastAsia="en-US"/>
        </w:rPr>
        <w:t>ti</w:t>
      </w:r>
      <w:r w:rsidRPr="00661FB4">
        <w:rPr>
          <w:rFonts w:eastAsia="Calibri"/>
          <w:bCs/>
          <w:lang w:eastAsia="en-US"/>
        </w:rPr>
        <w:t xml:space="preserve"> institucij</w:t>
      </w:r>
      <w:r>
        <w:rPr>
          <w:rFonts w:eastAsia="Calibri"/>
          <w:bCs/>
          <w:lang w:eastAsia="en-US"/>
        </w:rPr>
        <w:t xml:space="preserve">a, vykdys </w:t>
      </w:r>
      <w:r w:rsidR="002A3389" w:rsidRPr="002A3389">
        <w:rPr>
          <w:rFonts w:eastAsia="Calibri"/>
          <w:bCs/>
          <w:lang w:eastAsia="en-US"/>
        </w:rPr>
        <w:t>Teisėkūros pagrindų įstatymo (redakcija nuo 2020 m. balandžio 1 d.) 24</w:t>
      </w:r>
      <w:r w:rsidR="002A3389">
        <w:rPr>
          <w:rFonts w:eastAsia="Calibri"/>
          <w:bCs/>
          <w:vertAlign w:val="superscript"/>
          <w:lang w:eastAsia="en-US"/>
        </w:rPr>
        <w:t>1</w:t>
      </w:r>
      <w:r w:rsidR="002A3389" w:rsidRPr="002A3389">
        <w:rPr>
          <w:rFonts w:eastAsia="Calibri"/>
          <w:bCs/>
          <w:lang w:eastAsia="en-US"/>
        </w:rPr>
        <w:t xml:space="preserve"> straipsnio  </w:t>
      </w:r>
      <w:r w:rsidR="002A3389">
        <w:rPr>
          <w:rFonts w:eastAsia="Calibri"/>
          <w:bCs/>
          <w:lang w:eastAsia="en-US"/>
        </w:rPr>
        <w:t xml:space="preserve">3 dalyje nustatytas </w:t>
      </w:r>
      <w:r>
        <w:rPr>
          <w:rFonts w:eastAsia="Calibri"/>
          <w:bCs/>
          <w:lang w:eastAsia="en-US"/>
        </w:rPr>
        <w:t>funkcijas</w:t>
      </w:r>
      <w:r w:rsidR="003F0869">
        <w:rPr>
          <w:rFonts w:eastAsia="Calibri"/>
          <w:bCs/>
          <w:lang w:eastAsia="en-US"/>
        </w:rPr>
        <w:t xml:space="preserve"> – </w:t>
      </w:r>
      <w:r w:rsidR="003F0869" w:rsidRPr="003F0869">
        <w:rPr>
          <w:rFonts w:eastAsia="Calibri"/>
          <w:bCs/>
          <w:lang w:eastAsia="en-US"/>
        </w:rPr>
        <w:t>t</w:t>
      </w:r>
      <w:r w:rsidR="003F0869">
        <w:rPr>
          <w:rFonts w:eastAsia="Calibri"/>
          <w:bCs/>
          <w:lang w:eastAsia="en-US"/>
        </w:rPr>
        <w:t>e</w:t>
      </w:r>
      <w:r w:rsidR="003F0869" w:rsidRPr="003F0869">
        <w:rPr>
          <w:rFonts w:eastAsia="Calibri"/>
          <w:bCs/>
          <w:lang w:eastAsia="en-US"/>
        </w:rPr>
        <w:t xml:space="preserve">iks metodines konsultacijas dėl galiojančio teisinio reguliavimo poveikio </w:t>
      </w:r>
      <w:r w:rsidR="003F0869" w:rsidRPr="003F0869">
        <w:rPr>
          <w:rFonts w:eastAsia="Calibri"/>
          <w:bCs/>
          <w:i/>
          <w:lang w:eastAsia="en-US"/>
        </w:rPr>
        <w:t>ex post</w:t>
      </w:r>
      <w:r w:rsidR="003F0869" w:rsidRPr="003F0869">
        <w:rPr>
          <w:rFonts w:eastAsia="Calibri"/>
          <w:bCs/>
          <w:lang w:eastAsia="en-US"/>
        </w:rPr>
        <w:t xml:space="preserve"> vertinimo atlikimo tvarkos, derins </w:t>
      </w:r>
      <w:r w:rsidR="003F0869" w:rsidRPr="003F0869">
        <w:rPr>
          <w:rFonts w:eastAsia="Calibri"/>
          <w:bCs/>
          <w:i/>
          <w:lang w:eastAsia="en-US"/>
        </w:rPr>
        <w:t xml:space="preserve">ex post </w:t>
      </w:r>
      <w:r w:rsidR="003F0869" w:rsidRPr="003F0869">
        <w:rPr>
          <w:rFonts w:eastAsia="Calibri"/>
          <w:bCs/>
          <w:lang w:eastAsia="en-US"/>
        </w:rPr>
        <w:t xml:space="preserve">vertinimo ataskaitų projektus, kaups informaciją apie </w:t>
      </w:r>
      <w:r w:rsidR="003F0869" w:rsidRPr="003F0869">
        <w:rPr>
          <w:rFonts w:eastAsia="Calibri"/>
          <w:bCs/>
          <w:i/>
          <w:lang w:eastAsia="en-US"/>
        </w:rPr>
        <w:t>ex post</w:t>
      </w:r>
      <w:r w:rsidR="003F0869" w:rsidRPr="003F0869">
        <w:rPr>
          <w:rFonts w:eastAsia="Calibri"/>
          <w:bCs/>
          <w:lang w:eastAsia="en-US"/>
        </w:rPr>
        <w:t xml:space="preserve"> vertinimo praktiką, tvarkys teisės aktų, dėl kurių numatytas ar atliekamas </w:t>
      </w:r>
      <w:r w:rsidR="003F0869" w:rsidRPr="003F0869">
        <w:rPr>
          <w:rFonts w:eastAsia="Calibri"/>
          <w:bCs/>
          <w:i/>
          <w:lang w:eastAsia="en-US"/>
        </w:rPr>
        <w:t>ex post</w:t>
      </w:r>
      <w:r w:rsidR="003F0869" w:rsidRPr="003F0869">
        <w:rPr>
          <w:rFonts w:eastAsia="Calibri"/>
          <w:bCs/>
          <w:lang w:eastAsia="en-US"/>
        </w:rPr>
        <w:t xml:space="preserve"> vertinimas, sąrašą ir </w:t>
      </w:r>
      <w:r w:rsidR="003F0869">
        <w:rPr>
          <w:rFonts w:eastAsia="Calibri"/>
          <w:bCs/>
          <w:lang w:eastAsia="en-US"/>
        </w:rPr>
        <w:t>kt</w:t>
      </w:r>
      <w:r w:rsidR="003F0869" w:rsidRPr="003F0869">
        <w:rPr>
          <w:rFonts w:eastAsia="Calibri"/>
          <w:bCs/>
          <w:lang w:eastAsia="en-US"/>
        </w:rPr>
        <w:t>.</w:t>
      </w:r>
    </w:p>
    <w:p w14:paraId="14AD8BC3" w14:textId="77777777" w:rsidR="00661FB4" w:rsidRPr="00FE5E79" w:rsidRDefault="00661FB4" w:rsidP="0049172A">
      <w:pPr>
        <w:suppressAutoHyphens w:val="0"/>
        <w:spacing w:line="360" w:lineRule="auto"/>
        <w:ind w:firstLine="851"/>
        <w:jc w:val="both"/>
        <w:rPr>
          <w:rFonts w:eastAsia="Calibri"/>
          <w:bCs/>
          <w:lang w:eastAsia="en-US"/>
        </w:rPr>
      </w:pPr>
    </w:p>
    <w:p w14:paraId="60D78085" w14:textId="77777777" w:rsidR="00C412A6" w:rsidRPr="00C412A6" w:rsidRDefault="00C412A6" w:rsidP="009573D8">
      <w:pPr>
        <w:suppressAutoHyphens w:val="0"/>
        <w:spacing w:line="360" w:lineRule="auto"/>
        <w:jc w:val="both"/>
        <w:rPr>
          <w:rFonts w:eastAsia="Calibri"/>
          <w:bCs/>
          <w:lang w:eastAsia="en-US"/>
        </w:rPr>
      </w:pPr>
    </w:p>
    <w:p w14:paraId="466A4F80" w14:textId="77777777" w:rsidR="00C412A6" w:rsidRDefault="00936D7F" w:rsidP="001248EC">
      <w:pPr>
        <w:tabs>
          <w:tab w:val="left" w:pos="720"/>
          <w:tab w:val="left" w:pos="1440"/>
          <w:tab w:val="left" w:pos="2160"/>
          <w:tab w:val="left" w:pos="2880"/>
          <w:tab w:val="left" w:pos="3600"/>
          <w:tab w:val="left" w:pos="4320"/>
          <w:tab w:val="left" w:pos="5040"/>
          <w:tab w:val="left" w:pos="7776"/>
        </w:tabs>
        <w:suppressAutoHyphens w:val="0"/>
        <w:spacing w:line="360" w:lineRule="auto"/>
        <w:ind w:right="-143"/>
        <w:rPr>
          <w:rFonts w:eastAsia="Calibri"/>
          <w:bCs/>
          <w:lang w:eastAsia="en-US"/>
        </w:rPr>
      </w:pPr>
      <w:r>
        <w:rPr>
          <w:rFonts w:eastAsia="Calibri"/>
          <w:bCs/>
          <w:lang w:eastAsia="en-US"/>
        </w:rPr>
        <w:t xml:space="preserve">Teisingumo ministras                                                                                  </w:t>
      </w:r>
      <w:r w:rsidR="009573D8">
        <w:rPr>
          <w:rFonts w:eastAsia="Calibri"/>
          <w:bCs/>
          <w:lang w:eastAsia="en-US"/>
        </w:rPr>
        <w:t xml:space="preserve">         </w:t>
      </w:r>
      <w:r w:rsidR="001248EC">
        <w:rPr>
          <w:rFonts w:eastAsia="Calibri"/>
          <w:bCs/>
          <w:lang w:eastAsia="en-US"/>
        </w:rPr>
        <w:t>Elvinas Jankevičius</w:t>
      </w:r>
    </w:p>
    <w:p w14:paraId="7778AB87" w14:textId="77777777" w:rsidR="00F47D4E" w:rsidRPr="001248EC" w:rsidRDefault="00F47D4E" w:rsidP="001248EC">
      <w:pPr>
        <w:tabs>
          <w:tab w:val="left" w:pos="720"/>
          <w:tab w:val="left" w:pos="1440"/>
          <w:tab w:val="left" w:pos="2160"/>
          <w:tab w:val="left" w:pos="2880"/>
          <w:tab w:val="left" w:pos="3600"/>
          <w:tab w:val="left" w:pos="4320"/>
          <w:tab w:val="left" w:pos="5040"/>
          <w:tab w:val="left" w:pos="7776"/>
        </w:tabs>
        <w:suppressAutoHyphens w:val="0"/>
        <w:spacing w:line="360" w:lineRule="auto"/>
        <w:ind w:right="-143"/>
        <w:rPr>
          <w:rFonts w:eastAsia="Calibri"/>
          <w:bCs/>
          <w:lang w:eastAsia="en-US"/>
        </w:rPr>
      </w:pPr>
    </w:p>
    <w:sectPr w:rsidR="00F47D4E" w:rsidRPr="001248EC" w:rsidSect="004862A6">
      <w:headerReference w:type="default" r:id="rId8"/>
      <w:headerReference w:type="first" r:id="rId9"/>
      <w:footerReference w:type="first" r:id="rId10"/>
      <w:footnotePr>
        <w:pos w:val="beneathText"/>
      </w:footnotePr>
      <w:pgSz w:w="11905" w:h="16837"/>
      <w:pgMar w:top="1134" w:right="737" w:bottom="1134" w:left="1701" w:header="1123"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C7709B" w14:textId="77777777" w:rsidR="00FE194B" w:rsidRDefault="00FE194B">
      <w:r>
        <w:separator/>
      </w:r>
    </w:p>
  </w:endnote>
  <w:endnote w:type="continuationSeparator" w:id="0">
    <w:p w14:paraId="25D200FE" w14:textId="77777777" w:rsidR="00FE194B" w:rsidRDefault="00FE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6B751" w14:textId="77777777" w:rsidR="001F4940" w:rsidRDefault="001F4940" w:rsidP="007B3C8C">
    <w:pPr>
      <w:pStyle w:val="Porat"/>
      <w:jc w:val="center"/>
    </w:pPr>
  </w:p>
  <w:p w14:paraId="5C337019" w14:textId="77777777" w:rsidR="001F4940" w:rsidRDefault="007B3C8C" w:rsidP="007B3C8C">
    <w:pPr>
      <w:pStyle w:val="Porat"/>
      <w:tabs>
        <w:tab w:val="clear" w:pos="8306"/>
        <w:tab w:val="left" w:pos="8080"/>
        <w:tab w:val="right" w:pos="9356"/>
      </w:tabs>
      <w:jc w:val="left"/>
    </w:pPr>
    <w:r>
      <w:t xml:space="preserve">    </w:t>
    </w:r>
    <w:r w:rsidR="000B0D10">
      <w:tab/>
    </w:r>
  </w:p>
  <w:p w14:paraId="3C604879" w14:textId="77777777" w:rsidR="0006186E" w:rsidRDefault="00247655" w:rsidP="00392BAA">
    <w:pPr>
      <w:pStyle w:val="Pora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AC213" w14:textId="77777777" w:rsidR="00FE194B" w:rsidRDefault="00FE194B">
      <w:r>
        <w:separator/>
      </w:r>
    </w:p>
  </w:footnote>
  <w:footnote w:type="continuationSeparator" w:id="0">
    <w:p w14:paraId="7ADA6AD9" w14:textId="77777777" w:rsidR="00FE194B" w:rsidRDefault="00FE194B">
      <w:r>
        <w:continuationSeparator/>
      </w:r>
    </w:p>
  </w:footnote>
  <w:footnote w:id="1">
    <w:p w14:paraId="53C126FE" w14:textId="77777777" w:rsidR="00371527" w:rsidRDefault="00371527" w:rsidP="00371527">
      <w:pPr>
        <w:pStyle w:val="Puslapioinaostekstas1"/>
      </w:pPr>
      <w:r>
        <w:rPr>
          <w:rStyle w:val="Puslapioinaosnuoroda"/>
        </w:rPr>
        <w:footnoteRef/>
      </w:r>
      <w:r>
        <w:t xml:space="preserve"> Duomenys iš </w:t>
      </w:r>
      <w:r w:rsidR="00735C74">
        <w:t xml:space="preserve">Lietuvos Respublikos Seimo </w:t>
      </w:r>
      <w:r>
        <w:t>Teisės aktų informacinės sistemos.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239391"/>
      <w:docPartObj>
        <w:docPartGallery w:val="Page Numbers (Top of Page)"/>
        <w:docPartUnique/>
      </w:docPartObj>
    </w:sdtPr>
    <w:sdtEndPr/>
    <w:sdtContent>
      <w:p w14:paraId="74E0C294" w14:textId="77777777" w:rsidR="004862A6" w:rsidRDefault="004862A6">
        <w:pPr>
          <w:pStyle w:val="Antrats"/>
          <w:jc w:val="center"/>
        </w:pPr>
        <w:r>
          <w:fldChar w:fldCharType="begin"/>
        </w:r>
        <w:r>
          <w:instrText>PAGE   \* MERGEFORMAT</w:instrText>
        </w:r>
        <w:r>
          <w:fldChar w:fldCharType="separate"/>
        </w:r>
        <w:r w:rsidR="006F3A9A">
          <w:rPr>
            <w:noProof/>
          </w:rPr>
          <w:t>7</w:t>
        </w:r>
        <w:r>
          <w:fldChar w:fldCharType="end"/>
        </w:r>
      </w:p>
    </w:sdtContent>
  </w:sdt>
  <w:p w14:paraId="6D95AB1D" w14:textId="77777777" w:rsidR="0006186E" w:rsidRDefault="0006186E" w:rsidP="00EE5859">
    <w:pPr>
      <w:pStyle w:val="Antrat1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FC5F3" w14:textId="77777777" w:rsidR="004862A6" w:rsidRDefault="004862A6">
    <w:pPr>
      <w:pStyle w:val="Antrats"/>
      <w:jc w:val="center"/>
    </w:pPr>
  </w:p>
  <w:p w14:paraId="6F89B5B8"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167046"/>
    <w:multiLevelType w:val="hybridMultilevel"/>
    <w:tmpl w:val="DE10B986"/>
    <w:lvl w:ilvl="0" w:tplc="CA96814C">
      <w:start w:val="6"/>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3"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4"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5"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6"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483975F8"/>
    <w:multiLevelType w:val="hybridMultilevel"/>
    <w:tmpl w:val="8104EB70"/>
    <w:lvl w:ilvl="0" w:tplc="CE088FAC">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1" w15:restartNumberingAfterBreak="0">
    <w:nsid w:val="61024C4E"/>
    <w:multiLevelType w:val="hybridMultilevel"/>
    <w:tmpl w:val="1422BF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7ABD7BCA"/>
    <w:multiLevelType w:val="hybridMultilevel"/>
    <w:tmpl w:val="FBCA158E"/>
    <w:lvl w:ilvl="0" w:tplc="480A30EA">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12"/>
  </w:num>
  <w:num w:numId="5">
    <w:abstractNumId w:val="7"/>
  </w:num>
  <w:num w:numId="6">
    <w:abstractNumId w:val="6"/>
  </w:num>
  <w:num w:numId="7">
    <w:abstractNumId w:val="3"/>
  </w:num>
  <w:num w:numId="8">
    <w:abstractNumId w:val="4"/>
  </w:num>
  <w:num w:numId="9">
    <w:abstractNumId w:val="5"/>
  </w:num>
  <w:num w:numId="10">
    <w:abstractNumId w:val="9"/>
  </w:num>
  <w:num w:numId="11">
    <w:abstractNumId w:val="10"/>
  </w:num>
  <w:num w:numId="12">
    <w:abstractNumId w:val="11"/>
  </w:num>
  <w:num w:numId="13">
    <w:abstractNumId w:val="8"/>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92A"/>
    <w:rsid w:val="000126A3"/>
    <w:rsid w:val="00014EE1"/>
    <w:rsid w:val="000203F3"/>
    <w:rsid w:val="00022E3C"/>
    <w:rsid w:val="000306DA"/>
    <w:rsid w:val="00030DFF"/>
    <w:rsid w:val="00033F22"/>
    <w:rsid w:val="000356BD"/>
    <w:rsid w:val="0003680B"/>
    <w:rsid w:val="0004378B"/>
    <w:rsid w:val="00045ABD"/>
    <w:rsid w:val="0006186E"/>
    <w:rsid w:val="00072919"/>
    <w:rsid w:val="000756A8"/>
    <w:rsid w:val="000775A8"/>
    <w:rsid w:val="0008409B"/>
    <w:rsid w:val="0008578C"/>
    <w:rsid w:val="00087D23"/>
    <w:rsid w:val="00090F6C"/>
    <w:rsid w:val="00093385"/>
    <w:rsid w:val="00093791"/>
    <w:rsid w:val="000A03BD"/>
    <w:rsid w:val="000A0D68"/>
    <w:rsid w:val="000A3796"/>
    <w:rsid w:val="000A7D4D"/>
    <w:rsid w:val="000B0D10"/>
    <w:rsid w:val="000B1ECA"/>
    <w:rsid w:val="000C1EBB"/>
    <w:rsid w:val="000C222C"/>
    <w:rsid w:val="000D3171"/>
    <w:rsid w:val="000E2910"/>
    <w:rsid w:val="000E34D4"/>
    <w:rsid w:val="000E354D"/>
    <w:rsid w:val="000E6E4F"/>
    <w:rsid w:val="000E7556"/>
    <w:rsid w:val="000F4501"/>
    <w:rsid w:val="000F7CD6"/>
    <w:rsid w:val="00106269"/>
    <w:rsid w:val="00110A05"/>
    <w:rsid w:val="00115E78"/>
    <w:rsid w:val="001220C3"/>
    <w:rsid w:val="001248EC"/>
    <w:rsid w:val="00132478"/>
    <w:rsid w:val="00133358"/>
    <w:rsid w:val="001422E0"/>
    <w:rsid w:val="00151D78"/>
    <w:rsid w:val="0016495C"/>
    <w:rsid w:val="00183160"/>
    <w:rsid w:val="00190B04"/>
    <w:rsid w:val="00195713"/>
    <w:rsid w:val="00195716"/>
    <w:rsid w:val="001A0DFE"/>
    <w:rsid w:val="001A2BEB"/>
    <w:rsid w:val="001B28DE"/>
    <w:rsid w:val="001B422B"/>
    <w:rsid w:val="001B4944"/>
    <w:rsid w:val="001C12FA"/>
    <w:rsid w:val="001C1840"/>
    <w:rsid w:val="001C2FCE"/>
    <w:rsid w:val="001C7958"/>
    <w:rsid w:val="001D09FE"/>
    <w:rsid w:val="001D19C5"/>
    <w:rsid w:val="001E0731"/>
    <w:rsid w:val="001E192A"/>
    <w:rsid w:val="001E213B"/>
    <w:rsid w:val="001F2537"/>
    <w:rsid w:val="001F4940"/>
    <w:rsid w:val="00200003"/>
    <w:rsid w:val="00203D9B"/>
    <w:rsid w:val="00216724"/>
    <w:rsid w:val="00224C7E"/>
    <w:rsid w:val="00225009"/>
    <w:rsid w:val="00234B8F"/>
    <w:rsid w:val="00242503"/>
    <w:rsid w:val="002433CE"/>
    <w:rsid w:val="00243BF2"/>
    <w:rsid w:val="00247655"/>
    <w:rsid w:val="00255B23"/>
    <w:rsid w:val="0026316C"/>
    <w:rsid w:val="0026320B"/>
    <w:rsid w:val="002647DB"/>
    <w:rsid w:val="00271BCA"/>
    <w:rsid w:val="00272702"/>
    <w:rsid w:val="00272EB2"/>
    <w:rsid w:val="0027526A"/>
    <w:rsid w:val="002A073E"/>
    <w:rsid w:val="002A18CC"/>
    <w:rsid w:val="002A2E0F"/>
    <w:rsid w:val="002A30F3"/>
    <w:rsid w:val="002A3389"/>
    <w:rsid w:val="002C0406"/>
    <w:rsid w:val="002C07B5"/>
    <w:rsid w:val="002C3272"/>
    <w:rsid w:val="002D24DA"/>
    <w:rsid w:val="002D254E"/>
    <w:rsid w:val="002F3042"/>
    <w:rsid w:val="002F357E"/>
    <w:rsid w:val="002F5322"/>
    <w:rsid w:val="002F72AA"/>
    <w:rsid w:val="003110A8"/>
    <w:rsid w:val="0031547F"/>
    <w:rsid w:val="00321A83"/>
    <w:rsid w:val="00326AF2"/>
    <w:rsid w:val="003303C9"/>
    <w:rsid w:val="00335E75"/>
    <w:rsid w:val="0033762D"/>
    <w:rsid w:val="00345C41"/>
    <w:rsid w:val="0035263F"/>
    <w:rsid w:val="00357B11"/>
    <w:rsid w:val="00357BD3"/>
    <w:rsid w:val="00364ED5"/>
    <w:rsid w:val="00371527"/>
    <w:rsid w:val="00374572"/>
    <w:rsid w:val="00375B00"/>
    <w:rsid w:val="00392BAA"/>
    <w:rsid w:val="00393A6B"/>
    <w:rsid w:val="003974ED"/>
    <w:rsid w:val="003A0D57"/>
    <w:rsid w:val="003A10A7"/>
    <w:rsid w:val="003A6CAA"/>
    <w:rsid w:val="003B6D34"/>
    <w:rsid w:val="003C1BC9"/>
    <w:rsid w:val="003C76EB"/>
    <w:rsid w:val="003C76FB"/>
    <w:rsid w:val="003C7E21"/>
    <w:rsid w:val="003D5644"/>
    <w:rsid w:val="003D7A38"/>
    <w:rsid w:val="003E76B2"/>
    <w:rsid w:val="003F0869"/>
    <w:rsid w:val="00401287"/>
    <w:rsid w:val="00401B86"/>
    <w:rsid w:val="0040468D"/>
    <w:rsid w:val="00422F55"/>
    <w:rsid w:val="004314D5"/>
    <w:rsid w:val="0043404F"/>
    <w:rsid w:val="004400C5"/>
    <w:rsid w:val="00440D5B"/>
    <w:rsid w:val="00444D3C"/>
    <w:rsid w:val="004473FF"/>
    <w:rsid w:val="00452A75"/>
    <w:rsid w:val="00456A7C"/>
    <w:rsid w:val="0048379C"/>
    <w:rsid w:val="004862A6"/>
    <w:rsid w:val="0049172A"/>
    <w:rsid w:val="004B0DD5"/>
    <w:rsid w:val="004C157C"/>
    <w:rsid w:val="004C3DF0"/>
    <w:rsid w:val="004D6816"/>
    <w:rsid w:val="004D6E67"/>
    <w:rsid w:val="004E004B"/>
    <w:rsid w:val="004E0354"/>
    <w:rsid w:val="004E4C97"/>
    <w:rsid w:val="004F0A96"/>
    <w:rsid w:val="004F7E5E"/>
    <w:rsid w:val="00500520"/>
    <w:rsid w:val="005012A5"/>
    <w:rsid w:val="00503401"/>
    <w:rsid w:val="005142F4"/>
    <w:rsid w:val="0051548F"/>
    <w:rsid w:val="00526983"/>
    <w:rsid w:val="00530C85"/>
    <w:rsid w:val="005324A7"/>
    <w:rsid w:val="00543F46"/>
    <w:rsid w:val="005448CE"/>
    <w:rsid w:val="005468FA"/>
    <w:rsid w:val="00564CD3"/>
    <w:rsid w:val="005934F7"/>
    <w:rsid w:val="005A2039"/>
    <w:rsid w:val="005A32E3"/>
    <w:rsid w:val="005B0810"/>
    <w:rsid w:val="005B22EF"/>
    <w:rsid w:val="005B71DB"/>
    <w:rsid w:val="005C3665"/>
    <w:rsid w:val="005C591A"/>
    <w:rsid w:val="005D60AF"/>
    <w:rsid w:val="005E7F01"/>
    <w:rsid w:val="005F1801"/>
    <w:rsid w:val="005F6849"/>
    <w:rsid w:val="005F70CA"/>
    <w:rsid w:val="006008AE"/>
    <w:rsid w:val="006039CA"/>
    <w:rsid w:val="00606CC9"/>
    <w:rsid w:val="00615754"/>
    <w:rsid w:val="006202AA"/>
    <w:rsid w:val="00621606"/>
    <w:rsid w:val="00621A9E"/>
    <w:rsid w:val="00622A4F"/>
    <w:rsid w:val="00631354"/>
    <w:rsid w:val="00632C30"/>
    <w:rsid w:val="00637122"/>
    <w:rsid w:val="0064302F"/>
    <w:rsid w:val="00661FB4"/>
    <w:rsid w:val="00663060"/>
    <w:rsid w:val="006643E2"/>
    <w:rsid w:val="00685024"/>
    <w:rsid w:val="00692B0B"/>
    <w:rsid w:val="00696FE9"/>
    <w:rsid w:val="006A0169"/>
    <w:rsid w:val="006A10B2"/>
    <w:rsid w:val="006A3AEE"/>
    <w:rsid w:val="006D161B"/>
    <w:rsid w:val="006D2F32"/>
    <w:rsid w:val="006D5458"/>
    <w:rsid w:val="006E148A"/>
    <w:rsid w:val="006E2FF8"/>
    <w:rsid w:val="006F03F7"/>
    <w:rsid w:val="006F2877"/>
    <w:rsid w:val="006F3A9A"/>
    <w:rsid w:val="0070100A"/>
    <w:rsid w:val="00702F1C"/>
    <w:rsid w:val="007155A1"/>
    <w:rsid w:val="00726AE1"/>
    <w:rsid w:val="00735C74"/>
    <w:rsid w:val="00735C7F"/>
    <w:rsid w:val="00740858"/>
    <w:rsid w:val="00742109"/>
    <w:rsid w:val="0074244E"/>
    <w:rsid w:val="0074745C"/>
    <w:rsid w:val="00752E65"/>
    <w:rsid w:val="00755247"/>
    <w:rsid w:val="0075689A"/>
    <w:rsid w:val="00762861"/>
    <w:rsid w:val="00766B88"/>
    <w:rsid w:val="0076713F"/>
    <w:rsid w:val="0077051E"/>
    <w:rsid w:val="00775BDF"/>
    <w:rsid w:val="00780DCC"/>
    <w:rsid w:val="007812D4"/>
    <w:rsid w:val="00782467"/>
    <w:rsid w:val="00793BB7"/>
    <w:rsid w:val="007A19F2"/>
    <w:rsid w:val="007A3FFF"/>
    <w:rsid w:val="007B1F82"/>
    <w:rsid w:val="007B2B33"/>
    <w:rsid w:val="007B3C8C"/>
    <w:rsid w:val="007B4A13"/>
    <w:rsid w:val="007B4EB6"/>
    <w:rsid w:val="007C2265"/>
    <w:rsid w:val="007C4111"/>
    <w:rsid w:val="007C7C39"/>
    <w:rsid w:val="007E296B"/>
    <w:rsid w:val="007F2063"/>
    <w:rsid w:val="007F7B9B"/>
    <w:rsid w:val="0080249B"/>
    <w:rsid w:val="00815276"/>
    <w:rsid w:val="008304D5"/>
    <w:rsid w:val="00837CB1"/>
    <w:rsid w:val="0084103E"/>
    <w:rsid w:val="00841DE6"/>
    <w:rsid w:val="0084354D"/>
    <w:rsid w:val="00844DF7"/>
    <w:rsid w:val="008470E8"/>
    <w:rsid w:val="00854C16"/>
    <w:rsid w:val="00867EE7"/>
    <w:rsid w:val="00876525"/>
    <w:rsid w:val="00877069"/>
    <w:rsid w:val="00881A44"/>
    <w:rsid w:val="0088217C"/>
    <w:rsid w:val="00882DEB"/>
    <w:rsid w:val="00892754"/>
    <w:rsid w:val="008933D8"/>
    <w:rsid w:val="008967C2"/>
    <w:rsid w:val="008A0E32"/>
    <w:rsid w:val="008A5254"/>
    <w:rsid w:val="008B79F5"/>
    <w:rsid w:val="008C162A"/>
    <w:rsid w:val="008C61C7"/>
    <w:rsid w:val="008D7CA1"/>
    <w:rsid w:val="008E03D2"/>
    <w:rsid w:val="008E78FF"/>
    <w:rsid w:val="008F5B79"/>
    <w:rsid w:val="00921A20"/>
    <w:rsid w:val="00924B86"/>
    <w:rsid w:val="00934E8E"/>
    <w:rsid w:val="00935287"/>
    <w:rsid w:val="00936D7F"/>
    <w:rsid w:val="009379BC"/>
    <w:rsid w:val="009415E7"/>
    <w:rsid w:val="009428A2"/>
    <w:rsid w:val="009573D8"/>
    <w:rsid w:val="00967916"/>
    <w:rsid w:val="009710CB"/>
    <w:rsid w:val="00971D83"/>
    <w:rsid w:val="00976CBD"/>
    <w:rsid w:val="00977F51"/>
    <w:rsid w:val="009957FC"/>
    <w:rsid w:val="009A11A6"/>
    <w:rsid w:val="009A1645"/>
    <w:rsid w:val="009A38CA"/>
    <w:rsid w:val="009A5CCB"/>
    <w:rsid w:val="009B0944"/>
    <w:rsid w:val="009B70C9"/>
    <w:rsid w:val="009B753F"/>
    <w:rsid w:val="009C7D8C"/>
    <w:rsid w:val="009D0BE4"/>
    <w:rsid w:val="009D3AB1"/>
    <w:rsid w:val="009D5018"/>
    <w:rsid w:val="009D5D3E"/>
    <w:rsid w:val="009E11EE"/>
    <w:rsid w:val="009E135C"/>
    <w:rsid w:val="009E588A"/>
    <w:rsid w:val="009E6E52"/>
    <w:rsid w:val="009F73C7"/>
    <w:rsid w:val="00A00EDB"/>
    <w:rsid w:val="00A014C1"/>
    <w:rsid w:val="00A0340B"/>
    <w:rsid w:val="00A11297"/>
    <w:rsid w:val="00A16458"/>
    <w:rsid w:val="00A17E41"/>
    <w:rsid w:val="00A3382B"/>
    <w:rsid w:val="00A36467"/>
    <w:rsid w:val="00A36A65"/>
    <w:rsid w:val="00A40CD2"/>
    <w:rsid w:val="00A43DDD"/>
    <w:rsid w:val="00A45A83"/>
    <w:rsid w:val="00A47172"/>
    <w:rsid w:val="00A5068D"/>
    <w:rsid w:val="00A51241"/>
    <w:rsid w:val="00A533E6"/>
    <w:rsid w:val="00A55DE4"/>
    <w:rsid w:val="00A92599"/>
    <w:rsid w:val="00A941D5"/>
    <w:rsid w:val="00A94549"/>
    <w:rsid w:val="00AA3F1F"/>
    <w:rsid w:val="00AC128F"/>
    <w:rsid w:val="00AC1FD7"/>
    <w:rsid w:val="00AC27D6"/>
    <w:rsid w:val="00AE0614"/>
    <w:rsid w:val="00AE0A27"/>
    <w:rsid w:val="00AE3511"/>
    <w:rsid w:val="00AF3BE4"/>
    <w:rsid w:val="00AF3FEE"/>
    <w:rsid w:val="00B0138B"/>
    <w:rsid w:val="00B2012F"/>
    <w:rsid w:val="00B363DE"/>
    <w:rsid w:val="00B40D2F"/>
    <w:rsid w:val="00B525A3"/>
    <w:rsid w:val="00B55754"/>
    <w:rsid w:val="00B57588"/>
    <w:rsid w:val="00B72B6D"/>
    <w:rsid w:val="00B7339D"/>
    <w:rsid w:val="00B942CE"/>
    <w:rsid w:val="00B96385"/>
    <w:rsid w:val="00B9644E"/>
    <w:rsid w:val="00BA60D3"/>
    <w:rsid w:val="00BB1BC1"/>
    <w:rsid w:val="00BC3306"/>
    <w:rsid w:val="00BC61F6"/>
    <w:rsid w:val="00BD01B6"/>
    <w:rsid w:val="00BD62CA"/>
    <w:rsid w:val="00BE29E7"/>
    <w:rsid w:val="00BF2D54"/>
    <w:rsid w:val="00BF3570"/>
    <w:rsid w:val="00BF3AAB"/>
    <w:rsid w:val="00BF4400"/>
    <w:rsid w:val="00C02D55"/>
    <w:rsid w:val="00C05BEF"/>
    <w:rsid w:val="00C1589A"/>
    <w:rsid w:val="00C22172"/>
    <w:rsid w:val="00C22CE1"/>
    <w:rsid w:val="00C2360C"/>
    <w:rsid w:val="00C26D5D"/>
    <w:rsid w:val="00C32E9A"/>
    <w:rsid w:val="00C412A6"/>
    <w:rsid w:val="00C43A57"/>
    <w:rsid w:val="00C52D99"/>
    <w:rsid w:val="00C60B11"/>
    <w:rsid w:val="00C62400"/>
    <w:rsid w:val="00C67DFF"/>
    <w:rsid w:val="00C843F3"/>
    <w:rsid w:val="00C868CF"/>
    <w:rsid w:val="00C93D3F"/>
    <w:rsid w:val="00CA2562"/>
    <w:rsid w:val="00CA3FC1"/>
    <w:rsid w:val="00CB1D28"/>
    <w:rsid w:val="00CB3B67"/>
    <w:rsid w:val="00CB68A7"/>
    <w:rsid w:val="00CB7F73"/>
    <w:rsid w:val="00CC742A"/>
    <w:rsid w:val="00CD660D"/>
    <w:rsid w:val="00CD74F4"/>
    <w:rsid w:val="00CD77C7"/>
    <w:rsid w:val="00CE18BD"/>
    <w:rsid w:val="00D12330"/>
    <w:rsid w:val="00D2173F"/>
    <w:rsid w:val="00D22A39"/>
    <w:rsid w:val="00D2590B"/>
    <w:rsid w:val="00D26314"/>
    <w:rsid w:val="00D46490"/>
    <w:rsid w:val="00D519E9"/>
    <w:rsid w:val="00D553A0"/>
    <w:rsid w:val="00D6461F"/>
    <w:rsid w:val="00D64F34"/>
    <w:rsid w:val="00D80F8D"/>
    <w:rsid w:val="00DA10E1"/>
    <w:rsid w:val="00DA16FD"/>
    <w:rsid w:val="00DC48EF"/>
    <w:rsid w:val="00DD7D07"/>
    <w:rsid w:val="00DF1007"/>
    <w:rsid w:val="00E011BE"/>
    <w:rsid w:val="00E03B24"/>
    <w:rsid w:val="00E04931"/>
    <w:rsid w:val="00E214C4"/>
    <w:rsid w:val="00E32D88"/>
    <w:rsid w:val="00E35543"/>
    <w:rsid w:val="00E36636"/>
    <w:rsid w:val="00E45151"/>
    <w:rsid w:val="00E563D2"/>
    <w:rsid w:val="00E7232E"/>
    <w:rsid w:val="00E732CD"/>
    <w:rsid w:val="00E75D83"/>
    <w:rsid w:val="00E77BC3"/>
    <w:rsid w:val="00E80408"/>
    <w:rsid w:val="00E8077C"/>
    <w:rsid w:val="00E81F28"/>
    <w:rsid w:val="00E83815"/>
    <w:rsid w:val="00E843B1"/>
    <w:rsid w:val="00E96B50"/>
    <w:rsid w:val="00EA3009"/>
    <w:rsid w:val="00EA32D3"/>
    <w:rsid w:val="00ED19DE"/>
    <w:rsid w:val="00EE5859"/>
    <w:rsid w:val="00EF07A0"/>
    <w:rsid w:val="00EF5630"/>
    <w:rsid w:val="00EF7FD2"/>
    <w:rsid w:val="00F02E76"/>
    <w:rsid w:val="00F03A70"/>
    <w:rsid w:val="00F05FB4"/>
    <w:rsid w:val="00F20156"/>
    <w:rsid w:val="00F307B8"/>
    <w:rsid w:val="00F45B53"/>
    <w:rsid w:val="00F47D4E"/>
    <w:rsid w:val="00F6147E"/>
    <w:rsid w:val="00F6392D"/>
    <w:rsid w:val="00F70D29"/>
    <w:rsid w:val="00F73A02"/>
    <w:rsid w:val="00F76CE1"/>
    <w:rsid w:val="00F76D8A"/>
    <w:rsid w:val="00F81527"/>
    <w:rsid w:val="00F830A8"/>
    <w:rsid w:val="00F84D5B"/>
    <w:rsid w:val="00F85A80"/>
    <w:rsid w:val="00F90D0D"/>
    <w:rsid w:val="00F947AC"/>
    <w:rsid w:val="00FA4F68"/>
    <w:rsid w:val="00FA5B46"/>
    <w:rsid w:val="00FA7EE9"/>
    <w:rsid w:val="00FB183B"/>
    <w:rsid w:val="00FB1F8F"/>
    <w:rsid w:val="00FB295F"/>
    <w:rsid w:val="00FB41D3"/>
    <w:rsid w:val="00FB5D01"/>
    <w:rsid w:val="00FC0237"/>
    <w:rsid w:val="00FC0E93"/>
    <w:rsid w:val="00FC2D69"/>
    <w:rsid w:val="00FC764C"/>
    <w:rsid w:val="00FD2FDD"/>
    <w:rsid w:val="00FE194B"/>
    <w:rsid w:val="00FE2B69"/>
    <w:rsid w:val="00FE5E79"/>
    <w:rsid w:val="00FF38B0"/>
    <w:rsid w:val="00FF5664"/>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9665D"/>
  <w15:docId w15:val="{8BEDA961-BCF0-421A-8190-90AFFA551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customStyle="1" w:styleId="Puslapioinaostekstas1">
    <w:name w:val="Puslapio išnašos tekstas1"/>
    <w:basedOn w:val="prastasis"/>
    <w:next w:val="Puslapioinaostekstas"/>
    <w:link w:val="PuslapioinaostekstasDiagrama"/>
    <w:uiPriority w:val="99"/>
    <w:semiHidden/>
    <w:unhideWhenUsed/>
    <w:rsid w:val="00C412A6"/>
    <w:pPr>
      <w:suppressAutoHyphens w:val="0"/>
    </w:pPr>
    <w:rPr>
      <w:sz w:val="20"/>
      <w:szCs w:val="20"/>
      <w:lang w:eastAsia="lt-LT"/>
    </w:rPr>
  </w:style>
  <w:style w:type="character" w:customStyle="1" w:styleId="PuslapioinaostekstasDiagrama">
    <w:name w:val="Puslapio išnašos tekstas Diagrama"/>
    <w:basedOn w:val="Numatytasispastraiposriftas"/>
    <w:link w:val="Puslapioinaostekstas1"/>
    <w:uiPriority w:val="99"/>
    <w:semiHidden/>
    <w:rsid w:val="00C412A6"/>
    <w:rPr>
      <w:sz w:val="20"/>
      <w:szCs w:val="20"/>
    </w:rPr>
  </w:style>
  <w:style w:type="character" w:styleId="Puslapioinaosnuoroda">
    <w:name w:val="footnote reference"/>
    <w:basedOn w:val="Numatytasispastraiposriftas"/>
    <w:uiPriority w:val="99"/>
    <w:semiHidden/>
    <w:unhideWhenUsed/>
    <w:rsid w:val="00C412A6"/>
    <w:rPr>
      <w:vertAlign w:val="superscript"/>
    </w:rPr>
  </w:style>
  <w:style w:type="paragraph" w:styleId="Puslapioinaostekstas">
    <w:name w:val="footnote text"/>
    <w:basedOn w:val="prastasis"/>
    <w:link w:val="PuslapioinaostekstasDiagrama1"/>
    <w:semiHidden/>
    <w:unhideWhenUsed/>
    <w:rsid w:val="00C412A6"/>
    <w:rPr>
      <w:sz w:val="20"/>
      <w:szCs w:val="20"/>
    </w:rPr>
  </w:style>
  <w:style w:type="character" w:customStyle="1" w:styleId="PuslapioinaostekstasDiagrama1">
    <w:name w:val="Puslapio išnašos tekstas Diagrama1"/>
    <w:basedOn w:val="Numatytasispastraiposriftas"/>
    <w:link w:val="Puslapioinaostekstas"/>
    <w:semiHidden/>
    <w:rsid w:val="00C412A6"/>
    <w:rPr>
      <w:lang w:eastAsia="ar-SA"/>
    </w:rPr>
  </w:style>
  <w:style w:type="paragraph" w:styleId="Sraopastraipa">
    <w:name w:val="List Paragraph"/>
    <w:basedOn w:val="prastasis"/>
    <w:uiPriority w:val="34"/>
    <w:qFormat/>
    <w:rsid w:val="0008578C"/>
    <w:pPr>
      <w:ind w:left="720"/>
      <w:contextualSpacing/>
    </w:pPr>
  </w:style>
  <w:style w:type="character" w:customStyle="1" w:styleId="AntratsDiagrama">
    <w:name w:val="Antraštės Diagrama"/>
    <w:basedOn w:val="Numatytasispastraiposriftas"/>
    <w:link w:val="Antrats"/>
    <w:uiPriority w:val="99"/>
    <w:rsid w:val="00234B8F"/>
    <w:rPr>
      <w:sz w:val="24"/>
      <w:szCs w:val="24"/>
      <w:lang w:eastAsia="ar-SA"/>
    </w:rPr>
  </w:style>
  <w:style w:type="character" w:styleId="Komentaronuoroda">
    <w:name w:val="annotation reference"/>
    <w:basedOn w:val="Numatytasispastraiposriftas"/>
    <w:semiHidden/>
    <w:unhideWhenUsed/>
    <w:rsid w:val="009957FC"/>
    <w:rPr>
      <w:sz w:val="16"/>
      <w:szCs w:val="16"/>
    </w:rPr>
  </w:style>
  <w:style w:type="paragraph" w:styleId="Komentarotekstas">
    <w:name w:val="annotation text"/>
    <w:basedOn w:val="prastasis"/>
    <w:link w:val="KomentarotekstasDiagrama"/>
    <w:semiHidden/>
    <w:unhideWhenUsed/>
    <w:rsid w:val="009957FC"/>
    <w:rPr>
      <w:sz w:val="20"/>
      <w:szCs w:val="20"/>
    </w:rPr>
  </w:style>
  <w:style w:type="character" w:customStyle="1" w:styleId="KomentarotekstasDiagrama">
    <w:name w:val="Komentaro tekstas Diagrama"/>
    <w:basedOn w:val="Numatytasispastraiposriftas"/>
    <w:link w:val="Komentarotekstas"/>
    <w:semiHidden/>
    <w:rsid w:val="009957FC"/>
    <w:rPr>
      <w:lang w:eastAsia="ar-SA"/>
    </w:rPr>
  </w:style>
  <w:style w:type="paragraph" w:styleId="Komentarotema">
    <w:name w:val="annotation subject"/>
    <w:basedOn w:val="Komentarotekstas"/>
    <w:next w:val="Komentarotekstas"/>
    <w:link w:val="KomentarotemaDiagrama"/>
    <w:semiHidden/>
    <w:unhideWhenUsed/>
    <w:rsid w:val="009957FC"/>
    <w:rPr>
      <w:b/>
      <w:bCs/>
    </w:rPr>
  </w:style>
  <w:style w:type="character" w:customStyle="1" w:styleId="KomentarotemaDiagrama">
    <w:name w:val="Komentaro tema Diagrama"/>
    <w:basedOn w:val="KomentarotekstasDiagrama"/>
    <w:link w:val="Komentarotema"/>
    <w:semiHidden/>
    <w:rsid w:val="009957FC"/>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00204">
      <w:bodyDiv w:val="1"/>
      <w:marLeft w:val="0"/>
      <w:marRight w:val="0"/>
      <w:marTop w:val="0"/>
      <w:marBottom w:val="0"/>
      <w:divBdr>
        <w:top w:val="none" w:sz="0" w:space="0" w:color="auto"/>
        <w:left w:val="none" w:sz="0" w:space="0" w:color="auto"/>
        <w:bottom w:val="none" w:sz="0" w:space="0" w:color="auto"/>
        <w:right w:val="none" w:sz="0" w:space="0" w:color="auto"/>
      </w:divBdr>
    </w:div>
    <w:div w:id="547570761">
      <w:bodyDiv w:val="1"/>
      <w:marLeft w:val="0"/>
      <w:marRight w:val="0"/>
      <w:marTop w:val="0"/>
      <w:marBottom w:val="0"/>
      <w:divBdr>
        <w:top w:val="none" w:sz="0" w:space="0" w:color="auto"/>
        <w:left w:val="none" w:sz="0" w:space="0" w:color="auto"/>
        <w:bottom w:val="none" w:sz="0" w:space="0" w:color="auto"/>
        <w:right w:val="none" w:sz="0" w:space="0" w:color="auto"/>
      </w:divBdr>
      <w:divsChild>
        <w:div w:id="97914875">
          <w:marLeft w:val="0"/>
          <w:marRight w:val="0"/>
          <w:marTop w:val="0"/>
          <w:marBottom w:val="0"/>
          <w:divBdr>
            <w:top w:val="none" w:sz="0" w:space="0" w:color="auto"/>
            <w:left w:val="none" w:sz="0" w:space="0" w:color="auto"/>
            <w:bottom w:val="none" w:sz="0" w:space="0" w:color="auto"/>
            <w:right w:val="none" w:sz="0" w:space="0" w:color="auto"/>
          </w:divBdr>
          <w:divsChild>
            <w:div w:id="659038380">
              <w:marLeft w:val="0"/>
              <w:marRight w:val="0"/>
              <w:marTop w:val="0"/>
              <w:marBottom w:val="0"/>
              <w:divBdr>
                <w:top w:val="none" w:sz="0" w:space="0" w:color="auto"/>
                <w:left w:val="none" w:sz="0" w:space="0" w:color="auto"/>
                <w:bottom w:val="none" w:sz="0" w:space="0" w:color="auto"/>
                <w:right w:val="none" w:sz="0" w:space="0" w:color="auto"/>
              </w:divBdr>
              <w:divsChild>
                <w:div w:id="1970671144">
                  <w:marLeft w:val="0"/>
                  <w:marRight w:val="0"/>
                  <w:marTop w:val="0"/>
                  <w:marBottom w:val="0"/>
                  <w:divBdr>
                    <w:top w:val="none" w:sz="0" w:space="0" w:color="auto"/>
                    <w:left w:val="none" w:sz="0" w:space="0" w:color="auto"/>
                    <w:bottom w:val="none" w:sz="0" w:space="0" w:color="auto"/>
                    <w:right w:val="none" w:sz="0" w:space="0" w:color="auto"/>
                  </w:divBdr>
                  <w:divsChild>
                    <w:div w:id="540241587">
                      <w:marLeft w:val="0"/>
                      <w:marRight w:val="0"/>
                      <w:marTop w:val="0"/>
                      <w:marBottom w:val="0"/>
                      <w:divBdr>
                        <w:top w:val="none" w:sz="0" w:space="0" w:color="auto"/>
                        <w:left w:val="none" w:sz="0" w:space="0" w:color="auto"/>
                        <w:bottom w:val="none" w:sz="0" w:space="0" w:color="auto"/>
                        <w:right w:val="none" w:sz="0" w:space="0" w:color="auto"/>
                      </w:divBdr>
                      <w:divsChild>
                        <w:div w:id="89555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4857">
      <w:bodyDiv w:val="1"/>
      <w:marLeft w:val="0"/>
      <w:marRight w:val="0"/>
      <w:marTop w:val="0"/>
      <w:marBottom w:val="0"/>
      <w:divBdr>
        <w:top w:val="none" w:sz="0" w:space="0" w:color="auto"/>
        <w:left w:val="none" w:sz="0" w:space="0" w:color="auto"/>
        <w:bottom w:val="none" w:sz="0" w:space="0" w:color="auto"/>
        <w:right w:val="none" w:sz="0" w:space="0" w:color="auto"/>
      </w:divBdr>
      <w:divsChild>
        <w:div w:id="1963612992">
          <w:marLeft w:val="0"/>
          <w:marRight w:val="0"/>
          <w:marTop w:val="0"/>
          <w:marBottom w:val="0"/>
          <w:divBdr>
            <w:top w:val="none" w:sz="0" w:space="0" w:color="auto"/>
            <w:left w:val="none" w:sz="0" w:space="0" w:color="auto"/>
            <w:bottom w:val="none" w:sz="0" w:space="0" w:color="auto"/>
            <w:right w:val="none" w:sz="0" w:space="0" w:color="auto"/>
          </w:divBdr>
          <w:divsChild>
            <w:div w:id="1693922564">
              <w:marLeft w:val="0"/>
              <w:marRight w:val="0"/>
              <w:marTop w:val="0"/>
              <w:marBottom w:val="0"/>
              <w:divBdr>
                <w:top w:val="none" w:sz="0" w:space="0" w:color="auto"/>
                <w:left w:val="none" w:sz="0" w:space="0" w:color="auto"/>
                <w:bottom w:val="none" w:sz="0" w:space="0" w:color="auto"/>
                <w:right w:val="none" w:sz="0" w:space="0" w:color="auto"/>
              </w:divBdr>
              <w:divsChild>
                <w:div w:id="1001348268">
                  <w:marLeft w:val="0"/>
                  <w:marRight w:val="0"/>
                  <w:marTop w:val="0"/>
                  <w:marBottom w:val="0"/>
                  <w:divBdr>
                    <w:top w:val="none" w:sz="0" w:space="0" w:color="auto"/>
                    <w:left w:val="none" w:sz="0" w:space="0" w:color="auto"/>
                    <w:bottom w:val="none" w:sz="0" w:space="0" w:color="auto"/>
                    <w:right w:val="none" w:sz="0" w:space="0" w:color="auto"/>
                  </w:divBdr>
                  <w:divsChild>
                    <w:div w:id="1514297298">
                      <w:marLeft w:val="0"/>
                      <w:marRight w:val="0"/>
                      <w:marTop w:val="0"/>
                      <w:marBottom w:val="0"/>
                      <w:divBdr>
                        <w:top w:val="none" w:sz="0" w:space="0" w:color="auto"/>
                        <w:left w:val="none" w:sz="0" w:space="0" w:color="auto"/>
                        <w:bottom w:val="none" w:sz="0" w:space="0" w:color="auto"/>
                        <w:right w:val="none" w:sz="0" w:space="0" w:color="auto"/>
                      </w:divBdr>
                      <w:divsChild>
                        <w:div w:id="17714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7709093">
      <w:bodyDiv w:val="1"/>
      <w:marLeft w:val="0"/>
      <w:marRight w:val="0"/>
      <w:marTop w:val="0"/>
      <w:marBottom w:val="0"/>
      <w:divBdr>
        <w:top w:val="none" w:sz="0" w:space="0" w:color="auto"/>
        <w:left w:val="none" w:sz="0" w:space="0" w:color="auto"/>
        <w:bottom w:val="none" w:sz="0" w:space="0" w:color="auto"/>
        <w:right w:val="none" w:sz="0" w:space="0" w:color="auto"/>
      </w:divBdr>
      <w:divsChild>
        <w:div w:id="1062096066">
          <w:marLeft w:val="0"/>
          <w:marRight w:val="0"/>
          <w:marTop w:val="0"/>
          <w:marBottom w:val="0"/>
          <w:divBdr>
            <w:top w:val="none" w:sz="0" w:space="0" w:color="auto"/>
            <w:left w:val="none" w:sz="0" w:space="0" w:color="auto"/>
            <w:bottom w:val="none" w:sz="0" w:space="0" w:color="auto"/>
            <w:right w:val="none" w:sz="0" w:space="0" w:color="auto"/>
          </w:divBdr>
          <w:divsChild>
            <w:div w:id="1072115597">
              <w:marLeft w:val="0"/>
              <w:marRight w:val="0"/>
              <w:marTop w:val="0"/>
              <w:marBottom w:val="0"/>
              <w:divBdr>
                <w:top w:val="none" w:sz="0" w:space="0" w:color="auto"/>
                <w:left w:val="none" w:sz="0" w:space="0" w:color="auto"/>
                <w:bottom w:val="none" w:sz="0" w:space="0" w:color="auto"/>
                <w:right w:val="none" w:sz="0" w:space="0" w:color="auto"/>
              </w:divBdr>
              <w:divsChild>
                <w:div w:id="1596668036">
                  <w:marLeft w:val="0"/>
                  <w:marRight w:val="0"/>
                  <w:marTop w:val="0"/>
                  <w:marBottom w:val="0"/>
                  <w:divBdr>
                    <w:top w:val="none" w:sz="0" w:space="0" w:color="auto"/>
                    <w:left w:val="none" w:sz="0" w:space="0" w:color="auto"/>
                    <w:bottom w:val="none" w:sz="0" w:space="0" w:color="auto"/>
                    <w:right w:val="none" w:sz="0" w:space="0" w:color="auto"/>
                  </w:divBdr>
                  <w:divsChild>
                    <w:div w:id="2011903279">
                      <w:marLeft w:val="0"/>
                      <w:marRight w:val="0"/>
                      <w:marTop w:val="0"/>
                      <w:marBottom w:val="0"/>
                      <w:divBdr>
                        <w:top w:val="none" w:sz="0" w:space="0" w:color="auto"/>
                        <w:left w:val="none" w:sz="0" w:space="0" w:color="auto"/>
                        <w:bottom w:val="none" w:sz="0" w:space="0" w:color="auto"/>
                        <w:right w:val="none" w:sz="0" w:space="0" w:color="auto"/>
                      </w:divBdr>
                      <w:divsChild>
                        <w:div w:id="120595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612083599">
      <w:bodyDiv w:val="1"/>
      <w:marLeft w:val="0"/>
      <w:marRight w:val="0"/>
      <w:marTop w:val="0"/>
      <w:marBottom w:val="0"/>
      <w:divBdr>
        <w:top w:val="none" w:sz="0" w:space="0" w:color="auto"/>
        <w:left w:val="none" w:sz="0" w:space="0" w:color="auto"/>
        <w:bottom w:val="none" w:sz="0" w:space="0" w:color="auto"/>
        <w:right w:val="none" w:sz="0" w:space="0" w:color="auto"/>
      </w:divBdr>
      <w:divsChild>
        <w:div w:id="1190683280">
          <w:marLeft w:val="0"/>
          <w:marRight w:val="0"/>
          <w:marTop w:val="0"/>
          <w:marBottom w:val="0"/>
          <w:divBdr>
            <w:top w:val="none" w:sz="0" w:space="0" w:color="auto"/>
            <w:left w:val="none" w:sz="0" w:space="0" w:color="auto"/>
            <w:bottom w:val="none" w:sz="0" w:space="0" w:color="auto"/>
            <w:right w:val="none" w:sz="0" w:space="0" w:color="auto"/>
          </w:divBdr>
          <w:divsChild>
            <w:div w:id="2137603999">
              <w:marLeft w:val="0"/>
              <w:marRight w:val="0"/>
              <w:marTop w:val="0"/>
              <w:marBottom w:val="0"/>
              <w:divBdr>
                <w:top w:val="none" w:sz="0" w:space="0" w:color="auto"/>
                <w:left w:val="none" w:sz="0" w:space="0" w:color="auto"/>
                <w:bottom w:val="none" w:sz="0" w:space="0" w:color="auto"/>
                <w:right w:val="none" w:sz="0" w:space="0" w:color="auto"/>
              </w:divBdr>
              <w:divsChild>
                <w:div w:id="488862037">
                  <w:marLeft w:val="0"/>
                  <w:marRight w:val="0"/>
                  <w:marTop w:val="0"/>
                  <w:marBottom w:val="0"/>
                  <w:divBdr>
                    <w:top w:val="none" w:sz="0" w:space="0" w:color="auto"/>
                    <w:left w:val="none" w:sz="0" w:space="0" w:color="auto"/>
                    <w:bottom w:val="none" w:sz="0" w:space="0" w:color="auto"/>
                    <w:right w:val="none" w:sz="0" w:space="0" w:color="auto"/>
                  </w:divBdr>
                  <w:divsChild>
                    <w:div w:id="1961955503">
                      <w:marLeft w:val="0"/>
                      <w:marRight w:val="0"/>
                      <w:marTop w:val="0"/>
                      <w:marBottom w:val="0"/>
                      <w:divBdr>
                        <w:top w:val="none" w:sz="0" w:space="0" w:color="auto"/>
                        <w:left w:val="none" w:sz="0" w:space="0" w:color="auto"/>
                        <w:bottom w:val="none" w:sz="0" w:space="0" w:color="auto"/>
                        <w:right w:val="none" w:sz="0" w:space="0" w:color="auto"/>
                      </w:divBdr>
                      <w:divsChild>
                        <w:div w:id="20435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91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E0E9-5A18-4182-BCE6-3EA2AC62C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11933</Words>
  <Characters>6803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[Adresatas]</vt:lpstr>
    </vt:vector>
  </TitlesOfParts>
  <Company/>
  <LinksUpToDate>false</LinksUpToDate>
  <CharactersWithSpaces>18699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2020-03-13T09:56:00Z</dcterms:created>
  <dc:creator>D.Glodenis</dc:creator>
  <cp:lastModifiedBy>Jūratė Burtilienė</cp:lastModifiedBy>
  <cp:lastPrinted>2017-02-27T08:34:00Z</cp:lastPrinted>
  <dcterms:modified xsi:type="dcterms:W3CDTF">2020-03-13T12:26:00Z</dcterms:modified>
  <cp:revision>15</cp:revision>
  <dc:title>[Adresatas]</dc:title>
</cp:coreProperties>
</file>