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B825" w14:textId="77777777" w:rsidR="007E45A8" w:rsidRPr="00486E28" w:rsidRDefault="007E45A8" w:rsidP="007E45A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486E28">
        <w:rPr>
          <w:rFonts w:ascii="Times New Roman" w:hAnsi="Times New Roman" w:cs="Times New Roman"/>
          <w:b/>
        </w:rPr>
        <w:t xml:space="preserve"> priedas</w:t>
      </w:r>
    </w:p>
    <w:p w14:paraId="559317AA" w14:textId="77777777" w:rsidR="007E45A8" w:rsidRPr="00486E28" w:rsidRDefault="007E45A8" w:rsidP="007E45A8">
      <w:pPr>
        <w:jc w:val="center"/>
        <w:rPr>
          <w:rFonts w:ascii="Times New Roman" w:hAnsi="Times New Roman" w:cs="Times New Roman"/>
          <w:b/>
        </w:rPr>
      </w:pPr>
      <w:r w:rsidRPr="00486E28">
        <w:rPr>
          <w:rFonts w:ascii="Times New Roman" w:hAnsi="Times New Roman" w:cs="Times New Roman"/>
          <w:b/>
        </w:rPr>
        <w:t>IGNALINOS PROGRAMOS ADMINISTRAVIMO LIETUVOJE PROGRAMOS FINANSINIS ĮGYVENDINIMAS</w:t>
      </w:r>
    </w:p>
    <w:p w14:paraId="06FFC5C1" w14:textId="50D60231" w:rsidR="007E45A8" w:rsidRPr="00486E28" w:rsidRDefault="007E45A8" w:rsidP="007E45A8">
      <w:pPr>
        <w:jc w:val="center"/>
        <w:rPr>
          <w:rFonts w:ascii="Times New Roman" w:hAnsi="Times New Roman" w:cs="Times New Roman"/>
          <w:b/>
        </w:rPr>
      </w:pPr>
      <w:r w:rsidRPr="00486E28">
        <w:rPr>
          <w:rFonts w:ascii="Times New Roman" w:hAnsi="Times New Roman" w:cs="Times New Roman"/>
          <w:b/>
        </w:rPr>
        <w:t>201</w:t>
      </w:r>
      <w:r w:rsidR="007B6414">
        <w:rPr>
          <w:rFonts w:ascii="Times New Roman" w:hAnsi="Times New Roman" w:cs="Times New Roman"/>
          <w:b/>
        </w:rPr>
        <w:t>9</w:t>
      </w:r>
      <w:r w:rsidRPr="00486E28">
        <w:rPr>
          <w:rFonts w:ascii="Times New Roman" w:hAnsi="Times New Roman" w:cs="Times New Roman"/>
          <w:b/>
        </w:rPr>
        <w:t xml:space="preserve"> METAI</w:t>
      </w:r>
    </w:p>
    <w:tbl>
      <w:tblPr>
        <w:tblStyle w:val="TableGrid"/>
        <w:tblW w:w="15136" w:type="dxa"/>
        <w:tblLayout w:type="fixed"/>
        <w:tblLook w:val="04A0" w:firstRow="1" w:lastRow="0" w:firstColumn="1" w:lastColumn="0" w:noHBand="0" w:noVBand="1"/>
      </w:tblPr>
      <w:tblGrid>
        <w:gridCol w:w="897"/>
        <w:gridCol w:w="3526"/>
        <w:gridCol w:w="1365"/>
        <w:gridCol w:w="1437"/>
        <w:gridCol w:w="1417"/>
        <w:gridCol w:w="1276"/>
        <w:gridCol w:w="1502"/>
        <w:gridCol w:w="3716"/>
      </w:tblGrid>
      <w:tr w:rsidR="007E45A8" w:rsidRPr="00486E28" w14:paraId="442451A5" w14:textId="77777777" w:rsidTr="00F70540">
        <w:tc>
          <w:tcPr>
            <w:tcW w:w="897" w:type="dxa"/>
            <w:shd w:val="clear" w:color="auto" w:fill="D9E2F3" w:themeFill="accent1" w:themeFillTint="33"/>
          </w:tcPr>
          <w:p w14:paraId="1D522D4B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74A06837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48CAFB3E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Vykdytojas</w:t>
            </w:r>
          </w:p>
        </w:tc>
        <w:tc>
          <w:tcPr>
            <w:tcW w:w="1437" w:type="dxa"/>
            <w:shd w:val="clear" w:color="auto" w:fill="E2EFD9" w:themeFill="accent6" w:themeFillTint="33"/>
          </w:tcPr>
          <w:p w14:paraId="2E155DB4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Planuota, tūkst. eurų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4B8969D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Panaudota, tūkst. eurų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876BECE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Panaudo-jimas, % 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14:paraId="3E82C066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Pervestos lėšos administra-toriams, </w:t>
            </w:r>
          </w:p>
          <w:p w14:paraId="391BE18C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tūkst. eurų</w:t>
            </w:r>
          </w:p>
        </w:tc>
        <w:tc>
          <w:tcPr>
            <w:tcW w:w="3716" w:type="dxa"/>
            <w:shd w:val="clear" w:color="auto" w:fill="E2EFD9" w:themeFill="accent6" w:themeFillTint="33"/>
          </w:tcPr>
          <w:p w14:paraId="7DA87F30" w14:textId="77777777" w:rsidR="007E45A8" w:rsidRPr="007B6414" w:rsidRDefault="007E45A8" w:rsidP="008604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Paaiškinimai dėl įgyvendinimo nuokrypių</w:t>
            </w:r>
          </w:p>
        </w:tc>
      </w:tr>
      <w:tr w:rsidR="007E45A8" w:rsidRPr="00486E28" w14:paraId="29A073E9" w14:textId="77777777" w:rsidTr="007B6414">
        <w:tc>
          <w:tcPr>
            <w:tcW w:w="897" w:type="dxa"/>
            <w:shd w:val="clear" w:color="auto" w:fill="D9E2F3" w:themeFill="accent1" w:themeFillTint="33"/>
          </w:tcPr>
          <w:p w14:paraId="405CEE80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83669E2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Užtikrinti, kad būtų suteikta mokslinės-techninės paramos organizacijų parama Valstybinei atominės energetikos saugos inspekcijai (toliau – VATESI), vertinant projektus, susijusius su Ignalinos AE eksploatavimo nutraukimu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6A88E49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Valstybinė atominės energetikos saugos inspekcija</w:t>
            </w:r>
          </w:p>
        </w:tc>
        <w:tc>
          <w:tcPr>
            <w:tcW w:w="1437" w:type="dxa"/>
          </w:tcPr>
          <w:p w14:paraId="20B60E09" w14:textId="18F5F1B5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55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034523F3" w14:textId="4AA04ED1" w:rsidR="007E45A8" w:rsidRPr="00486E28" w:rsidRDefault="00AC79C3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14:paraId="0E80C8FE" w14:textId="4C76773E" w:rsidR="007E45A8" w:rsidRPr="00486E28" w:rsidRDefault="00CF0EAD" w:rsidP="008604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02" w:type="dxa"/>
          </w:tcPr>
          <w:p w14:paraId="7DAB7617" w14:textId="1E62ADBB" w:rsidR="007E45A8" w:rsidRPr="00486E28" w:rsidRDefault="00CF0EA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F2D0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3716" w:type="dxa"/>
          </w:tcPr>
          <w:p w14:paraId="35DE3B94" w14:textId="57509281" w:rsidR="007E45A8" w:rsidRPr="00486E28" w:rsidRDefault="00617824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17824">
              <w:rPr>
                <w:rFonts w:ascii="Times New Roman" w:hAnsi="Times New Roman" w:cs="Times New Roman"/>
                <w:sz w:val="20"/>
                <w:szCs w:val="20"/>
              </w:rPr>
              <w:t>ėšos buvo naudojamos VATESI vertinimui teiktos kietųjų radioaktyviųjų atliekų tvarkymo ir saugojimo komplekso (B2/3/4 projektas) projektinės dokumentacijos ir Ignalinos AE A-1 bloko 1-ojo etapo įrenginių išmontavimo ir dezaktyvavimo (projektas B9-3/1) projektinės dokumentacijos peržiūrai.</w:t>
            </w:r>
          </w:p>
        </w:tc>
      </w:tr>
      <w:tr w:rsidR="007E45A8" w:rsidRPr="00486E28" w14:paraId="4CE4853F" w14:textId="77777777" w:rsidTr="007B6414">
        <w:tc>
          <w:tcPr>
            <w:tcW w:w="897" w:type="dxa"/>
            <w:shd w:val="clear" w:color="auto" w:fill="D9E2F3" w:themeFill="accent1" w:themeFillTint="33"/>
          </w:tcPr>
          <w:p w14:paraId="0B8B6EA4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7F203781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Užtikrinti VĮ Ignalinos AE valdymą, įdiegti į rezultatus orientuotą valdymą ir stiprinti gebėjimus vykdyti Ignalinos AE eksploatavimo nutraukimo projektus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11FE5D5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664F36F4" w14:textId="63D8A93E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2B7C33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417" w:type="dxa"/>
          </w:tcPr>
          <w:p w14:paraId="07FC2DDF" w14:textId="33486EE0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0E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4B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0E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0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07887D2" w14:textId="031467B2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0E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5AFF6BE3" w14:textId="16FDB720" w:rsidR="007E45A8" w:rsidRPr="00486E28" w:rsidRDefault="005F2D0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3 887,6</w:t>
            </w:r>
          </w:p>
        </w:tc>
        <w:tc>
          <w:tcPr>
            <w:tcW w:w="3716" w:type="dxa"/>
          </w:tcPr>
          <w:p w14:paraId="13DAD330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A8" w:rsidRPr="00486E28" w14:paraId="0539CFD4" w14:textId="77777777" w:rsidTr="007B6414">
        <w:tc>
          <w:tcPr>
            <w:tcW w:w="897" w:type="dxa"/>
            <w:shd w:val="clear" w:color="auto" w:fill="D9E2F3" w:themeFill="accent1" w:themeFillTint="33"/>
          </w:tcPr>
          <w:p w14:paraId="75D88D30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0FAD5956" w14:textId="3E56A7AA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Saugiai eksploatuoti galutinai sustabdytus Ignalinos AE pirmąjį ir antrąjį reaktorius, iki bus gauta licencija nutraukti jų eksploatavimą, ir saugiai iškrauti branduolinį kurą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0848E521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6F8ACEE5" w14:textId="2BA8F374" w:rsidR="007E45A8" w:rsidRPr="00486E28" w:rsidRDefault="001440B1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24 054</w:t>
            </w:r>
          </w:p>
        </w:tc>
        <w:tc>
          <w:tcPr>
            <w:tcW w:w="1417" w:type="dxa"/>
          </w:tcPr>
          <w:p w14:paraId="3B3011F7" w14:textId="34B4DB2E" w:rsidR="007E45A8" w:rsidRPr="00486E28" w:rsidRDefault="005F2D0A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23 503</w:t>
            </w:r>
          </w:p>
        </w:tc>
        <w:tc>
          <w:tcPr>
            <w:tcW w:w="1276" w:type="dxa"/>
          </w:tcPr>
          <w:p w14:paraId="3E2E046D" w14:textId="4FFC865C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974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066C9F52" w14:textId="79B92979" w:rsidR="007E45A8" w:rsidRPr="00486E28" w:rsidRDefault="009004BE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23 185</w:t>
            </w:r>
          </w:p>
        </w:tc>
        <w:tc>
          <w:tcPr>
            <w:tcW w:w="3716" w:type="dxa"/>
          </w:tcPr>
          <w:p w14:paraId="1028B87A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A8" w:rsidRPr="00486E28" w14:paraId="035E8A18" w14:textId="77777777" w:rsidTr="007B6414">
        <w:tc>
          <w:tcPr>
            <w:tcW w:w="897" w:type="dxa"/>
            <w:shd w:val="clear" w:color="auto" w:fill="D9E2F3" w:themeFill="accent1" w:themeFillTint="33"/>
          </w:tcPr>
          <w:p w14:paraId="15E6B1A3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E3987D7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Pasirengti Ignalinos AE pirmojo ir antrojo reaktorių, su jais susijusių įrenginių ir sistemų saugiam išmontavimui ir juos išmontuoti, nugriauti nebenaudojamus Ignalinos AE pastatus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101D23D7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48F4B5B0" w14:textId="2D90C930" w:rsidR="007E45A8" w:rsidRPr="00486E28" w:rsidRDefault="002B7C33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13 148</w:t>
            </w:r>
          </w:p>
        </w:tc>
        <w:tc>
          <w:tcPr>
            <w:tcW w:w="1417" w:type="dxa"/>
          </w:tcPr>
          <w:p w14:paraId="6EEAFED2" w14:textId="736B477F" w:rsidR="007E45A8" w:rsidRPr="00486E28" w:rsidRDefault="00D84B9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9 883</w:t>
            </w:r>
          </w:p>
        </w:tc>
        <w:tc>
          <w:tcPr>
            <w:tcW w:w="1276" w:type="dxa"/>
          </w:tcPr>
          <w:p w14:paraId="483EAEFB" w14:textId="0BEAE35F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4B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27CBB438" w14:textId="0FCF282E" w:rsidR="007E45A8" w:rsidRPr="00486E28" w:rsidRDefault="009004BE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84B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D84B9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3716" w:type="dxa"/>
          </w:tcPr>
          <w:p w14:paraId="4CCD8470" w14:textId="11A5C428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 xml:space="preserve">Užtruko darbų, paslaugų ir prekių projektų </w:t>
            </w:r>
            <w:r w:rsidR="00CC7B8E">
              <w:rPr>
                <w:rFonts w:ascii="Times New Roman" w:hAnsi="Times New Roman" w:cs="Times New Roman"/>
                <w:sz w:val="20"/>
                <w:szCs w:val="20"/>
              </w:rPr>
              <w:t>ADA.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PPR.1</w:t>
            </w:r>
            <w:r w:rsidR="006178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 xml:space="preserve"> (Public Procurement Requirements) </w:t>
            </w:r>
            <w:r w:rsidR="00CC7B8E">
              <w:rPr>
                <w:rFonts w:ascii="Times New Roman" w:hAnsi="Times New Roman" w:cs="Times New Roman"/>
                <w:sz w:val="20"/>
                <w:szCs w:val="20"/>
              </w:rPr>
              <w:t>ADA.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PPR.1</w:t>
            </w:r>
            <w:r w:rsidR="006178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 xml:space="preserve"> (Public Procurement Requirements) pirkimų procedūros bei prekių pristatymas pagal sudarytas pirkimo-pardavimo sutartis, pasirašytų sutarčių vertės buvo mažesnės negu planuotos. </w:t>
            </w:r>
          </w:p>
        </w:tc>
      </w:tr>
      <w:tr w:rsidR="007E45A8" w:rsidRPr="00486E28" w14:paraId="283465AD" w14:textId="77777777" w:rsidTr="007B6414">
        <w:tc>
          <w:tcPr>
            <w:tcW w:w="897" w:type="dxa"/>
            <w:shd w:val="clear" w:color="auto" w:fill="D9E2F3" w:themeFill="accent1" w:themeFillTint="33"/>
          </w:tcPr>
          <w:p w14:paraId="5CE4602E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404ABE05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Suprojektuoti ir pastatyti radioaktyviųjų atliekų tvarkymo įrenginius, sutvarkyti Ignalinos AE eksploatavimo ir eksploatavimo nutraukimo atliekas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0E68A295" w14:textId="4B227E54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VĮ Ignalinos atominė elektrinė</w:t>
            </w:r>
          </w:p>
        </w:tc>
        <w:tc>
          <w:tcPr>
            <w:tcW w:w="1437" w:type="dxa"/>
          </w:tcPr>
          <w:p w14:paraId="5F31DCA8" w14:textId="4F755EB1" w:rsidR="007E45A8" w:rsidRPr="00486E28" w:rsidRDefault="002B7C33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16 343</w:t>
            </w:r>
          </w:p>
        </w:tc>
        <w:tc>
          <w:tcPr>
            <w:tcW w:w="1417" w:type="dxa"/>
          </w:tcPr>
          <w:p w14:paraId="16EB1185" w14:textId="1D327857" w:rsidR="007E45A8" w:rsidRPr="00486E28" w:rsidRDefault="00D84B9D" w:rsidP="008604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17 24</w:t>
            </w:r>
            <w:r w:rsidR="007261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30BD1CA" w14:textId="1D5E6812" w:rsidR="007E45A8" w:rsidRPr="00486E28" w:rsidRDefault="00D84B9D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02" w:type="dxa"/>
          </w:tcPr>
          <w:p w14:paraId="077C0E40" w14:textId="4EF85A36" w:rsidR="007E45A8" w:rsidRPr="00486E28" w:rsidRDefault="00D97BA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15 047</w:t>
            </w:r>
          </w:p>
        </w:tc>
        <w:tc>
          <w:tcPr>
            <w:tcW w:w="3716" w:type="dxa"/>
          </w:tcPr>
          <w:p w14:paraId="3D3B54E3" w14:textId="5E418C6B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5A8" w:rsidRPr="00486E28" w14:paraId="030366AC" w14:textId="77777777" w:rsidTr="007B6414">
        <w:tc>
          <w:tcPr>
            <w:tcW w:w="897" w:type="dxa"/>
            <w:shd w:val="clear" w:color="auto" w:fill="D9E2F3" w:themeFill="accent1" w:themeFillTint="33"/>
          </w:tcPr>
          <w:p w14:paraId="7D2D762F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26" w:type="dxa"/>
            <w:shd w:val="clear" w:color="auto" w:fill="D9E2F3" w:themeFill="accent1" w:themeFillTint="33"/>
          </w:tcPr>
          <w:p w14:paraId="541BEF32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Vykdyti energijos efektyvumo didinimo projektus Ignalinos AE regione</w:t>
            </w:r>
          </w:p>
        </w:tc>
        <w:tc>
          <w:tcPr>
            <w:tcW w:w="1365" w:type="dxa"/>
            <w:shd w:val="clear" w:color="auto" w:fill="D9E2F3" w:themeFill="accent1" w:themeFillTint="33"/>
          </w:tcPr>
          <w:p w14:paraId="4EB43066" w14:textId="77777777" w:rsidR="007E45A8" w:rsidRPr="007F7B5C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B5C">
              <w:rPr>
                <w:rFonts w:ascii="Times New Roman" w:hAnsi="Times New Roman" w:cs="Times New Roman"/>
                <w:sz w:val="20"/>
                <w:szCs w:val="20"/>
              </w:rPr>
              <w:t>Ignalinos atominės elektrinės regiono savivaldybės</w:t>
            </w:r>
          </w:p>
        </w:tc>
        <w:tc>
          <w:tcPr>
            <w:tcW w:w="1437" w:type="dxa"/>
          </w:tcPr>
          <w:p w14:paraId="71B18DB9" w14:textId="13C38531" w:rsidR="007E45A8" w:rsidRPr="00486E28" w:rsidRDefault="002B7C33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</w:t>
            </w:r>
            <w:r w:rsidR="0073728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14:paraId="4396D5C9" w14:textId="0E541088" w:rsidR="007E45A8" w:rsidRPr="00486E28" w:rsidRDefault="00D97BA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</w:t>
            </w:r>
            <w:r w:rsidR="007261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0C94694C" w14:textId="2D2D5E70" w:rsidR="007E45A8" w:rsidRPr="00486E28" w:rsidRDefault="00D97BA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45A8" w:rsidRPr="00486E28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502" w:type="dxa"/>
          </w:tcPr>
          <w:p w14:paraId="349843F4" w14:textId="01252CE4" w:rsidR="007E45A8" w:rsidRPr="00486E28" w:rsidRDefault="00D97BA9" w:rsidP="008604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7D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C27DF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3716" w:type="dxa"/>
          </w:tcPr>
          <w:p w14:paraId="5073BC16" w14:textId="5B8B1256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F5DE7">
              <w:rPr>
                <w:rFonts w:ascii="Times New Roman" w:hAnsi="Times New Roman" w:cs="Times New Roman"/>
                <w:sz w:val="20"/>
                <w:szCs w:val="20"/>
              </w:rPr>
              <w:t xml:space="preserve">gnalinos </w:t>
            </w:r>
            <w:r w:rsidRPr="00486E28">
              <w:rPr>
                <w:rFonts w:ascii="Times New Roman" w:hAnsi="Times New Roman" w:cs="Times New Roman"/>
                <w:sz w:val="20"/>
                <w:szCs w:val="20"/>
              </w:rPr>
              <w:t xml:space="preserve">AE regiono savivaldybėse </w:t>
            </w:r>
            <w:r w:rsidR="00D7566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75668" w:rsidRPr="00D75668">
              <w:rPr>
                <w:rFonts w:ascii="Times New Roman" w:hAnsi="Times New Roman" w:cs="Times New Roman"/>
                <w:sz w:val="20"/>
                <w:szCs w:val="20"/>
              </w:rPr>
              <w:t>rojekte VEV.02 (Visagino enervizija) 2019 m. nebuvo užbaigti renovuoti daugiabučiai namai</w:t>
            </w:r>
            <w:r w:rsidR="00B40CFC">
              <w:rPr>
                <w:rFonts w:ascii="Times New Roman" w:hAnsi="Times New Roman" w:cs="Times New Roman"/>
                <w:sz w:val="20"/>
                <w:szCs w:val="20"/>
              </w:rPr>
              <w:t xml:space="preserve">, projekte VDH.02 </w:t>
            </w:r>
            <w:r w:rsidR="00C50322">
              <w:rPr>
                <w:rFonts w:ascii="Times New Roman" w:hAnsi="Times New Roman" w:cs="Times New Roman"/>
                <w:sz w:val="20"/>
                <w:szCs w:val="20"/>
              </w:rPr>
              <w:t>(„</w:t>
            </w:r>
            <w:r w:rsidR="00C50322" w:rsidRPr="00C50322">
              <w:rPr>
                <w:rFonts w:ascii="Times New Roman" w:hAnsi="Times New Roman" w:cs="Times New Roman"/>
                <w:sz w:val="20"/>
                <w:szCs w:val="20"/>
              </w:rPr>
              <w:t>Visagino centralizuoto šildymo sistem</w:t>
            </w:r>
            <w:r w:rsidR="00C50322">
              <w:rPr>
                <w:rFonts w:ascii="Times New Roman" w:hAnsi="Times New Roman" w:cs="Times New Roman"/>
                <w:sz w:val="20"/>
                <w:szCs w:val="20"/>
              </w:rPr>
              <w:t>os modernizavimas</w:t>
            </w:r>
            <w:r w:rsidR="00C50322" w:rsidRPr="00C50322">
              <w:rPr>
                <w:rFonts w:ascii="Times New Roman" w:hAnsi="Times New Roman" w:cs="Times New Roman"/>
                <w:sz w:val="20"/>
                <w:szCs w:val="20"/>
              </w:rPr>
              <w:t xml:space="preserve"> (2 fazė)</w:t>
            </w:r>
            <w:r w:rsidR="00C50322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  <w:r w:rsidR="00577F11">
              <w:rPr>
                <w:rFonts w:ascii="Times New Roman" w:hAnsi="Times New Roman" w:cs="Times New Roman"/>
                <w:sz w:val="20"/>
                <w:szCs w:val="20"/>
              </w:rPr>
              <w:t xml:space="preserve"> lėšų įsisavinimas buvo mažesnis negu planuotas, šių projektų darbai ir lėšos bus panaudotos </w:t>
            </w:r>
            <w:r w:rsidR="00914062">
              <w:rPr>
                <w:rFonts w:ascii="Times New Roman" w:hAnsi="Times New Roman" w:cs="Times New Roman"/>
                <w:sz w:val="20"/>
                <w:szCs w:val="20"/>
              </w:rPr>
              <w:t>2020m.</w:t>
            </w:r>
          </w:p>
        </w:tc>
      </w:tr>
      <w:tr w:rsidR="007E45A8" w:rsidRPr="00486E28" w14:paraId="55379820" w14:textId="77777777" w:rsidTr="00D73584">
        <w:tc>
          <w:tcPr>
            <w:tcW w:w="897" w:type="dxa"/>
            <w:shd w:val="clear" w:color="auto" w:fill="D9E2F3" w:themeFill="accent1" w:themeFillTint="33"/>
          </w:tcPr>
          <w:p w14:paraId="34867D52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D9E2F3" w:themeFill="accent1" w:themeFillTint="33"/>
          </w:tcPr>
          <w:p w14:paraId="26828C68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Viso </w:t>
            </w:r>
          </w:p>
          <w:p w14:paraId="7951458C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>Ignalinos programos Europos Sąjungos lėšos</w:t>
            </w:r>
          </w:p>
          <w:p w14:paraId="3DE60EE9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Ignalinos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programos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bendrojo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finansavimo</w:t>
            </w:r>
            <w:proofErr w:type="spellEnd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lėšos</w:t>
            </w:r>
            <w:proofErr w:type="spellEnd"/>
          </w:p>
        </w:tc>
        <w:tc>
          <w:tcPr>
            <w:tcW w:w="1365" w:type="dxa"/>
            <w:shd w:val="clear" w:color="auto" w:fill="D9E2F3" w:themeFill="accent1" w:themeFillTint="33"/>
          </w:tcPr>
          <w:p w14:paraId="3DD6CEA5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E2EFD9" w:themeFill="accent6" w:themeFillTint="33"/>
          </w:tcPr>
          <w:p w14:paraId="74C26D26" w14:textId="43B97FE2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37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62460F">
              <w:rPr>
                <w:rFonts w:ascii="Times New Roman" w:hAnsi="Times New Roman" w:cs="Times New Roman"/>
                <w:b/>
                <w:sz w:val="20"/>
                <w:szCs w:val="20"/>
              </w:rPr>
              <w:t>309</w:t>
            </w:r>
          </w:p>
          <w:p w14:paraId="61E24982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2AE00F" w14:textId="1EBE5AF1" w:rsidR="007E45A8" w:rsidRPr="00486E28" w:rsidRDefault="00C27470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55 072</w:t>
            </w:r>
          </w:p>
          <w:p w14:paraId="24E28581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128687A" w14:textId="71D30F4F" w:rsidR="007E45A8" w:rsidRPr="00486E28" w:rsidRDefault="0073728B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 </w:t>
            </w:r>
            <w:r w:rsidR="00D25E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237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63CD628" w14:textId="13A1E7DA" w:rsidR="007E45A8" w:rsidRPr="00486E28" w:rsidRDefault="00F806F0" w:rsidP="008604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726134">
              <w:rPr>
                <w:rFonts w:ascii="Times New Roman" w:hAnsi="Times New Roman" w:cs="Times New Roman"/>
                <w:b/>
                <w:sz w:val="20"/>
                <w:szCs w:val="20"/>
              </w:rPr>
              <w:t> 89</w:t>
            </w:r>
            <w:r w:rsidR="002306D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6F07B1A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F3B42" w14:textId="59DE84FD" w:rsidR="007E45A8" w:rsidRPr="00486E28" w:rsidRDefault="002306D2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="007661CE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784</w:t>
            </w:r>
            <w:r w:rsidR="007661CE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</w:p>
          <w:p w14:paraId="27813044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559A7" w14:textId="1A294A03" w:rsidR="007E45A8" w:rsidRPr="00486E28" w:rsidRDefault="00EA5472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8 111,4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DED10F2" w14:textId="341735D9" w:rsidR="007E45A8" w:rsidRPr="00486E28" w:rsidRDefault="00391BBC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  <w:p w14:paraId="5AAFCD02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558AF4D" w14:textId="076A6462" w:rsidR="007E45A8" w:rsidRPr="00486E28" w:rsidRDefault="0039255E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%</w:t>
            </w:r>
          </w:p>
          <w:p w14:paraId="5649F430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6E29BFC2" w14:textId="7EF76D19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  <w:r w:rsidR="003925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8</w:t>
            </w:r>
            <w:r w:rsidRPr="00486E2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%</w:t>
            </w:r>
          </w:p>
        </w:tc>
        <w:tc>
          <w:tcPr>
            <w:tcW w:w="1502" w:type="dxa"/>
            <w:shd w:val="clear" w:color="auto" w:fill="E2EFD9" w:themeFill="accent6" w:themeFillTint="33"/>
          </w:tcPr>
          <w:p w14:paraId="52AE6C03" w14:textId="472A4E43" w:rsidR="007E45A8" w:rsidRPr="00486E28" w:rsidRDefault="00802D4E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54 945,4</w:t>
            </w:r>
          </w:p>
          <w:p w14:paraId="087296B8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CCC57" w14:textId="2DEAF336" w:rsidR="007E45A8" w:rsidRPr="00486E28" w:rsidRDefault="001F0685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="000B4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834</w:t>
            </w:r>
            <w:r w:rsidR="007E45A8" w:rsidRPr="00486E2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1907E1A0" w14:textId="77777777" w:rsidR="007E45A8" w:rsidRPr="00486E28" w:rsidRDefault="007E45A8" w:rsidP="00860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677D8E" w14:textId="6EEFAFAB" w:rsidR="007E45A8" w:rsidRPr="00486E28" w:rsidRDefault="000B4619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8 111,4</w:t>
            </w:r>
          </w:p>
        </w:tc>
        <w:tc>
          <w:tcPr>
            <w:tcW w:w="3716" w:type="dxa"/>
            <w:shd w:val="clear" w:color="auto" w:fill="E2EFD9" w:themeFill="accent6" w:themeFillTint="33"/>
          </w:tcPr>
          <w:p w14:paraId="4348A6E6" w14:textId="77777777" w:rsidR="007E45A8" w:rsidRPr="00486E28" w:rsidRDefault="007E45A8" w:rsidP="008604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3E3E8" w14:textId="77777777" w:rsidR="007E45A8" w:rsidRDefault="007E45A8" w:rsidP="007E45A8">
      <w:pPr>
        <w:spacing w:after="0" w:line="240" w:lineRule="auto"/>
        <w:rPr>
          <w:rFonts w:ascii="Times New Roman" w:hAnsi="Times New Roman" w:cs="Times New Roman"/>
        </w:rPr>
      </w:pPr>
    </w:p>
    <w:p w14:paraId="07C0A09A" w14:textId="38459A33" w:rsidR="00FD79B7" w:rsidRPr="00977032" w:rsidRDefault="007E45A8" w:rsidP="007E45A8">
      <w:r w:rsidRPr="00D57DA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EDCE7" wp14:editId="280D7870">
                <wp:simplePos x="0" y="0"/>
                <wp:positionH relativeFrom="column">
                  <wp:posOffset>3173730</wp:posOffset>
                </wp:positionH>
                <wp:positionV relativeFrom="paragraph">
                  <wp:posOffset>815340</wp:posOffset>
                </wp:positionV>
                <wp:extent cx="240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6BC8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64.2pt" to="438.9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57DA3">
        <w:rPr>
          <w:rFonts w:ascii="Times New Roman" w:hAnsi="Times New Roman" w:cs="Times New Roman"/>
          <w:sz w:val="20"/>
          <w:szCs w:val="20"/>
        </w:rPr>
        <w:t>* 201</w:t>
      </w:r>
      <w:r w:rsidR="00751B7B">
        <w:rPr>
          <w:rFonts w:ascii="Times New Roman" w:hAnsi="Times New Roman" w:cs="Times New Roman"/>
          <w:sz w:val="20"/>
          <w:szCs w:val="20"/>
        </w:rPr>
        <w:t>9</w:t>
      </w:r>
      <w:r w:rsidRPr="00D57DA3">
        <w:rPr>
          <w:rFonts w:ascii="Times New Roman" w:hAnsi="Times New Roman" w:cs="Times New Roman"/>
          <w:sz w:val="20"/>
          <w:szCs w:val="20"/>
        </w:rPr>
        <w:t xml:space="preserve"> metų gale VšĮ Centrinės projektų valdymo agentūros banko sąskaitoje </w:t>
      </w:r>
      <w:r>
        <w:rPr>
          <w:rFonts w:ascii="Times New Roman" w:hAnsi="Times New Roman" w:cs="Times New Roman"/>
          <w:sz w:val="20"/>
          <w:szCs w:val="20"/>
        </w:rPr>
        <w:t xml:space="preserve">Ignalinos programos </w:t>
      </w:r>
      <w:r w:rsidRPr="00D57DA3">
        <w:rPr>
          <w:rFonts w:ascii="Times New Roman" w:hAnsi="Times New Roman" w:cs="Times New Roman"/>
          <w:sz w:val="20"/>
          <w:szCs w:val="20"/>
        </w:rPr>
        <w:t>nepanaudotų lėšų likutis</w:t>
      </w:r>
      <w:r w:rsidR="00751B7B">
        <w:rPr>
          <w:rFonts w:ascii="Times New Roman" w:hAnsi="Times New Roman" w:cs="Times New Roman"/>
          <w:sz w:val="20"/>
          <w:szCs w:val="20"/>
        </w:rPr>
        <w:t xml:space="preserve"> sudarė </w:t>
      </w:r>
      <w:r w:rsidR="00977032">
        <w:rPr>
          <w:rFonts w:ascii="Times New Roman" w:hAnsi="Times New Roman" w:cs="Times New Roman"/>
          <w:sz w:val="20"/>
          <w:szCs w:val="20"/>
        </w:rPr>
        <w:t>5</w:t>
      </w:r>
      <w:r w:rsidR="002F2EBB">
        <w:rPr>
          <w:rFonts w:ascii="Times New Roman" w:hAnsi="Times New Roman" w:cs="Times New Roman"/>
          <w:sz w:val="20"/>
          <w:szCs w:val="20"/>
        </w:rPr>
        <w:t xml:space="preserve"> </w:t>
      </w:r>
      <w:r w:rsidR="00F020D1">
        <w:rPr>
          <w:rFonts w:ascii="Times New Roman" w:hAnsi="Times New Roman" w:cs="Times New Roman"/>
          <w:sz w:val="20"/>
          <w:szCs w:val="20"/>
        </w:rPr>
        <w:t xml:space="preserve">431 </w:t>
      </w:r>
      <w:r w:rsidR="002F2EBB">
        <w:rPr>
          <w:rFonts w:ascii="Times New Roman" w:hAnsi="Times New Roman" w:cs="Times New Roman"/>
          <w:sz w:val="20"/>
          <w:szCs w:val="20"/>
        </w:rPr>
        <w:t>tūkst</w:t>
      </w:r>
      <w:r w:rsidR="00F020D1">
        <w:rPr>
          <w:rFonts w:ascii="Times New Roman" w:hAnsi="Times New Roman" w:cs="Times New Roman"/>
          <w:sz w:val="20"/>
          <w:szCs w:val="20"/>
        </w:rPr>
        <w:t>. eurų.</w:t>
      </w:r>
      <w:bookmarkStart w:id="0" w:name="_GoBack"/>
      <w:bookmarkEnd w:id="0"/>
    </w:p>
    <w:sectPr w:rsidR="00FD79B7" w:rsidRPr="00977032" w:rsidSect="007E45A8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8"/>
    <w:rsid w:val="000B4619"/>
    <w:rsid w:val="000E55DF"/>
    <w:rsid w:val="001440B1"/>
    <w:rsid w:val="001F0685"/>
    <w:rsid w:val="002306D2"/>
    <w:rsid w:val="002B7C33"/>
    <w:rsid w:val="002F2EBB"/>
    <w:rsid w:val="00314BE6"/>
    <w:rsid w:val="00391BBC"/>
    <w:rsid w:val="0039255E"/>
    <w:rsid w:val="00577F11"/>
    <w:rsid w:val="00597497"/>
    <w:rsid w:val="005F2D0A"/>
    <w:rsid w:val="00617824"/>
    <w:rsid w:val="0062460F"/>
    <w:rsid w:val="006D0C94"/>
    <w:rsid w:val="00726134"/>
    <w:rsid w:val="0073728B"/>
    <w:rsid w:val="00751B7B"/>
    <w:rsid w:val="007661CE"/>
    <w:rsid w:val="007B6414"/>
    <w:rsid w:val="007E45A8"/>
    <w:rsid w:val="007F7B5C"/>
    <w:rsid w:val="00802D4E"/>
    <w:rsid w:val="009004BE"/>
    <w:rsid w:val="00914062"/>
    <w:rsid w:val="00977032"/>
    <w:rsid w:val="009F5061"/>
    <w:rsid w:val="00AC79C3"/>
    <w:rsid w:val="00B40CFC"/>
    <w:rsid w:val="00C27470"/>
    <w:rsid w:val="00C27DF4"/>
    <w:rsid w:val="00C50322"/>
    <w:rsid w:val="00CC7B8E"/>
    <w:rsid w:val="00CF0EAD"/>
    <w:rsid w:val="00D25E48"/>
    <w:rsid w:val="00D73584"/>
    <w:rsid w:val="00D75668"/>
    <w:rsid w:val="00D84B9D"/>
    <w:rsid w:val="00D97BA9"/>
    <w:rsid w:val="00DF5DE7"/>
    <w:rsid w:val="00EA5472"/>
    <w:rsid w:val="00F020D1"/>
    <w:rsid w:val="00F70540"/>
    <w:rsid w:val="00F806F0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DC62"/>
  <w15:chartTrackingRefBased/>
  <w15:docId w15:val="{3F1C7DD5-6670-4061-B00D-D013FA09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6F126C13AD0E4E9937C51576AA30DE" ma:contentTypeVersion="13" ma:contentTypeDescription="Kurkite naują dokumentą." ma:contentTypeScope="" ma:versionID="12e6b800163282d01413dbf24ecc9a66">
  <xsd:schema xmlns:xsd="http://www.w3.org/2001/XMLSchema" xmlns:xs="http://www.w3.org/2001/XMLSchema" xmlns:p="http://schemas.microsoft.com/office/2006/metadata/properties" xmlns:ns3="0cd5e55e-b2af-469a-8a35-36206e1d3da9" xmlns:ns4="4f6c81c7-87f1-47e2-92cb-7e2f4400e2ff" targetNamespace="http://schemas.microsoft.com/office/2006/metadata/properties" ma:root="true" ma:fieldsID="5bffcfd5bd3940edcff6dea114fd35ab" ns3:_="" ns4:_="">
    <xsd:import namespace="0cd5e55e-b2af-469a-8a35-36206e1d3da9"/>
    <xsd:import namespace="4f6c81c7-87f1-47e2-92cb-7e2f4400e2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e55e-b2af-469a-8a35-36206e1d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81c7-87f1-47e2-92cb-7e2f4400e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A16C9-CA2C-4044-98B9-CFBABF1EF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e55e-b2af-469a-8a35-36206e1d3da9"/>
    <ds:schemaRef ds:uri="4f6c81c7-87f1-47e2-92cb-7e2f4400e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79784-BED6-4E1F-B807-E8F504FE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04A94-9DFF-4B97-A4D8-DDE9DF74C5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2</Pages>
  <Words>1808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Jakubėnaitė</dc:creator>
  <cp:keywords/>
  <dc:description/>
  <cp:lastModifiedBy>Inga Jakubėnaitė</cp:lastModifiedBy>
  <cp:revision>45</cp:revision>
  <dcterms:created xsi:type="dcterms:W3CDTF">2020-06-18T11:54:00Z</dcterms:created>
  <dcterms:modified xsi:type="dcterms:W3CDTF">2020-06-19T06:53:00Z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0x010100B66F126C13AD0E4E9937C51576AA30DE</vt:lpwstr>
  </property>
</Properties>
</file>