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99D" w:rsidRDefault="000E1D5E" w:rsidP="000E1D5E">
      <w:pPr>
        <w:pStyle w:val="Antrat2"/>
        <w:tabs>
          <w:tab w:val="left" w:pos="8931"/>
        </w:tabs>
        <w:ind w:firstLine="0"/>
        <w:jc w:val="center"/>
        <w:rPr>
          <w:bCs/>
          <w:color w:val="000000"/>
          <w:sz w:val="24"/>
          <w:szCs w:val="24"/>
          <w:lang w:eastAsia="lt-LT"/>
        </w:rPr>
      </w:pPr>
      <w:r w:rsidRPr="000E1D5E">
        <w:rPr>
          <w:sz w:val="24"/>
          <w:szCs w:val="24"/>
        </w:rPr>
        <w:t xml:space="preserve">DERINIMO PAŽYMA DĖL </w:t>
      </w:r>
      <w:r w:rsidRPr="00414C71">
        <w:rPr>
          <w:sz w:val="24"/>
          <w:szCs w:val="24"/>
        </w:rPr>
        <w:t xml:space="preserve">LIETUVOS RESPUBLIKOS </w:t>
      </w:r>
      <w:bookmarkStart w:id="0" w:name="n1_2"/>
      <w:r w:rsidR="00414C71" w:rsidRPr="00414C71">
        <w:rPr>
          <w:bCs/>
          <w:color w:val="000000"/>
          <w:sz w:val="24"/>
          <w:szCs w:val="24"/>
        </w:rPr>
        <w:t>CIVILINĖS SAUGOS ĮSTATYMO</w:t>
      </w:r>
      <w:bookmarkStart w:id="1" w:name="pn1_2"/>
      <w:bookmarkEnd w:id="0"/>
      <w:bookmarkEnd w:id="1"/>
      <w:r w:rsidR="00414C71" w:rsidRPr="00414C71">
        <w:rPr>
          <w:bCs/>
          <w:color w:val="000000"/>
          <w:sz w:val="24"/>
          <w:szCs w:val="24"/>
        </w:rPr>
        <w:t xml:space="preserve"> NR. </w:t>
      </w:r>
      <w:r w:rsidR="00414C71" w:rsidRPr="00414C71">
        <w:rPr>
          <w:color w:val="000000"/>
          <w:sz w:val="24"/>
          <w:szCs w:val="24"/>
        </w:rPr>
        <w:t>VIII-971</w:t>
      </w:r>
      <w:r w:rsidR="00414C71" w:rsidRPr="00414C71">
        <w:rPr>
          <w:bCs/>
          <w:color w:val="000000"/>
          <w:sz w:val="24"/>
          <w:szCs w:val="24"/>
        </w:rPr>
        <w:t xml:space="preserve"> 2, 8,</w:t>
      </w:r>
      <w:r w:rsidR="00414C71" w:rsidRPr="00414C71">
        <w:rPr>
          <w:b w:val="0"/>
          <w:bCs/>
          <w:color w:val="000000"/>
          <w:sz w:val="24"/>
          <w:szCs w:val="24"/>
        </w:rPr>
        <w:t xml:space="preserve"> </w:t>
      </w:r>
      <w:r w:rsidR="00414C71" w:rsidRPr="00414C71">
        <w:rPr>
          <w:bCs/>
          <w:color w:val="000000"/>
          <w:sz w:val="24"/>
          <w:szCs w:val="24"/>
        </w:rPr>
        <w:t>12, 14, 15, 16, 18, 19, 22, 25, 26,</w:t>
      </w:r>
      <w:r w:rsidR="00414C71" w:rsidRPr="00414C71">
        <w:rPr>
          <w:b w:val="0"/>
          <w:bCs/>
          <w:color w:val="000000"/>
          <w:sz w:val="24"/>
          <w:szCs w:val="24"/>
        </w:rPr>
        <w:t xml:space="preserve"> </w:t>
      </w:r>
      <w:r w:rsidR="00414C71" w:rsidRPr="00414C71">
        <w:rPr>
          <w:bCs/>
          <w:color w:val="000000"/>
          <w:sz w:val="24"/>
          <w:szCs w:val="24"/>
        </w:rPr>
        <w:t>27, 28 IR 31 STRAIPSNIŲ PAKEITIMO</w:t>
      </w:r>
      <w:r w:rsidR="00414C71" w:rsidRPr="00414C71">
        <w:rPr>
          <w:sz w:val="24"/>
          <w:szCs w:val="24"/>
        </w:rPr>
        <w:t xml:space="preserve"> </w:t>
      </w:r>
      <w:r w:rsidR="00E85AED">
        <w:rPr>
          <w:sz w:val="24"/>
          <w:szCs w:val="24"/>
        </w:rPr>
        <w:t xml:space="preserve">ĮSTATYMO </w:t>
      </w:r>
      <w:r w:rsidRPr="00414C71">
        <w:rPr>
          <w:sz w:val="24"/>
          <w:szCs w:val="24"/>
        </w:rPr>
        <w:t>PROJEKTO</w:t>
      </w:r>
      <w:r>
        <w:rPr>
          <w:sz w:val="24"/>
          <w:szCs w:val="24"/>
        </w:rPr>
        <w:t xml:space="preserve"> </w:t>
      </w:r>
      <w:r w:rsidR="008967F6">
        <w:rPr>
          <w:sz w:val="24"/>
          <w:szCs w:val="24"/>
        </w:rPr>
        <w:t>(toliau – Projektas)</w:t>
      </w:r>
    </w:p>
    <w:p w:rsidR="000E1D5E" w:rsidRPr="000E1D5E" w:rsidRDefault="000E1D5E" w:rsidP="000E1D5E">
      <w:pPr>
        <w:rPr>
          <w:lang w:eastAsia="lt-LT"/>
        </w:rPr>
      </w:pPr>
    </w:p>
    <w:tbl>
      <w:tblPr>
        <w:tblStyle w:val="Lentelstinklelis"/>
        <w:tblW w:w="15168" w:type="dxa"/>
        <w:tblInd w:w="-147" w:type="dxa"/>
        <w:tblLayout w:type="fixed"/>
        <w:tblLook w:val="04A0" w:firstRow="1" w:lastRow="0" w:firstColumn="1" w:lastColumn="0" w:noHBand="0" w:noVBand="1"/>
      </w:tblPr>
      <w:tblGrid>
        <w:gridCol w:w="1560"/>
        <w:gridCol w:w="6662"/>
        <w:gridCol w:w="6946"/>
      </w:tblGrid>
      <w:tr w:rsidR="00D32280" w:rsidRPr="00AA2663" w:rsidTr="00F57A6F">
        <w:trPr>
          <w:trHeight w:val="1015"/>
        </w:trPr>
        <w:tc>
          <w:tcPr>
            <w:tcW w:w="1560" w:type="dxa"/>
            <w:vAlign w:val="center"/>
          </w:tcPr>
          <w:p w:rsidR="002E2DE6" w:rsidRPr="00AA2663" w:rsidRDefault="002E2DE6" w:rsidP="0067247D">
            <w:pPr>
              <w:rPr>
                <w:b/>
                <w:szCs w:val="24"/>
              </w:rPr>
            </w:pPr>
            <w:r w:rsidRPr="00AA2663">
              <w:rPr>
                <w:b/>
                <w:szCs w:val="24"/>
              </w:rPr>
              <w:t>Institucijos pavadinimas (rašto data ir Nr.)</w:t>
            </w:r>
          </w:p>
        </w:tc>
        <w:tc>
          <w:tcPr>
            <w:tcW w:w="6662" w:type="dxa"/>
            <w:vAlign w:val="center"/>
          </w:tcPr>
          <w:p w:rsidR="002E2DE6" w:rsidRPr="00AA2663" w:rsidRDefault="002E2DE6" w:rsidP="0067247D">
            <w:pPr>
              <w:jc w:val="center"/>
              <w:rPr>
                <w:b/>
                <w:szCs w:val="24"/>
              </w:rPr>
            </w:pPr>
            <w:r w:rsidRPr="00AA2663">
              <w:rPr>
                <w:b/>
                <w:szCs w:val="24"/>
              </w:rPr>
              <w:t>Pastabos ir pasiūlymai</w:t>
            </w:r>
          </w:p>
        </w:tc>
        <w:tc>
          <w:tcPr>
            <w:tcW w:w="6946" w:type="dxa"/>
            <w:vAlign w:val="center"/>
          </w:tcPr>
          <w:p w:rsidR="002E2DE6" w:rsidRPr="00AA2663" w:rsidRDefault="002E2DE6" w:rsidP="0067247D">
            <w:pPr>
              <w:jc w:val="center"/>
              <w:rPr>
                <w:b/>
                <w:szCs w:val="24"/>
              </w:rPr>
            </w:pPr>
            <w:r w:rsidRPr="00AA2663">
              <w:rPr>
                <w:b/>
                <w:szCs w:val="24"/>
              </w:rPr>
              <w:t>Paaiškinimai dėl pastabų</w:t>
            </w:r>
          </w:p>
        </w:tc>
      </w:tr>
      <w:tr w:rsidR="00EA63EF" w:rsidRPr="00AA2663" w:rsidTr="00F57A6F">
        <w:tc>
          <w:tcPr>
            <w:tcW w:w="1560" w:type="dxa"/>
          </w:tcPr>
          <w:p w:rsidR="002E6F1A" w:rsidRPr="002E6F1A" w:rsidRDefault="00EC5153" w:rsidP="002E6F1A">
            <w:pPr>
              <w:pStyle w:val="Preformatted"/>
              <w:rPr>
                <w:rFonts w:ascii="Times New Roman" w:hAnsi="Times New Roman"/>
                <w:sz w:val="24"/>
                <w:szCs w:val="24"/>
              </w:rPr>
            </w:pPr>
            <w:r>
              <w:rPr>
                <w:rFonts w:ascii="Times New Roman" w:hAnsi="Times New Roman"/>
                <w:sz w:val="24"/>
                <w:szCs w:val="24"/>
              </w:rPr>
              <w:t>F</w:t>
            </w:r>
            <w:r w:rsidR="002E6F1A" w:rsidRPr="002E6F1A">
              <w:rPr>
                <w:rFonts w:ascii="Times New Roman" w:hAnsi="Times New Roman"/>
                <w:sz w:val="24"/>
                <w:szCs w:val="24"/>
              </w:rPr>
              <w:t>inansų ministerijos</w:t>
            </w:r>
          </w:p>
          <w:p w:rsidR="00EA63EF" w:rsidRPr="00AA2663" w:rsidRDefault="00DD2F37" w:rsidP="00DD2F37">
            <w:pPr>
              <w:pStyle w:val="Bodytext20"/>
              <w:shd w:val="clear" w:color="auto" w:fill="auto"/>
              <w:tabs>
                <w:tab w:val="left" w:pos="740"/>
              </w:tabs>
              <w:spacing w:before="0" w:after="0" w:line="240" w:lineRule="auto"/>
            </w:pPr>
            <w:r>
              <w:t>(2020-01-07</w:t>
            </w:r>
            <w:r w:rsidR="002E6F1A" w:rsidRPr="00DD2F37">
              <w:t xml:space="preserve"> raštas Nr. </w:t>
            </w:r>
            <w:r w:rsidRPr="00DD2F37">
              <w:t>((2.121-06)-5K-1919296)-6K-2000072</w:t>
            </w:r>
          </w:p>
        </w:tc>
        <w:tc>
          <w:tcPr>
            <w:tcW w:w="6662" w:type="dxa"/>
          </w:tcPr>
          <w:p w:rsidR="002E6F1A" w:rsidRDefault="002E6F1A" w:rsidP="002E6F1A">
            <w:pPr>
              <w:jc w:val="both"/>
              <w:rPr>
                <w:lang w:eastAsia="lt-LT"/>
              </w:rPr>
            </w:pPr>
            <w:r>
              <w:rPr>
                <w:szCs w:val="24"/>
              </w:rPr>
              <w:t xml:space="preserve">2. </w:t>
            </w:r>
            <w:r w:rsidRPr="002E6F1A">
              <w:rPr>
                <w:color w:val="000000"/>
                <w:lang w:eastAsia="lt-LT"/>
              </w:rPr>
              <w:t>Atkreipiame dėmesį, kad Valstybės rezervo įstatymas yra specialusis įstatymas nustatantis valstybės rezervo sudarymą, kaupimą, tvarkymą ir administravimą. Mūsų nuomone, šiame įstatyme turėtų būti nustatyti visi valstybės rezervo piniginių lėšų panaudojimo atvejai. Manome, kad Valstybės rezervo įstatyme nepakankamai aiškiai reglamentuotas valstybės rezervo piniginių lėšų panaudojimas</w:t>
            </w:r>
            <w:r w:rsidRPr="002E6F1A">
              <w:rPr>
                <w:lang w:eastAsia="lt-LT"/>
              </w:rPr>
              <w:t xml:space="preserve"> ekstremaliųjų situacijų metu, t. y. neaišku, kokiems konkretiems subjektams gali būti skiriamos valstybės rezervo piniginės lėšos, kokios išlaidos galėtų būti dengiamos ir pan., taip pat neaišku, kas dėl valstybės rezervo piniginių lėšų panaudojimo ekstremaliųjų situacijų atvejais turėtų rengti ir teikti Vyriausybės sprendimų projektus.</w:t>
            </w:r>
          </w:p>
          <w:p w:rsidR="00781385" w:rsidRPr="00AA2663" w:rsidRDefault="00781385" w:rsidP="002E6F1A">
            <w:pPr>
              <w:jc w:val="both"/>
              <w:rPr>
                <w:szCs w:val="24"/>
              </w:rPr>
            </w:pPr>
            <w:r w:rsidRPr="00781385">
              <w:rPr>
                <w:szCs w:val="24"/>
              </w:rPr>
              <w:t>Atsižvelgdami į tai, manome, kad kartu su Civilinės saugos įstatymo projektu turėtų būti teikiamas ir Valstybės rezervo įstatymo pakeitimo įstatymo projektas, jame aiškiai reglamentuojant valstybės rezervo piniginių lėšų panaudojimą ekstremaliųjų situacijų atvejais.</w:t>
            </w:r>
          </w:p>
          <w:p w:rsidR="00EA63EF" w:rsidRPr="009B3F87" w:rsidRDefault="00EA63EF" w:rsidP="00AA2663">
            <w:pPr>
              <w:pStyle w:val="Betarp"/>
              <w:jc w:val="both"/>
              <w:rPr>
                <w:szCs w:val="24"/>
                <w:lang w:val="lt-LT"/>
              </w:rPr>
            </w:pPr>
          </w:p>
        </w:tc>
        <w:tc>
          <w:tcPr>
            <w:tcW w:w="6946" w:type="dxa"/>
          </w:tcPr>
          <w:p w:rsidR="00781385" w:rsidRDefault="00781385" w:rsidP="008A1EC3">
            <w:pPr>
              <w:tabs>
                <w:tab w:val="left" w:pos="1134"/>
              </w:tabs>
              <w:suppressAutoHyphens/>
              <w:autoSpaceDN w:val="0"/>
              <w:jc w:val="both"/>
              <w:textAlignment w:val="baseline"/>
              <w:rPr>
                <w:b/>
                <w:szCs w:val="24"/>
              </w:rPr>
            </w:pPr>
            <w:r w:rsidRPr="00781385">
              <w:rPr>
                <w:b/>
                <w:szCs w:val="24"/>
              </w:rPr>
              <w:t>Neatsižvelgta.</w:t>
            </w:r>
          </w:p>
          <w:p w:rsidR="002E6F1A" w:rsidRDefault="00423F61" w:rsidP="008A1EC3">
            <w:pPr>
              <w:tabs>
                <w:tab w:val="left" w:pos="1134"/>
              </w:tabs>
              <w:suppressAutoHyphens/>
              <w:autoSpaceDN w:val="0"/>
              <w:jc w:val="both"/>
              <w:textAlignment w:val="baseline"/>
              <w:rPr>
                <w:szCs w:val="24"/>
              </w:rPr>
            </w:pPr>
            <w:r>
              <w:rPr>
                <w:szCs w:val="24"/>
              </w:rPr>
              <w:t>Mūsų nuomone</w:t>
            </w:r>
            <w:r w:rsidR="009F45CB">
              <w:rPr>
                <w:szCs w:val="24"/>
              </w:rPr>
              <w:t>,</w:t>
            </w:r>
            <w:r>
              <w:rPr>
                <w:szCs w:val="24"/>
              </w:rPr>
              <w:t xml:space="preserve"> poreikio keisti</w:t>
            </w:r>
            <w:r w:rsidR="002E6F1A">
              <w:rPr>
                <w:szCs w:val="24"/>
              </w:rPr>
              <w:t xml:space="preserve"> </w:t>
            </w:r>
            <w:r w:rsidR="002E6F1A" w:rsidRPr="002E6F1A">
              <w:rPr>
                <w:szCs w:val="24"/>
              </w:rPr>
              <w:t>Valstybės rezervo</w:t>
            </w:r>
            <w:r w:rsidR="002E6F1A">
              <w:rPr>
                <w:szCs w:val="24"/>
              </w:rPr>
              <w:t xml:space="preserve"> įstatym</w:t>
            </w:r>
            <w:r>
              <w:rPr>
                <w:szCs w:val="24"/>
              </w:rPr>
              <w:t xml:space="preserve">ą nėra. Pažymėtina, kad </w:t>
            </w:r>
            <w:r w:rsidRPr="002E6F1A">
              <w:rPr>
                <w:color w:val="000000"/>
                <w:lang w:eastAsia="lt-LT"/>
              </w:rPr>
              <w:t>valstybės rezervo piniginių lėšų panaudojimo atvejai</w:t>
            </w:r>
            <w:r>
              <w:rPr>
                <w:color w:val="000000"/>
                <w:lang w:eastAsia="lt-LT"/>
              </w:rPr>
              <w:t xml:space="preserve"> yra apibrėžti Valstybės rezervo įstatymo 4 str. 2 d. Taip pat nesutiktina, kad esama poreikio</w:t>
            </w:r>
            <w:r w:rsidR="002E6F1A">
              <w:rPr>
                <w:szCs w:val="24"/>
              </w:rPr>
              <w:t xml:space="preserve"> aiškiau reglamentuoti</w:t>
            </w:r>
            <w:r w:rsidR="002E6F1A" w:rsidRPr="002E6F1A">
              <w:rPr>
                <w:szCs w:val="24"/>
              </w:rPr>
              <w:t xml:space="preserve"> valstybės rez</w:t>
            </w:r>
            <w:r w:rsidR="008A1EC3">
              <w:rPr>
                <w:szCs w:val="24"/>
              </w:rPr>
              <w:t>ervo piniginių lėšų panaudojimą</w:t>
            </w:r>
            <w:r w:rsidR="002E6F1A" w:rsidRPr="002E6F1A">
              <w:rPr>
                <w:szCs w:val="24"/>
              </w:rPr>
              <w:t xml:space="preserve"> ekstremaliųjų situacijų metu, t. y. kokiems konkretiems subjektams gali būti skiriamos valstybės rezervo piniginės lėšos, kokios išlaidos galėtų būti dengiamos ir pan</w:t>
            </w:r>
            <w:r w:rsidR="008A1EC3">
              <w:rPr>
                <w:szCs w:val="24"/>
              </w:rPr>
              <w:t xml:space="preserve">., nes </w:t>
            </w:r>
            <w:r w:rsidR="00781385">
              <w:rPr>
                <w:szCs w:val="24"/>
              </w:rPr>
              <w:t>tai jau reglamentuota Civilinės saugos įstatyme bei jį įgyvendinančiame Lietuvos Respublikos Vyriausybės 2010 m. liepos 21 d. nutarime</w:t>
            </w:r>
            <w:r w:rsidR="00781385" w:rsidRPr="00781385">
              <w:rPr>
                <w:szCs w:val="24"/>
              </w:rPr>
              <w:t xml:space="preserve"> Nr.</w:t>
            </w:r>
            <w:r w:rsidR="009F45CB">
              <w:rPr>
                <w:szCs w:val="24"/>
              </w:rPr>
              <w:t> </w:t>
            </w:r>
            <w:r w:rsidR="00781385" w:rsidRPr="00781385">
              <w:rPr>
                <w:szCs w:val="24"/>
              </w:rPr>
              <w:t>1107</w:t>
            </w:r>
            <w:r w:rsidR="00781385">
              <w:rPr>
                <w:szCs w:val="24"/>
              </w:rPr>
              <w:t xml:space="preserve">. </w:t>
            </w:r>
            <w:r>
              <w:rPr>
                <w:szCs w:val="24"/>
              </w:rPr>
              <w:t xml:space="preserve">Juolab kad paminėti aspektai yra procedūrinio pobūdžio ir jie nepatenka į įstatymo reguliavimo dalyką, </w:t>
            </w:r>
            <w:r w:rsidR="008F1E15">
              <w:rPr>
                <w:szCs w:val="24"/>
              </w:rPr>
              <w:t>be to,</w:t>
            </w:r>
            <w:r>
              <w:rPr>
                <w:szCs w:val="24"/>
              </w:rPr>
              <w:t xml:space="preserve"> kaip minėta, visos procedūros tinkamai sureguliuotos Lietuvos Respublikos Vyriausybės 2010 m. liepos 21 d. nutarime</w:t>
            </w:r>
            <w:r w:rsidRPr="00781385">
              <w:rPr>
                <w:szCs w:val="24"/>
              </w:rPr>
              <w:t xml:space="preserve"> Nr. 110</w:t>
            </w:r>
            <w:r>
              <w:rPr>
                <w:szCs w:val="24"/>
              </w:rPr>
              <w:t xml:space="preserve">. </w:t>
            </w:r>
            <w:r w:rsidR="008F1E15">
              <w:rPr>
                <w:szCs w:val="24"/>
              </w:rPr>
              <w:t>Pažymėtina ir tai, kad pastaboje</w:t>
            </w:r>
            <w:r w:rsidR="00EC3D60">
              <w:rPr>
                <w:szCs w:val="24"/>
              </w:rPr>
              <w:t xml:space="preserve"> siūlomas </w:t>
            </w:r>
            <w:r w:rsidR="008A1EC3">
              <w:rPr>
                <w:szCs w:val="24"/>
              </w:rPr>
              <w:t xml:space="preserve">teisinis reguliavimas gali apriboti Vyriausybės diskreciją ir užkirstų galimybę panaudoti valstybės rezervo lėšas toms sritims ir veikloms, kurios nenumatytos įstatyme, tačiau būtų labai svarbios </w:t>
            </w:r>
            <w:r w:rsidR="002E759A">
              <w:rPr>
                <w:szCs w:val="24"/>
              </w:rPr>
              <w:t>konkreči</w:t>
            </w:r>
            <w:r w:rsidR="009F45CB">
              <w:rPr>
                <w:szCs w:val="24"/>
              </w:rPr>
              <w:t>ai</w:t>
            </w:r>
            <w:r w:rsidR="002E759A">
              <w:rPr>
                <w:szCs w:val="24"/>
              </w:rPr>
              <w:t xml:space="preserve"> ekstremali</w:t>
            </w:r>
            <w:r w:rsidR="009F45CB">
              <w:rPr>
                <w:szCs w:val="24"/>
              </w:rPr>
              <w:t>ajai</w:t>
            </w:r>
            <w:r w:rsidR="002E759A">
              <w:rPr>
                <w:szCs w:val="24"/>
              </w:rPr>
              <w:t xml:space="preserve"> situacij</w:t>
            </w:r>
            <w:r w:rsidR="009F45CB">
              <w:rPr>
                <w:szCs w:val="24"/>
              </w:rPr>
              <w:t>ai</w:t>
            </w:r>
            <w:r w:rsidR="002E759A">
              <w:rPr>
                <w:szCs w:val="24"/>
              </w:rPr>
              <w:t xml:space="preserve"> valdy</w:t>
            </w:r>
            <w:r w:rsidR="009F45CB">
              <w:rPr>
                <w:szCs w:val="24"/>
              </w:rPr>
              <w:t>ti</w:t>
            </w:r>
            <w:r w:rsidR="002E759A">
              <w:rPr>
                <w:szCs w:val="24"/>
              </w:rPr>
              <w:t xml:space="preserve"> ir jos padarini</w:t>
            </w:r>
            <w:r w:rsidR="009F45CB">
              <w:rPr>
                <w:szCs w:val="24"/>
              </w:rPr>
              <w:t>ams</w:t>
            </w:r>
            <w:r w:rsidR="002E759A">
              <w:rPr>
                <w:szCs w:val="24"/>
              </w:rPr>
              <w:t xml:space="preserve"> likvid</w:t>
            </w:r>
            <w:r w:rsidR="009F45CB">
              <w:rPr>
                <w:szCs w:val="24"/>
              </w:rPr>
              <w:t>uoti</w:t>
            </w:r>
            <w:r w:rsidR="002E759A">
              <w:rPr>
                <w:szCs w:val="24"/>
              </w:rPr>
              <w:t xml:space="preserve">. Kiekviena nauja ekstremalioji situacija gali būti unikali ir iki jos kilimo gali būti neįvertinti specifiniai poreikiai, todėl tikslinga palikti dabartinį teisinį reguliavimą. </w:t>
            </w:r>
            <w:r w:rsidR="008A1EC3">
              <w:rPr>
                <w:szCs w:val="24"/>
              </w:rPr>
              <w:t xml:space="preserve"> </w:t>
            </w:r>
          </w:p>
          <w:p w:rsidR="00781385" w:rsidRPr="002E6F1A" w:rsidRDefault="00423F61" w:rsidP="00FA4A98">
            <w:pPr>
              <w:tabs>
                <w:tab w:val="left" w:pos="1134"/>
              </w:tabs>
              <w:suppressAutoHyphens/>
              <w:autoSpaceDN w:val="0"/>
              <w:jc w:val="both"/>
              <w:textAlignment w:val="baseline"/>
              <w:rPr>
                <w:szCs w:val="24"/>
              </w:rPr>
            </w:pPr>
            <w:r>
              <w:rPr>
                <w:szCs w:val="24"/>
              </w:rPr>
              <w:t xml:space="preserve">Vertinant pastabą dėl to, </w:t>
            </w:r>
            <w:r w:rsidRPr="002E6F1A">
              <w:rPr>
                <w:lang w:eastAsia="lt-LT"/>
              </w:rPr>
              <w:t>kas dėl valstybės rezervo piniginių lėšų panaudojimo</w:t>
            </w:r>
            <w:r w:rsidR="00FA4A98">
              <w:rPr>
                <w:lang w:eastAsia="lt-LT"/>
              </w:rPr>
              <w:t>, susidarius</w:t>
            </w:r>
            <w:r w:rsidRPr="002E6F1A">
              <w:rPr>
                <w:lang w:eastAsia="lt-LT"/>
              </w:rPr>
              <w:t xml:space="preserve"> ekstremali</w:t>
            </w:r>
            <w:r w:rsidR="00FA4A98">
              <w:rPr>
                <w:lang w:eastAsia="lt-LT"/>
              </w:rPr>
              <w:t>osioms</w:t>
            </w:r>
            <w:r w:rsidRPr="002E6F1A">
              <w:rPr>
                <w:lang w:eastAsia="lt-LT"/>
              </w:rPr>
              <w:t xml:space="preserve"> situacij</w:t>
            </w:r>
            <w:r w:rsidR="00FA4A98">
              <w:rPr>
                <w:lang w:eastAsia="lt-LT"/>
              </w:rPr>
              <w:t>oms,</w:t>
            </w:r>
            <w:r w:rsidR="00DE308A">
              <w:rPr>
                <w:lang w:eastAsia="lt-LT"/>
              </w:rPr>
              <w:t xml:space="preserve"> </w:t>
            </w:r>
            <w:r w:rsidRPr="002E6F1A">
              <w:rPr>
                <w:lang w:eastAsia="lt-LT"/>
              </w:rPr>
              <w:t>turėtų rengti ir teikti Vyriausybės sprendimų projektus</w:t>
            </w:r>
            <w:r>
              <w:rPr>
                <w:lang w:eastAsia="lt-LT"/>
              </w:rPr>
              <w:t>,</w:t>
            </w:r>
            <w:r>
              <w:rPr>
                <w:szCs w:val="24"/>
              </w:rPr>
              <w:t xml:space="preserve"> </w:t>
            </w:r>
            <w:r w:rsidR="00781385">
              <w:rPr>
                <w:szCs w:val="24"/>
              </w:rPr>
              <w:t>atkreiptinas dėmesys</w:t>
            </w:r>
            <w:r>
              <w:rPr>
                <w:szCs w:val="24"/>
              </w:rPr>
              <w:t xml:space="preserve"> į</w:t>
            </w:r>
            <w:r w:rsidR="00781385">
              <w:rPr>
                <w:szCs w:val="24"/>
              </w:rPr>
              <w:t xml:space="preserve"> </w:t>
            </w:r>
            <w:r w:rsidR="00781385" w:rsidRPr="00781385">
              <w:rPr>
                <w:szCs w:val="24"/>
              </w:rPr>
              <w:t>Valstybės rezervo įstatym</w:t>
            </w:r>
            <w:r w:rsidR="00781385">
              <w:rPr>
                <w:szCs w:val="24"/>
              </w:rPr>
              <w:t>o 17 straipsnio 1 dalies 3 punkt</w:t>
            </w:r>
            <w:r>
              <w:rPr>
                <w:szCs w:val="24"/>
              </w:rPr>
              <w:t>ą, kuriame</w:t>
            </w:r>
            <w:r w:rsidR="00781385">
              <w:rPr>
                <w:szCs w:val="24"/>
              </w:rPr>
              <w:t xml:space="preserve"> nustatyta, kad </w:t>
            </w:r>
            <w:r w:rsidR="00781385" w:rsidRPr="00781385">
              <w:rPr>
                <w:szCs w:val="24"/>
              </w:rPr>
              <w:t xml:space="preserve">valstybės rezervo </w:t>
            </w:r>
            <w:r w:rsidR="00781385">
              <w:rPr>
                <w:szCs w:val="24"/>
              </w:rPr>
              <w:t xml:space="preserve">tvarkytojas, </w:t>
            </w:r>
            <w:r w:rsidR="00781385" w:rsidRPr="00781385">
              <w:rPr>
                <w:szCs w:val="24"/>
              </w:rPr>
              <w:t>suderinęs su valstybės rezervo koordinatoriumi, pagal priskirtą kuravimo sritį teikia Vyriausybei teisės aktų, susijusių su valsty</w:t>
            </w:r>
            <w:r w:rsidR="00781385">
              <w:rPr>
                <w:szCs w:val="24"/>
              </w:rPr>
              <w:t xml:space="preserve">bės rezervo tvarkymu, </w:t>
            </w:r>
            <w:r w:rsidR="00781385">
              <w:rPr>
                <w:szCs w:val="24"/>
              </w:rPr>
              <w:lastRenderedPageBreak/>
              <w:t xml:space="preserve">projektus. </w:t>
            </w:r>
            <w:r>
              <w:rPr>
                <w:szCs w:val="24"/>
              </w:rPr>
              <w:t>Taip pat konkretus subjektas nurodytas ir minėtame Lietuvos Respublikos Vyriausybės 2010 m. liepos 21 d. nutarime</w:t>
            </w:r>
            <w:r w:rsidRPr="00781385">
              <w:rPr>
                <w:szCs w:val="24"/>
              </w:rPr>
              <w:t xml:space="preserve"> Nr. 110</w:t>
            </w:r>
          </w:p>
        </w:tc>
      </w:tr>
      <w:tr w:rsidR="00F57A6F" w:rsidRPr="00AA2663" w:rsidTr="00F57A6F">
        <w:trPr>
          <w:trHeight w:val="173"/>
        </w:trPr>
        <w:tc>
          <w:tcPr>
            <w:tcW w:w="1560" w:type="dxa"/>
            <w:vMerge w:val="restart"/>
          </w:tcPr>
          <w:p w:rsidR="00F57A6F" w:rsidRDefault="00F57A6F" w:rsidP="002E6F1A">
            <w:pPr>
              <w:pStyle w:val="Preformatted"/>
              <w:rPr>
                <w:rFonts w:ascii="Times New Roman" w:hAnsi="Times New Roman"/>
                <w:sz w:val="24"/>
                <w:szCs w:val="24"/>
              </w:rPr>
            </w:pPr>
            <w:r>
              <w:rPr>
                <w:rFonts w:ascii="Times New Roman" w:hAnsi="Times New Roman"/>
                <w:sz w:val="24"/>
                <w:szCs w:val="24"/>
              </w:rPr>
              <w:lastRenderedPageBreak/>
              <w:t>Vyriausybės kanceliarijos 20</w:t>
            </w:r>
            <w:r w:rsidR="0077749A">
              <w:rPr>
                <w:rFonts w:ascii="Times New Roman" w:hAnsi="Times New Roman"/>
                <w:sz w:val="24"/>
                <w:szCs w:val="24"/>
              </w:rPr>
              <w:t xml:space="preserve">19–12–19 </w:t>
            </w:r>
          </w:p>
          <w:p w:rsidR="00F57A6F" w:rsidRPr="00EC5153" w:rsidRDefault="00F57A6F" w:rsidP="002E6F1A">
            <w:pPr>
              <w:pStyle w:val="Preformatted"/>
              <w:rPr>
                <w:rFonts w:ascii="Times New Roman" w:hAnsi="Times New Roman"/>
                <w:sz w:val="24"/>
                <w:szCs w:val="24"/>
              </w:rPr>
            </w:pPr>
            <w:r>
              <w:rPr>
                <w:rFonts w:ascii="Times New Roman" w:hAnsi="Times New Roman"/>
                <w:sz w:val="24"/>
                <w:szCs w:val="24"/>
              </w:rPr>
              <w:t>raštas Nr.</w:t>
            </w:r>
            <w:r w:rsidR="0077749A">
              <w:t xml:space="preserve"> </w:t>
            </w:r>
            <w:r w:rsidR="0077749A" w:rsidRPr="0077749A">
              <w:rPr>
                <w:rFonts w:ascii="Times New Roman" w:hAnsi="Times New Roman"/>
                <w:sz w:val="24"/>
                <w:szCs w:val="24"/>
              </w:rPr>
              <w:t>S-4478</w:t>
            </w:r>
          </w:p>
        </w:tc>
        <w:tc>
          <w:tcPr>
            <w:tcW w:w="6662" w:type="dxa"/>
          </w:tcPr>
          <w:p w:rsidR="00F57A6F" w:rsidRPr="00EC5153" w:rsidRDefault="00F57A6F" w:rsidP="002B4834">
            <w:pPr>
              <w:pStyle w:val="Betarp"/>
              <w:jc w:val="both"/>
              <w:rPr>
                <w:szCs w:val="24"/>
                <w:lang w:val="lt-LT"/>
              </w:rPr>
            </w:pPr>
            <w:r w:rsidRPr="0007069D">
              <w:rPr>
                <w:szCs w:val="24"/>
                <w:lang w:val="lt-LT"/>
              </w:rPr>
              <w:t>Nors Projekto 9 straipsniu Įstatymo 22 straipsnis, reglamentuojantis perspėjimą ir informavimą, papildomas nauja 4 dalimi, lieka neaiškumų dėl šių funkcijų mechanizmo. Siūloma tikslinti Įstatymo 22 straipsnį nuostatas iš esmės, apibrėžiant visuomenės informavimo tvarką nuo ekstremalaus įvykio (ar įvykio) pradžios iki Ekstremaliųjų situacijų operacijų centro sudarymo, ir kartu nustatyti, kad gyventojų informavimo koordinavimą vykdo Ekstremaliųjų situacijų operacijų centro įsteigtas Spaudos centras.</w:t>
            </w:r>
          </w:p>
        </w:tc>
        <w:tc>
          <w:tcPr>
            <w:tcW w:w="6946" w:type="dxa"/>
          </w:tcPr>
          <w:p w:rsidR="00F57A6F" w:rsidRPr="00C051D3" w:rsidRDefault="00F57A6F" w:rsidP="0007069D">
            <w:pPr>
              <w:tabs>
                <w:tab w:val="left" w:pos="1134"/>
              </w:tabs>
              <w:suppressAutoHyphens/>
              <w:autoSpaceDN w:val="0"/>
              <w:jc w:val="both"/>
              <w:textAlignment w:val="baseline"/>
              <w:rPr>
                <w:b/>
              </w:rPr>
            </w:pPr>
            <w:r w:rsidRPr="00C051D3">
              <w:rPr>
                <w:b/>
              </w:rPr>
              <w:t>Neatsižvelgta.</w:t>
            </w:r>
          </w:p>
          <w:p w:rsidR="00F57A6F" w:rsidRPr="00AA2663" w:rsidRDefault="00F57A6F" w:rsidP="0007069D">
            <w:pPr>
              <w:tabs>
                <w:tab w:val="left" w:pos="1134"/>
              </w:tabs>
              <w:suppressAutoHyphens/>
              <w:autoSpaceDN w:val="0"/>
              <w:jc w:val="both"/>
              <w:textAlignment w:val="baseline"/>
              <w:rPr>
                <w:b/>
              </w:rPr>
            </w:pPr>
            <w:r>
              <w:t xml:space="preserve">Įvertinant tai, kad savivaldybių praktika yra įvairi (žr. Lietuvos savivaldybių asociacijos 5 pastabą), būtina palikti reguliavimo lankstumą. Taip pat pažymėtina, kad siūloma nuostata nesiekiama reglamentuoti </w:t>
            </w:r>
            <w:r w:rsidRPr="008C5343">
              <w:t xml:space="preserve">gyventojų </w:t>
            </w:r>
            <w:r>
              <w:t xml:space="preserve">perspėjimo ir informavimo tvarkos, o tik aiškiai nustatoma, kas yra atsakingas už </w:t>
            </w:r>
            <w:r w:rsidRPr="008C5343">
              <w:t>gyventojų informavimo koordinavimą</w:t>
            </w:r>
            <w:r>
              <w:t>, g</w:t>
            </w:r>
            <w:r w:rsidRPr="008C5343">
              <w:t>resiant ar susidarius ekstremaliajai situacijai</w:t>
            </w:r>
            <w:r>
              <w:t xml:space="preserve">. </w:t>
            </w:r>
            <w:r w:rsidRPr="008C5343">
              <w:rPr>
                <w:b/>
              </w:rPr>
              <w:t xml:space="preserve"> </w:t>
            </w:r>
          </w:p>
        </w:tc>
      </w:tr>
      <w:tr w:rsidR="00423F61" w:rsidRPr="00AA2663" w:rsidTr="00423F61">
        <w:trPr>
          <w:cantSplit/>
          <w:trHeight w:val="656"/>
        </w:trPr>
        <w:tc>
          <w:tcPr>
            <w:tcW w:w="1560" w:type="dxa"/>
            <w:vMerge/>
          </w:tcPr>
          <w:p w:rsidR="00423F61" w:rsidRDefault="00423F61" w:rsidP="002E6F1A">
            <w:pPr>
              <w:pStyle w:val="Preformatted"/>
              <w:rPr>
                <w:rFonts w:ascii="Times New Roman" w:hAnsi="Times New Roman"/>
                <w:sz w:val="24"/>
                <w:szCs w:val="24"/>
              </w:rPr>
            </w:pPr>
          </w:p>
        </w:tc>
        <w:tc>
          <w:tcPr>
            <w:tcW w:w="6662" w:type="dxa"/>
          </w:tcPr>
          <w:p w:rsidR="00423F61" w:rsidRPr="00EC5153" w:rsidRDefault="00423F61" w:rsidP="00423F61">
            <w:pPr>
              <w:pStyle w:val="Antrats"/>
              <w:jc w:val="both"/>
              <w:rPr>
                <w:szCs w:val="24"/>
              </w:rPr>
            </w:pPr>
            <w:r w:rsidRPr="00CB05DC">
              <w:rPr>
                <w:szCs w:val="24"/>
              </w:rPr>
              <w:t>Projekto 14 straipsni</w:t>
            </w:r>
            <w:r>
              <w:rPr>
                <w:szCs w:val="24"/>
              </w:rPr>
              <w:t>u</w:t>
            </w:r>
            <w:r w:rsidRPr="00CB05DC">
              <w:rPr>
                <w:szCs w:val="24"/>
              </w:rPr>
              <w:t xml:space="preserve"> Įstatymo 33 straipsn</w:t>
            </w:r>
            <w:r>
              <w:rPr>
                <w:szCs w:val="24"/>
              </w:rPr>
              <w:t>is papildomas</w:t>
            </w:r>
            <w:r w:rsidRPr="00CB05DC">
              <w:rPr>
                <w:szCs w:val="24"/>
              </w:rPr>
              <w:t xml:space="preserve"> nuostata, kad nurodytų asmenų socialinių garantijų įgyvendinimui finansuoti gali būti naudojamos valstybės rezervo lėšos</w:t>
            </w:r>
            <w:r>
              <w:rPr>
                <w:szCs w:val="24"/>
              </w:rPr>
              <w:t>. Pažymėtina, kad šis keitimas</w:t>
            </w:r>
            <w:r w:rsidRPr="00CB05DC">
              <w:rPr>
                <w:szCs w:val="24"/>
              </w:rPr>
              <w:t xml:space="preserve"> </w:t>
            </w:r>
            <w:r>
              <w:rPr>
                <w:szCs w:val="24"/>
              </w:rPr>
              <w:t>nėra</w:t>
            </w:r>
            <w:r w:rsidRPr="00CB05DC">
              <w:rPr>
                <w:szCs w:val="24"/>
              </w:rPr>
              <w:t xml:space="preserve"> Įstatymo reguliavimo dalykas</w:t>
            </w:r>
            <w:r>
              <w:rPr>
                <w:szCs w:val="24"/>
              </w:rPr>
              <w:t>, taip pat</w:t>
            </w:r>
            <w:r w:rsidRPr="00CB05DC">
              <w:rPr>
                <w:szCs w:val="24"/>
              </w:rPr>
              <w:t xml:space="preserve"> neaiškus </w:t>
            </w:r>
            <w:r>
              <w:rPr>
                <w:szCs w:val="24"/>
              </w:rPr>
              <w:t>jo</w:t>
            </w:r>
            <w:r w:rsidRPr="00CB05DC">
              <w:rPr>
                <w:szCs w:val="24"/>
              </w:rPr>
              <w:t xml:space="preserve"> įgyvendinimo mechanizmas. Atsižvelgiant į tai, atitinkamai turėtų būti keičiamas Valstybės rezervo įstatymas, kurio paskirtis ir yra nustatyti valstybės rezervo sudarymą, kaupimą, tvarkymą ir administravimą.</w:t>
            </w:r>
          </w:p>
        </w:tc>
        <w:tc>
          <w:tcPr>
            <w:tcW w:w="6946" w:type="dxa"/>
          </w:tcPr>
          <w:p w:rsidR="00423F61" w:rsidRDefault="00423F61" w:rsidP="00423F61">
            <w:pPr>
              <w:pStyle w:val="Bodytext20"/>
              <w:tabs>
                <w:tab w:val="left" w:pos="740"/>
              </w:tabs>
              <w:spacing w:before="0" w:after="0" w:line="240" w:lineRule="auto"/>
              <w:rPr>
                <w:b/>
              </w:rPr>
            </w:pPr>
            <w:r w:rsidRPr="00771FBD">
              <w:rPr>
                <w:b/>
              </w:rPr>
              <w:t>Neatsižvelgta.</w:t>
            </w:r>
          </w:p>
          <w:p w:rsidR="00423F61" w:rsidRPr="00FC799F" w:rsidRDefault="00423F61" w:rsidP="00423F61">
            <w:pPr>
              <w:tabs>
                <w:tab w:val="left" w:pos="1134"/>
              </w:tabs>
              <w:suppressAutoHyphens/>
              <w:autoSpaceDN w:val="0"/>
              <w:jc w:val="both"/>
              <w:textAlignment w:val="baseline"/>
              <w:rPr>
                <w:rFonts w:eastAsia="Calibri"/>
                <w:b/>
                <w:color w:val="00000A"/>
                <w:kern w:val="3"/>
                <w:szCs w:val="24"/>
                <w:lang w:eastAsia="lt-LT"/>
              </w:rPr>
            </w:pPr>
            <w:r>
              <w:t>Žr. Finansų ministerijos pastabos įvertinimą.</w:t>
            </w:r>
          </w:p>
        </w:tc>
      </w:tr>
      <w:tr w:rsidR="00F57A6F" w:rsidRPr="00AA2663" w:rsidTr="00423F61">
        <w:trPr>
          <w:trHeight w:val="656"/>
        </w:trPr>
        <w:tc>
          <w:tcPr>
            <w:tcW w:w="1560" w:type="dxa"/>
            <w:vMerge/>
          </w:tcPr>
          <w:p w:rsidR="00F57A6F" w:rsidRDefault="00F57A6F" w:rsidP="002E6F1A">
            <w:pPr>
              <w:pStyle w:val="Preformatted"/>
              <w:rPr>
                <w:rFonts w:ascii="Times New Roman" w:hAnsi="Times New Roman"/>
                <w:sz w:val="24"/>
                <w:szCs w:val="24"/>
              </w:rPr>
            </w:pPr>
          </w:p>
        </w:tc>
        <w:tc>
          <w:tcPr>
            <w:tcW w:w="6662" w:type="dxa"/>
          </w:tcPr>
          <w:p w:rsidR="00F57A6F" w:rsidRPr="00502864" w:rsidRDefault="00F57A6F" w:rsidP="0007069D">
            <w:pPr>
              <w:pStyle w:val="Betarp"/>
              <w:jc w:val="both"/>
              <w:rPr>
                <w:szCs w:val="24"/>
                <w:lang w:val="lt-LT"/>
              </w:rPr>
            </w:pPr>
            <w:r w:rsidRPr="00EC5153">
              <w:rPr>
                <w:szCs w:val="24"/>
                <w:lang w:val="lt-LT"/>
              </w:rPr>
              <w:t xml:space="preserve">Kadangi įgyvendinant Įstatymą dažnai kyla klausimų dėl vienos kitai prieštaraujančių jo nuostatų, siūloma Įstatymą peržiūrėti ir kitais aspektais, kurie Vidaus reikalų ministerijai buvo nurodyti Vyriausybės kanceliarijos išvadose ir pažymose. Pavyzdžiui, Įstatyme nustatytas slėptuvių teisinis reguliavimas yra prieštaringas: Įstatymo 24 straipsnio 1 dalyje nustatyta, kad </w:t>
            </w:r>
            <w:r w:rsidRPr="00EC5153">
              <w:rPr>
                <w:i/>
                <w:iCs/>
                <w:szCs w:val="24"/>
                <w:lang w:val="lt-LT"/>
              </w:rPr>
              <w:t>ekstremaliųjų situacijų metu</w:t>
            </w:r>
            <w:r w:rsidRPr="00EC5153">
              <w:rPr>
                <w:szCs w:val="24"/>
                <w:lang w:val="lt-LT"/>
              </w:rPr>
              <w:t xml:space="preserve"> </w:t>
            </w:r>
            <w:r w:rsidRPr="00EC5153">
              <w:rPr>
                <w:i/>
                <w:iCs/>
                <w:szCs w:val="24"/>
                <w:lang w:val="lt-LT"/>
              </w:rPr>
              <w:t>valstybės tarnautojai ir darbuotojai, vykdantys valstybės ir savivaldybių institucijoms ir įstaigoms nustatytus uždavinius ir funkcijas</w:t>
            </w:r>
            <w:r w:rsidRPr="00EC5153">
              <w:rPr>
                <w:szCs w:val="24"/>
                <w:lang w:val="lt-LT"/>
              </w:rPr>
              <w:t xml:space="preserve">, nuo gyventojų gyvybei ar sveikatai gresiančių pavojingų veiksnių apsaugomi slėptuvėse, o pagal Įstatymo 2 straipsnio 29 dalį slėptuvės yra skirtos </w:t>
            </w:r>
            <w:r w:rsidRPr="00EC5153">
              <w:rPr>
                <w:i/>
                <w:iCs/>
                <w:szCs w:val="24"/>
                <w:lang w:val="lt-LT"/>
              </w:rPr>
              <w:t>gyventojams, kurie užtikrina valstybės ir savivaldybių institucijų ir įstaigų veiklą</w:t>
            </w:r>
            <w:r w:rsidRPr="00EC5153">
              <w:rPr>
                <w:szCs w:val="24"/>
                <w:lang w:val="lt-LT"/>
              </w:rPr>
              <w:t xml:space="preserve"> ne tik ekstremaliųjų situacijų, bet ir</w:t>
            </w:r>
            <w:r w:rsidRPr="00EC5153">
              <w:rPr>
                <w:i/>
                <w:iCs/>
                <w:szCs w:val="24"/>
                <w:lang w:val="lt-LT"/>
              </w:rPr>
              <w:t xml:space="preserve"> karo metu</w:t>
            </w:r>
            <w:r w:rsidRPr="00EC5153">
              <w:rPr>
                <w:szCs w:val="24"/>
                <w:lang w:val="lt-LT"/>
              </w:rPr>
              <w:t xml:space="preserve">. Taip pat nėra aiškios sistemos, kodėl vienos Įstatymo nuostatos reguliuoja civilinę saugą (t. y. veiklą, apimančią valstybės ir savivaldybių institucijų ir įstaigų, kitų įstaigų, ūkio subjektų ir </w:t>
            </w:r>
            <w:r w:rsidRPr="00EC5153">
              <w:rPr>
                <w:szCs w:val="24"/>
                <w:lang w:val="lt-LT"/>
              </w:rPr>
              <w:lastRenderedPageBreak/>
              <w:t xml:space="preserve">gyventojų pasirengimą ekstremaliosioms situacijoms, veiksmus joms gresiant ar susidarius, </w:t>
            </w:r>
            <w:r w:rsidRPr="00EC5153">
              <w:rPr>
                <w:i/>
                <w:iCs/>
                <w:szCs w:val="24"/>
                <w:lang w:val="lt-LT"/>
              </w:rPr>
              <w:t xml:space="preserve">ekstremaliųjų situacijų </w:t>
            </w:r>
            <w:r w:rsidRPr="00EC5153">
              <w:rPr>
                <w:szCs w:val="24"/>
                <w:lang w:val="lt-LT"/>
              </w:rPr>
              <w:t xml:space="preserve">likvidavimą ir jų padarinių šalinimą), o kitos nuostatos taikomos ir karo atveju (pvz., slėptuvė, kolektyvinės apsaugos statinys). Todėl siūlytume įvertinti, ar civilinės saugos sistema sklandžiai veiktų ir karo padėties metu, ar nereikia specialiojo civilinės saugos teisinio reglamentavimo karo padėties metui, kuris apimtų gelbėjimą, evakavimą, paiešką, ekstremaliosios situacijos likvidavimą, padarinių šalinimą, žuvusių asmenų laidojimą, aprūpinimą civilinės saugos priemonėmis, slėptuvių ir kolektyvinės apsaugos statinių panaudojimą ir pan. Kartu siūloma įvertinti poreikį tikslinti Įstatymo nuostatas, susijusias su civilinės saugos mokymo reglamentavimu, siekiant sudaryti teisines prielaidas operatyviau ir lanksčiau organizuoti civilinės saugos mokymą, sudaryti teisines prielaidas vykdyti nuotolinį civilinės saugos </w:t>
            </w:r>
            <w:r w:rsidRPr="00502864">
              <w:rPr>
                <w:szCs w:val="24"/>
                <w:lang w:val="lt-LT"/>
              </w:rPr>
              <w:t>mokymą, atsižvelgiant į jau teiktą Vyriausybei Įstatymo pakeitimo projektą (TAIS Nr. 17-13014(2)).</w:t>
            </w:r>
          </w:p>
          <w:p w:rsidR="00F57A6F" w:rsidRPr="0007069D" w:rsidRDefault="00F57A6F" w:rsidP="00D3198E">
            <w:pPr>
              <w:pStyle w:val="Betarp"/>
              <w:jc w:val="both"/>
              <w:rPr>
                <w:szCs w:val="24"/>
                <w:lang w:val="lt-LT"/>
              </w:rPr>
            </w:pPr>
            <w:r w:rsidRPr="00502864">
              <w:rPr>
                <w:szCs w:val="24"/>
                <w:lang w:val="lt-LT"/>
              </w:rPr>
              <w:t>Atsižvelgiant į Projekte numatytą Įstatymo įsigaliojimo datą – 2021 m. sausio 1 d. ir siekiant, kad civilinės saugos reglamentavimas būtų nuoseklus ir aiškus, siūloma Įstatymą peržiūrėti iš esmės, prireikus sudarant suinteresuotų institucijų atstovų darbo grupę ar surengiant pasitarimą.</w:t>
            </w:r>
          </w:p>
        </w:tc>
        <w:tc>
          <w:tcPr>
            <w:tcW w:w="6946" w:type="dxa"/>
          </w:tcPr>
          <w:p w:rsidR="00F57A6F" w:rsidRPr="00FC799F" w:rsidRDefault="00F57A6F" w:rsidP="0007069D">
            <w:pPr>
              <w:tabs>
                <w:tab w:val="left" w:pos="1134"/>
              </w:tabs>
              <w:suppressAutoHyphens/>
              <w:autoSpaceDN w:val="0"/>
              <w:jc w:val="both"/>
              <w:textAlignment w:val="baseline"/>
              <w:rPr>
                <w:rFonts w:eastAsia="Calibri"/>
                <w:b/>
                <w:color w:val="00000A"/>
                <w:kern w:val="3"/>
                <w:szCs w:val="24"/>
                <w:lang w:eastAsia="lt-LT"/>
              </w:rPr>
            </w:pPr>
            <w:r w:rsidRPr="00FC799F">
              <w:rPr>
                <w:rFonts w:eastAsia="Calibri"/>
                <w:b/>
                <w:color w:val="00000A"/>
                <w:kern w:val="3"/>
                <w:szCs w:val="24"/>
                <w:lang w:eastAsia="lt-LT"/>
              </w:rPr>
              <w:lastRenderedPageBreak/>
              <w:t>Neatsižvelgta.</w:t>
            </w:r>
          </w:p>
          <w:p w:rsidR="00F57A6F" w:rsidRDefault="00F57A6F" w:rsidP="0007069D">
            <w:pPr>
              <w:pStyle w:val="Bodytext20"/>
              <w:tabs>
                <w:tab w:val="left" w:pos="740"/>
              </w:tabs>
              <w:spacing w:before="0" w:after="0" w:line="240" w:lineRule="auto"/>
            </w:pPr>
            <w:r w:rsidRPr="00EC5153">
              <w:t>Projektas rengiamas siekiant efektyvinti ekstremalių</w:t>
            </w:r>
            <w:r w:rsidR="00905603">
              <w:t>jų</w:t>
            </w:r>
            <w:r w:rsidRPr="00EC5153">
              <w:t xml:space="preserve"> situacijų valdymą, atsižvelgiant į</w:t>
            </w:r>
            <w:r>
              <w:rPr>
                <w:b/>
              </w:rPr>
              <w:t xml:space="preserve"> </w:t>
            </w:r>
            <w:r w:rsidRPr="008E526A">
              <w:rPr>
                <w:shd w:val="clear" w:color="auto" w:fill="FFFFFF"/>
              </w:rPr>
              <w:t xml:space="preserve">padangų perdirbimo įmonėje „Ekologistika“ </w:t>
            </w:r>
            <w:r w:rsidRPr="008E526A">
              <w:t>kilusi</w:t>
            </w:r>
            <w:r>
              <w:t>o</w:t>
            </w:r>
            <w:r w:rsidRPr="008E526A">
              <w:t xml:space="preserve"> gaisr</w:t>
            </w:r>
            <w:r>
              <w:t xml:space="preserve">o likvidavimo metu paaiškėjusius trūkumus, siekiant kuo skubiau įtvirtinti reikalingas nuostatas, leisiančias būti tinkamai pasirengus </w:t>
            </w:r>
            <w:r w:rsidR="00905603">
              <w:t xml:space="preserve">valdyti </w:t>
            </w:r>
            <w:r>
              <w:t>ekstremali</w:t>
            </w:r>
            <w:r w:rsidR="00905603">
              <w:t>ąsias</w:t>
            </w:r>
            <w:r>
              <w:t xml:space="preserve"> situacij</w:t>
            </w:r>
            <w:r w:rsidR="00905603">
              <w:t>as</w:t>
            </w:r>
            <w:r>
              <w:t xml:space="preserve">. Sisteminė Civilinės saugos įstatymo peržiūra numatoma ateityje. Jei sisteminė Civilinės saugos įstatymo peržiūra būtų atliekama dabar, įstatymo projekto rengimas užtruktų ir nebūtų sudarytos prielaidos artimiausiu metu būti tinkamai pasirengus </w:t>
            </w:r>
            <w:r w:rsidR="00905603">
              <w:t xml:space="preserve">valdyti </w:t>
            </w:r>
            <w:r>
              <w:t>galim</w:t>
            </w:r>
            <w:r w:rsidR="00905603">
              <w:t>as</w:t>
            </w:r>
            <w:r>
              <w:t xml:space="preserve"> didelio masto ekstremali</w:t>
            </w:r>
            <w:r w:rsidR="00905603">
              <w:t xml:space="preserve">ąsias </w:t>
            </w:r>
            <w:r>
              <w:t>situacij</w:t>
            </w:r>
            <w:r w:rsidR="00905603">
              <w:t>as</w:t>
            </w:r>
            <w:r>
              <w:t>.</w:t>
            </w:r>
          </w:p>
          <w:p w:rsidR="00F57A6F" w:rsidRDefault="00F57A6F" w:rsidP="0007069D">
            <w:pPr>
              <w:pStyle w:val="Bodytext20"/>
              <w:tabs>
                <w:tab w:val="left" w:pos="740"/>
              </w:tabs>
              <w:spacing w:before="0" w:after="0" w:line="240" w:lineRule="auto"/>
              <w:rPr>
                <w:szCs w:val="20"/>
              </w:rPr>
            </w:pPr>
            <w:r w:rsidRPr="0007069D">
              <w:rPr>
                <w:szCs w:val="20"/>
              </w:rPr>
              <w:t xml:space="preserve">Įstatymo projektas derintas su </w:t>
            </w:r>
            <w:r w:rsidR="00905603">
              <w:rPr>
                <w:szCs w:val="20"/>
              </w:rPr>
              <w:t xml:space="preserve">daugeliu </w:t>
            </w:r>
            <w:r w:rsidRPr="0007069D">
              <w:rPr>
                <w:szCs w:val="20"/>
              </w:rPr>
              <w:t xml:space="preserve">civilinės saugos sistemos subjektų ir patikslintas pagal jų pateiktas pastabas. </w:t>
            </w:r>
            <w:r w:rsidR="00905603">
              <w:rPr>
                <w:szCs w:val="20"/>
              </w:rPr>
              <w:t>Pa</w:t>
            </w:r>
            <w:r w:rsidR="00DE308A">
              <w:rPr>
                <w:szCs w:val="20"/>
              </w:rPr>
              <w:t>s</w:t>
            </w:r>
            <w:r w:rsidRPr="0007069D">
              <w:rPr>
                <w:szCs w:val="20"/>
              </w:rPr>
              <w:t>iūlymas sudaryti darbo grupę užvilkintų įstatymo proj</w:t>
            </w:r>
            <w:r>
              <w:rPr>
                <w:szCs w:val="20"/>
              </w:rPr>
              <w:t>ekto rengimą ir nedera</w:t>
            </w:r>
            <w:r w:rsidRPr="0007069D">
              <w:rPr>
                <w:szCs w:val="20"/>
              </w:rPr>
              <w:t xml:space="preserve"> su teisėkūros ekonomiškumo ir operatyvumo principais.</w:t>
            </w: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07069D">
            <w:pPr>
              <w:pStyle w:val="Bodytext20"/>
              <w:tabs>
                <w:tab w:val="left" w:pos="740"/>
              </w:tabs>
              <w:spacing w:before="0" w:after="0" w:line="240" w:lineRule="auto"/>
              <w:rPr>
                <w:szCs w:val="20"/>
              </w:rPr>
            </w:pPr>
          </w:p>
          <w:p w:rsidR="00F57A6F" w:rsidRDefault="00F57A6F" w:rsidP="00F57A6F">
            <w:pPr>
              <w:pStyle w:val="Bodytext20"/>
              <w:tabs>
                <w:tab w:val="left" w:pos="740"/>
              </w:tabs>
              <w:spacing w:before="0" w:after="0" w:line="240" w:lineRule="auto"/>
              <w:rPr>
                <w:rFonts w:eastAsia="Calibri"/>
                <w:b/>
                <w:color w:val="00000A"/>
                <w:kern w:val="3"/>
                <w:lang w:eastAsia="lt-LT"/>
              </w:rPr>
            </w:pPr>
          </w:p>
        </w:tc>
      </w:tr>
      <w:tr w:rsidR="00F57A6F" w:rsidRPr="00AA2663" w:rsidTr="00423F61">
        <w:tc>
          <w:tcPr>
            <w:tcW w:w="1560" w:type="dxa"/>
            <w:vMerge/>
          </w:tcPr>
          <w:p w:rsidR="00F57A6F" w:rsidRDefault="00F57A6F" w:rsidP="002E6F1A">
            <w:pPr>
              <w:pStyle w:val="Preformatted"/>
              <w:rPr>
                <w:rFonts w:ascii="Times New Roman" w:hAnsi="Times New Roman"/>
                <w:sz w:val="24"/>
                <w:szCs w:val="24"/>
              </w:rPr>
            </w:pPr>
          </w:p>
        </w:tc>
        <w:tc>
          <w:tcPr>
            <w:tcW w:w="6662" w:type="dxa"/>
          </w:tcPr>
          <w:p w:rsidR="00F57A6F" w:rsidRPr="009B3F87" w:rsidRDefault="00F57A6F" w:rsidP="0054530C">
            <w:pPr>
              <w:pStyle w:val="Betarp"/>
              <w:jc w:val="both"/>
              <w:rPr>
                <w:szCs w:val="24"/>
                <w:highlight w:val="yellow"/>
                <w:lang w:val="lt-LT"/>
              </w:rPr>
            </w:pPr>
            <w:r w:rsidRPr="0054530C">
              <w:rPr>
                <w:szCs w:val="24"/>
                <w:lang w:val="lt-LT"/>
              </w:rPr>
              <w:t>Įstatymo 27 str. 4 dalies 2 punkte nustatyta, kad valstybės operacijų vadovo funkcijas vykdo Ministro Pirmininko paskirtas Vyriausybės narys arba valstybės ar savivaldybių institucijos arba įstaigos vadovas, atsižvelgiant į įvykio, ekstremaliojo įvykio pobūdį. Tačiau valstybinio lygio civilinės saugos funkcinių pratybų  metu paaiškėjo, kad ne visais atvejais tikslinga ar yra galimybė valstybės operacijų vadovu skirti Vyriausybės narį (ministrą), todėl siūlytume įvertinti galimybę išplėsti subjektų, kurie galėtų būti skiriami vykdyti valstybės operacijų vadovo funkcijas, ratą.</w:t>
            </w:r>
          </w:p>
        </w:tc>
        <w:tc>
          <w:tcPr>
            <w:tcW w:w="6946" w:type="dxa"/>
          </w:tcPr>
          <w:p w:rsidR="00F57A6F" w:rsidRPr="00F57A6F" w:rsidRDefault="00F57A6F" w:rsidP="00F57A6F">
            <w:pPr>
              <w:widowControl w:val="0"/>
              <w:tabs>
                <w:tab w:val="left" w:pos="740"/>
              </w:tabs>
              <w:jc w:val="both"/>
              <w:rPr>
                <w:b/>
                <w:szCs w:val="24"/>
              </w:rPr>
            </w:pPr>
            <w:r w:rsidRPr="00F57A6F">
              <w:rPr>
                <w:b/>
                <w:szCs w:val="24"/>
              </w:rPr>
              <w:t>Neatsižvelgta.</w:t>
            </w:r>
          </w:p>
          <w:p w:rsidR="00F57A6F" w:rsidRPr="00FC799F" w:rsidRDefault="00F57A6F" w:rsidP="0054530C">
            <w:pPr>
              <w:pStyle w:val="Bodytext20"/>
              <w:tabs>
                <w:tab w:val="left" w:pos="740"/>
              </w:tabs>
              <w:spacing w:before="0" w:after="0" w:line="240" w:lineRule="auto"/>
              <w:rPr>
                <w:rFonts w:eastAsia="Calibri"/>
                <w:b/>
                <w:color w:val="00000A"/>
                <w:kern w:val="3"/>
                <w:lang w:eastAsia="lt-LT"/>
              </w:rPr>
            </w:pPr>
            <w:r w:rsidRPr="00F57A6F">
              <w:t>Įstatymo 27 str. 4 dalies 2 punkte numatyta galimybė</w:t>
            </w:r>
            <w:r w:rsidRPr="00F57A6F">
              <w:rPr>
                <w:color w:val="000000"/>
                <w:lang w:eastAsia="lt-LT"/>
              </w:rPr>
              <w:t xml:space="preserve"> valstybės operacijų vadovo funkcijas vykdyti skirti ne tik Vyriausybės narį. Manome</w:t>
            </w:r>
            <w:r w:rsidR="0054530C">
              <w:rPr>
                <w:color w:val="000000"/>
                <w:lang w:eastAsia="lt-LT"/>
              </w:rPr>
              <w:t>,</w:t>
            </w:r>
            <w:r w:rsidRPr="00F57A6F">
              <w:rPr>
                <w:color w:val="000000"/>
                <w:lang w:eastAsia="lt-LT"/>
              </w:rPr>
              <w:t xml:space="preserve"> esama nuostata yra </w:t>
            </w:r>
            <w:r w:rsidR="0054530C">
              <w:rPr>
                <w:color w:val="000000"/>
                <w:lang w:eastAsia="lt-LT"/>
              </w:rPr>
              <w:t>gana</w:t>
            </w:r>
            <w:r w:rsidRPr="00F57A6F">
              <w:rPr>
                <w:color w:val="000000"/>
                <w:lang w:eastAsia="lt-LT"/>
              </w:rPr>
              <w:t xml:space="preserve"> lanksti ir tinkamai atliepianti galinčias pasitaikyti aplinkybes.</w:t>
            </w:r>
          </w:p>
        </w:tc>
      </w:tr>
      <w:tr w:rsidR="00771FBD" w:rsidRPr="00AA2663" w:rsidTr="003D74F5">
        <w:trPr>
          <w:trHeight w:val="329"/>
        </w:trPr>
        <w:tc>
          <w:tcPr>
            <w:tcW w:w="1560" w:type="dxa"/>
            <w:vMerge w:val="restart"/>
          </w:tcPr>
          <w:p w:rsidR="00771FBD" w:rsidRDefault="00DD2F37" w:rsidP="0067247D">
            <w:pPr>
              <w:pStyle w:val="Bodytext20"/>
              <w:shd w:val="clear" w:color="auto" w:fill="auto"/>
              <w:tabs>
                <w:tab w:val="left" w:pos="740"/>
              </w:tabs>
              <w:spacing w:before="0" w:after="0" w:line="240" w:lineRule="auto"/>
            </w:pPr>
            <w:r>
              <w:t>Lietuvos savivaldybių asociacijos</w:t>
            </w:r>
          </w:p>
          <w:p w:rsidR="00DD2F37" w:rsidRPr="00AA2663" w:rsidRDefault="00DD2F37" w:rsidP="0067247D">
            <w:pPr>
              <w:pStyle w:val="Bodytext20"/>
              <w:shd w:val="clear" w:color="auto" w:fill="auto"/>
              <w:tabs>
                <w:tab w:val="left" w:pos="740"/>
              </w:tabs>
              <w:spacing w:before="0" w:after="0" w:line="240" w:lineRule="auto"/>
            </w:pPr>
            <w:r>
              <w:t xml:space="preserve">2019–12–17 </w:t>
            </w:r>
            <w:r>
              <w:lastRenderedPageBreak/>
              <w:t>raštas Nr. (</w:t>
            </w:r>
            <w:r w:rsidRPr="00DD2F37">
              <w:t>11)-SD-810</w:t>
            </w:r>
          </w:p>
        </w:tc>
        <w:tc>
          <w:tcPr>
            <w:tcW w:w="6662" w:type="dxa"/>
          </w:tcPr>
          <w:p w:rsidR="00F57A6F" w:rsidRDefault="00771FBD" w:rsidP="002B2FB0">
            <w:pPr>
              <w:pStyle w:val="Betarp"/>
              <w:jc w:val="both"/>
              <w:rPr>
                <w:bCs/>
                <w:szCs w:val="24"/>
                <w:lang w:val="lt-LT"/>
              </w:rPr>
            </w:pPr>
            <w:r w:rsidRPr="008C5343">
              <w:rPr>
                <w:bCs/>
                <w:szCs w:val="24"/>
                <w:lang w:val="lt-LT"/>
              </w:rPr>
              <w:lastRenderedPageBreak/>
              <w:t xml:space="preserve"> </w:t>
            </w:r>
            <w:r w:rsidR="003D74F5" w:rsidRPr="003D74F5">
              <w:rPr>
                <w:bCs/>
                <w:szCs w:val="24"/>
                <w:lang w:val="lt-LT"/>
              </w:rPr>
              <w:t xml:space="preserve">2. Savivaldybės lygio civilinės saugos pratybų metu vertinamas savivaldybių pasirengimas veikti savivaldybės lygio ekstremaliosios situacijos atveju, o valstybės lygio ekstremaliosios situacijos metu savivaldybių vykdomos gyventojų, jų turto ir </w:t>
            </w:r>
            <w:r w:rsidR="003D74F5" w:rsidRPr="003D74F5">
              <w:rPr>
                <w:bCs/>
                <w:szCs w:val="24"/>
                <w:lang w:val="lt-LT"/>
              </w:rPr>
              <w:lastRenderedPageBreak/>
              <w:t>aplinkos apsaugos priemonės yra tapačios vykdomoms savivaldybės lygio ekstremaliosios situacijos metu. Todėl manytina, kad Projekto 4 straipsnyje siūlomas Civilinės saugos įstatymo 14 straipsnio 8 dalies papildymas dėl prievolės dalyvauti valstybės lygio civilinės saugos pratybose yra perteklinis.</w:t>
            </w:r>
          </w:p>
          <w:p w:rsidR="00771FBD" w:rsidRPr="009B3F87" w:rsidRDefault="00771FBD" w:rsidP="002B2FB0">
            <w:pPr>
              <w:pStyle w:val="Betarp"/>
              <w:jc w:val="both"/>
              <w:rPr>
                <w:bCs/>
                <w:szCs w:val="24"/>
                <w:lang w:val="lt-LT"/>
              </w:rPr>
            </w:pPr>
          </w:p>
        </w:tc>
        <w:tc>
          <w:tcPr>
            <w:tcW w:w="6946" w:type="dxa"/>
          </w:tcPr>
          <w:p w:rsidR="003D74F5" w:rsidRPr="003D74F5" w:rsidRDefault="003D74F5" w:rsidP="003D74F5">
            <w:pPr>
              <w:widowControl w:val="0"/>
              <w:tabs>
                <w:tab w:val="left" w:pos="740"/>
              </w:tabs>
              <w:jc w:val="both"/>
              <w:rPr>
                <w:b/>
                <w:szCs w:val="24"/>
              </w:rPr>
            </w:pPr>
            <w:r w:rsidRPr="003D74F5">
              <w:rPr>
                <w:b/>
                <w:szCs w:val="24"/>
              </w:rPr>
              <w:lastRenderedPageBreak/>
              <w:t>Neatsižvelgta.</w:t>
            </w:r>
          </w:p>
          <w:p w:rsidR="00F57A6F" w:rsidRDefault="003D74F5" w:rsidP="003D74F5">
            <w:pPr>
              <w:pStyle w:val="Bodytext20"/>
              <w:shd w:val="clear" w:color="auto" w:fill="auto"/>
              <w:tabs>
                <w:tab w:val="left" w:pos="740"/>
              </w:tabs>
              <w:spacing w:before="0" w:after="0" w:line="240" w:lineRule="auto"/>
              <w:rPr>
                <w:b/>
              </w:rPr>
            </w:pPr>
            <w:r w:rsidRPr="003D74F5">
              <w:rPr>
                <w:szCs w:val="20"/>
              </w:rPr>
              <w:t xml:space="preserve">Savivaldybių dalyvavimas </w:t>
            </w:r>
            <w:r w:rsidRPr="003D74F5">
              <w:rPr>
                <w:bCs/>
                <w:szCs w:val="20"/>
              </w:rPr>
              <w:t xml:space="preserve">valstybės lygio civilinės saugos pratybose yra aktualus vertinant sąveikos </w:t>
            </w:r>
            <w:r>
              <w:rPr>
                <w:bCs/>
                <w:szCs w:val="20"/>
              </w:rPr>
              <w:t xml:space="preserve">su kitais civilinės saugos subjektais ir pajėgomis </w:t>
            </w:r>
            <w:r w:rsidRPr="003D74F5">
              <w:rPr>
                <w:bCs/>
                <w:szCs w:val="20"/>
              </w:rPr>
              <w:t>aspektus ir užtik</w:t>
            </w:r>
            <w:r w:rsidR="0054530C">
              <w:rPr>
                <w:bCs/>
                <w:szCs w:val="20"/>
              </w:rPr>
              <w:t>r</w:t>
            </w:r>
            <w:r w:rsidRPr="003D74F5">
              <w:rPr>
                <w:bCs/>
                <w:szCs w:val="20"/>
              </w:rPr>
              <w:t xml:space="preserve">ina geresnį </w:t>
            </w:r>
            <w:r>
              <w:rPr>
                <w:bCs/>
                <w:szCs w:val="20"/>
              </w:rPr>
              <w:t xml:space="preserve">civilinės saugos sistemos </w:t>
            </w:r>
            <w:r>
              <w:rPr>
                <w:bCs/>
                <w:szCs w:val="20"/>
              </w:rPr>
              <w:lastRenderedPageBreak/>
              <w:t>parengtį</w:t>
            </w:r>
            <w:r w:rsidRPr="003D74F5">
              <w:rPr>
                <w:bCs/>
                <w:szCs w:val="20"/>
              </w:rPr>
              <w:t>.</w:t>
            </w:r>
          </w:p>
          <w:p w:rsidR="00771FBD" w:rsidRPr="008C5343" w:rsidRDefault="00771FBD" w:rsidP="002B2FB0">
            <w:pPr>
              <w:pStyle w:val="Bodytext20"/>
              <w:shd w:val="clear" w:color="auto" w:fill="auto"/>
              <w:tabs>
                <w:tab w:val="left" w:pos="740"/>
              </w:tabs>
              <w:spacing w:before="0" w:after="0" w:line="240" w:lineRule="auto"/>
              <w:rPr>
                <w:b/>
              </w:rPr>
            </w:pPr>
          </w:p>
        </w:tc>
      </w:tr>
      <w:tr w:rsidR="003D74F5" w:rsidRPr="00AA2663" w:rsidTr="00251FE1">
        <w:trPr>
          <w:trHeight w:val="2257"/>
        </w:trPr>
        <w:tc>
          <w:tcPr>
            <w:tcW w:w="1560" w:type="dxa"/>
            <w:vMerge/>
          </w:tcPr>
          <w:p w:rsidR="003D74F5" w:rsidRDefault="003D74F5" w:rsidP="0067247D">
            <w:pPr>
              <w:pStyle w:val="Bodytext20"/>
              <w:shd w:val="clear" w:color="auto" w:fill="auto"/>
              <w:tabs>
                <w:tab w:val="left" w:pos="740"/>
              </w:tabs>
              <w:spacing w:before="0" w:after="0" w:line="240" w:lineRule="auto"/>
            </w:pPr>
          </w:p>
        </w:tc>
        <w:tc>
          <w:tcPr>
            <w:tcW w:w="6662" w:type="dxa"/>
          </w:tcPr>
          <w:p w:rsidR="00251FE1" w:rsidRPr="008C5343" w:rsidRDefault="003D74F5" w:rsidP="0054530C">
            <w:pPr>
              <w:pStyle w:val="Betarp"/>
              <w:jc w:val="both"/>
              <w:rPr>
                <w:bCs/>
                <w:szCs w:val="24"/>
                <w:lang w:val="lt-LT"/>
              </w:rPr>
            </w:pPr>
            <w:r w:rsidRPr="008C5343">
              <w:rPr>
                <w:bCs/>
                <w:szCs w:val="24"/>
                <w:lang w:val="lt-LT"/>
              </w:rPr>
              <w:t>5. Pažymėtina, kad savivaldybių ekstremaliųjų situacijų komisijos, atsižvelgdamos į susidariusios situacijos mastą, savarankiškai priima sprendimus dėl savivaldybės ekstremaliųjų situacijų operacijų centro aktyvavimo. Be to, kiekviena savivaldybė, atsižvelgiant į jos organizacinės struktūros ypatumus, yra numačiusi gyventojų perspėjimo ir informavimo tvarką. Atsižvelgiant į tai, svarstytina, ar Projekto 9 straipsnis nėra perteklinis.</w:t>
            </w:r>
          </w:p>
        </w:tc>
        <w:tc>
          <w:tcPr>
            <w:tcW w:w="6946" w:type="dxa"/>
          </w:tcPr>
          <w:p w:rsidR="003D74F5" w:rsidRDefault="003D74F5" w:rsidP="003D74F5">
            <w:pPr>
              <w:pStyle w:val="Bodytext20"/>
              <w:shd w:val="clear" w:color="auto" w:fill="auto"/>
              <w:tabs>
                <w:tab w:val="left" w:pos="740"/>
              </w:tabs>
              <w:spacing w:before="0" w:after="0" w:line="240" w:lineRule="auto"/>
              <w:rPr>
                <w:b/>
              </w:rPr>
            </w:pPr>
            <w:r w:rsidRPr="008C5343">
              <w:rPr>
                <w:b/>
              </w:rPr>
              <w:t>Neatsižvelgta</w:t>
            </w:r>
            <w:r>
              <w:rPr>
                <w:b/>
              </w:rPr>
              <w:t>.</w:t>
            </w:r>
          </w:p>
          <w:p w:rsidR="003D74F5" w:rsidRDefault="0054530C" w:rsidP="0054530C">
            <w:pPr>
              <w:pStyle w:val="Bodytext20"/>
              <w:tabs>
                <w:tab w:val="left" w:pos="740"/>
              </w:tabs>
              <w:spacing w:before="0" w:after="0" w:line="240" w:lineRule="auto"/>
              <w:rPr>
                <w:b/>
              </w:rPr>
            </w:pPr>
            <w:r>
              <w:t xml:space="preserve">Pritariant </w:t>
            </w:r>
            <w:r w:rsidR="003D74F5">
              <w:t>pastaboje paminėta</w:t>
            </w:r>
            <w:r>
              <w:t>i</w:t>
            </w:r>
            <w:r w:rsidR="003D74F5">
              <w:t xml:space="preserve"> praktika</w:t>
            </w:r>
            <w:r>
              <w:t>i</w:t>
            </w:r>
            <w:r w:rsidR="003D74F5">
              <w:t xml:space="preserve">, kad </w:t>
            </w:r>
            <w:r w:rsidR="003D74F5" w:rsidRPr="008C5343">
              <w:t>kiek</w:t>
            </w:r>
            <w:r w:rsidR="003D74F5">
              <w:t>viena savivaldybė, atsižvelgdama</w:t>
            </w:r>
            <w:r w:rsidR="003D74F5" w:rsidRPr="008C5343">
              <w:t xml:space="preserve"> į jos organizacinės struktūros ypatumus, </w:t>
            </w:r>
            <w:r w:rsidR="003D74F5">
              <w:t>nusistato savo</w:t>
            </w:r>
            <w:r w:rsidR="003D74F5" w:rsidRPr="008C5343">
              <w:t xml:space="preserve"> gyventojų perspėjimo ir informavimo tvarką</w:t>
            </w:r>
            <w:r w:rsidR="003D74F5">
              <w:t xml:space="preserve">, pažymėtina, kad siūloma nuostata nesiekiama reglamentuoti </w:t>
            </w:r>
            <w:r w:rsidR="003D74F5" w:rsidRPr="008C5343">
              <w:t>numa</w:t>
            </w:r>
            <w:r>
              <w:t>tytos</w:t>
            </w:r>
            <w:r w:rsidR="003D74F5" w:rsidRPr="008C5343">
              <w:t xml:space="preserve"> gyventojų </w:t>
            </w:r>
            <w:r w:rsidR="003D74F5">
              <w:t xml:space="preserve">perspėjimo ir informavimo tvarkos, o tik aiškiai nustatoma, kas yra atsakingas už </w:t>
            </w:r>
            <w:r w:rsidR="003D74F5" w:rsidRPr="008C5343">
              <w:t>gyventojų informavimo koordinavimą</w:t>
            </w:r>
            <w:r w:rsidR="003D74F5">
              <w:t>, g</w:t>
            </w:r>
            <w:r w:rsidR="003D74F5" w:rsidRPr="008C5343">
              <w:t>resiant ar susidarius ekstremaliajai situacijai</w:t>
            </w:r>
            <w:r w:rsidR="003D74F5">
              <w:t xml:space="preserve">. </w:t>
            </w:r>
            <w:r w:rsidR="003D74F5" w:rsidRPr="008C5343">
              <w:rPr>
                <w:b/>
              </w:rPr>
              <w:t xml:space="preserve"> </w:t>
            </w:r>
          </w:p>
        </w:tc>
      </w:tr>
      <w:tr w:rsidR="00C245B6" w:rsidRPr="00AA2663" w:rsidTr="003D74F5">
        <w:trPr>
          <w:trHeight w:val="495"/>
        </w:trPr>
        <w:tc>
          <w:tcPr>
            <w:tcW w:w="1560" w:type="dxa"/>
            <w:vMerge/>
          </w:tcPr>
          <w:p w:rsidR="00C245B6" w:rsidRDefault="00C245B6" w:rsidP="0067247D">
            <w:pPr>
              <w:pStyle w:val="Bodytext20"/>
              <w:shd w:val="clear" w:color="auto" w:fill="auto"/>
              <w:tabs>
                <w:tab w:val="left" w:pos="740"/>
              </w:tabs>
              <w:spacing w:before="0" w:after="0" w:line="240" w:lineRule="auto"/>
            </w:pPr>
          </w:p>
        </w:tc>
        <w:tc>
          <w:tcPr>
            <w:tcW w:w="6662" w:type="dxa"/>
          </w:tcPr>
          <w:p w:rsidR="00C245B6" w:rsidRPr="00C245B6" w:rsidRDefault="00C245B6" w:rsidP="00C245B6">
            <w:pPr>
              <w:pStyle w:val="Default"/>
              <w:jc w:val="both"/>
            </w:pPr>
            <w:r w:rsidRPr="00C245B6">
              <w:rPr>
                <w:bCs/>
              </w:rPr>
              <w:t xml:space="preserve">6. </w:t>
            </w:r>
            <w:r w:rsidRPr="00C245B6">
              <w:t xml:space="preserve"> Atsižvelgiant į tai, kad ekstremaliųjų situacijų atvejais gelbėjimo ir padarinių likvidavimo darbų operatyvumą įtakoja galimybė skubos tvarka patelkti minėtų darbų įgyvendinimui būtinus materialinius resursus, ekstremaliųjų situacijų priskyrimą atitinkamam lygiui turėtų įtakoti ir materialinių resursų patelkimo šaltinis. Atsižvelgiant į tai, Projekto 11 straipsnyje savivaldybės lygio ekstremaliąja situacija siūloma laikyti situaciją, kurios padarinių išplitimo ribos neviršija vienos savivaldybės teritorijos ribų, kurios padarinių likvidavimui pakanka savivaldybės galimų patelkti materialinių resursų ir kuri trunka ne ilgiau kaip 6 mėnesius. Atitinkamai valstybės lygio ekstremaliąja situacija siūloma laikyti situaciją, kurios padarinių išplitimo ribos viršija vienos savivaldybės teritorijos ribas, kurios padarinių likvidavimui reikalingi materialiniai resursai telkiami valstybės institucijų pagalba ir kuri trunka ilgiau kaip 6 mėnesius.</w:t>
            </w:r>
          </w:p>
          <w:p w:rsidR="00C245B6" w:rsidRPr="00C245B6" w:rsidRDefault="00C245B6" w:rsidP="00A134DF">
            <w:pPr>
              <w:pStyle w:val="Default"/>
              <w:jc w:val="both"/>
              <w:rPr>
                <w:bCs/>
              </w:rPr>
            </w:pPr>
            <w:r w:rsidRPr="00C245B6">
              <w:t>Atkreipiame dėmesį, kad Projekto 11 straipsnio nuostatos papildomai turėtų inicijuoti Civilinės saugos įstatymo 27 straipsnio nuostatų pakeitimą.</w:t>
            </w:r>
          </w:p>
        </w:tc>
        <w:tc>
          <w:tcPr>
            <w:tcW w:w="6946" w:type="dxa"/>
          </w:tcPr>
          <w:p w:rsidR="00C245B6" w:rsidRDefault="00C245B6" w:rsidP="00C245B6">
            <w:pPr>
              <w:pStyle w:val="Bodytext20"/>
              <w:shd w:val="clear" w:color="auto" w:fill="auto"/>
              <w:tabs>
                <w:tab w:val="left" w:pos="740"/>
              </w:tabs>
              <w:spacing w:before="0" w:after="0" w:line="240" w:lineRule="auto"/>
              <w:rPr>
                <w:b/>
              </w:rPr>
            </w:pPr>
            <w:r>
              <w:rPr>
                <w:b/>
              </w:rPr>
              <w:t>A</w:t>
            </w:r>
            <w:r w:rsidRPr="008C5343">
              <w:rPr>
                <w:b/>
              </w:rPr>
              <w:t>tsižvelgta</w:t>
            </w:r>
            <w:r>
              <w:rPr>
                <w:b/>
              </w:rPr>
              <w:t xml:space="preserve"> iš dalies.</w:t>
            </w:r>
          </w:p>
          <w:p w:rsidR="00C245B6" w:rsidRDefault="00C245B6" w:rsidP="00C245B6">
            <w:pPr>
              <w:pStyle w:val="Bodytext20"/>
              <w:tabs>
                <w:tab w:val="left" w:pos="740"/>
              </w:tabs>
              <w:spacing w:before="0" w:after="0" w:line="240" w:lineRule="auto"/>
            </w:pPr>
            <w:r>
              <w:t xml:space="preserve">Pritartina, kad </w:t>
            </w:r>
            <w:r w:rsidRPr="00C245B6">
              <w:t>galimybė patelkti minėt</w:t>
            </w:r>
            <w:r w:rsidR="00A134DF">
              <w:t>iems</w:t>
            </w:r>
            <w:r w:rsidRPr="00C245B6">
              <w:t xml:space="preserve"> darb</w:t>
            </w:r>
            <w:r w:rsidR="00A134DF">
              <w:t>ams</w:t>
            </w:r>
            <w:r w:rsidRPr="00C245B6">
              <w:t xml:space="preserve"> įgyvendin</w:t>
            </w:r>
            <w:r w:rsidR="00A134DF">
              <w:t>t</w:t>
            </w:r>
            <w:r w:rsidRPr="00C245B6">
              <w:t xml:space="preserve">i būtinus materialinius </w:t>
            </w:r>
            <w:r w:rsidR="00A134DF">
              <w:t>išteklius daro</w:t>
            </w:r>
            <w:r w:rsidRPr="00C245B6">
              <w:t xml:space="preserve"> įtak</w:t>
            </w:r>
            <w:r w:rsidR="00A134DF">
              <w:t>ą</w:t>
            </w:r>
            <w:r w:rsidRPr="00C245B6">
              <w:t xml:space="preserve"> gelbėjimo ir padarini</w:t>
            </w:r>
            <w:r>
              <w:t>ų likvidavimo darbų operatyvum</w:t>
            </w:r>
            <w:r w:rsidR="00A134DF">
              <w:t>ui</w:t>
            </w:r>
            <w:r>
              <w:t xml:space="preserve">, </w:t>
            </w:r>
            <w:r w:rsidR="00A134DF">
              <w:t>todėl</w:t>
            </w:r>
            <w:r>
              <w:t xml:space="preserve"> papildyti kriterijai. </w:t>
            </w:r>
            <w:r w:rsidR="00387E12">
              <w:t>P</w:t>
            </w:r>
            <w:r>
              <w:t>agal siūlomą formuluotę atitinkamo lygio ekstremali</w:t>
            </w:r>
            <w:r w:rsidR="00A134DF">
              <w:t>ajai</w:t>
            </w:r>
            <w:r>
              <w:t xml:space="preserve"> situacij</w:t>
            </w:r>
            <w:r w:rsidR="00A134DF">
              <w:t>ai</w:t>
            </w:r>
            <w:r>
              <w:t xml:space="preserve"> paskelb</w:t>
            </w:r>
            <w:r w:rsidR="00A134DF">
              <w:t>t</w:t>
            </w:r>
            <w:r>
              <w:t>i turėtų būti  visi nurodomi kriterijai, tačiau praktikoje gali būti  tik dalis jų, tad būtų neaišku, kokios lygio ekstremali</w:t>
            </w:r>
            <w:r w:rsidR="00387E12">
              <w:t>oji</w:t>
            </w:r>
            <w:r>
              <w:t xml:space="preserve"> situacija turėtų būti skelbiama</w:t>
            </w:r>
            <w:r w:rsidR="00387E12">
              <w:t>, t</w:t>
            </w:r>
            <w:r>
              <w:t>odėl</w:t>
            </w:r>
            <w:r w:rsidR="00387E12">
              <w:t>,</w:t>
            </w:r>
            <w:r>
              <w:t xml:space="preserve"> atsižvelgiant į pateiktą pasiūlymą</w:t>
            </w:r>
            <w:r w:rsidR="00387E12">
              <w:t>,</w:t>
            </w:r>
            <w:r>
              <w:t xml:space="preserve"> formuluotė papildomai patikslinta.</w:t>
            </w:r>
          </w:p>
          <w:p w:rsidR="00C245B6" w:rsidRPr="00251FE1" w:rsidRDefault="00C245B6" w:rsidP="00C245B6">
            <w:pPr>
              <w:pStyle w:val="Bodytext20"/>
              <w:tabs>
                <w:tab w:val="left" w:pos="740"/>
              </w:tabs>
              <w:spacing w:before="0" w:after="0" w:line="240" w:lineRule="auto"/>
              <w:rPr>
                <w:b/>
              </w:rPr>
            </w:pPr>
            <w:r>
              <w:t>Papildyta įstatymo 27 straipsnio pakeitimu.</w:t>
            </w:r>
          </w:p>
        </w:tc>
      </w:tr>
      <w:tr w:rsidR="00251FE1" w:rsidRPr="00AA2663" w:rsidTr="003D74F5">
        <w:trPr>
          <w:trHeight w:val="495"/>
        </w:trPr>
        <w:tc>
          <w:tcPr>
            <w:tcW w:w="1560" w:type="dxa"/>
            <w:vMerge/>
          </w:tcPr>
          <w:p w:rsidR="00251FE1" w:rsidRDefault="00251FE1" w:rsidP="0067247D">
            <w:pPr>
              <w:pStyle w:val="Bodytext20"/>
              <w:shd w:val="clear" w:color="auto" w:fill="auto"/>
              <w:tabs>
                <w:tab w:val="left" w:pos="740"/>
              </w:tabs>
              <w:spacing w:before="0" w:after="0" w:line="240" w:lineRule="auto"/>
            </w:pPr>
          </w:p>
        </w:tc>
        <w:tc>
          <w:tcPr>
            <w:tcW w:w="6662" w:type="dxa"/>
          </w:tcPr>
          <w:p w:rsidR="00251FE1" w:rsidRPr="008C5343" w:rsidRDefault="00251FE1" w:rsidP="007510E6">
            <w:pPr>
              <w:pStyle w:val="Betarp"/>
              <w:jc w:val="both"/>
              <w:rPr>
                <w:bCs/>
                <w:szCs w:val="24"/>
                <w:lang w:val="lt-LT"/>
              </w:rPr>
            </w:pPr>
            <w:r w:rsidRPr="00251FE1">
              <w:rPr>
                <w:bCs/>
                <w:szCs w:val="24"/>
                <w:lang w:val="lt-LT"/>
              </w:rPr>
              <w:t xml:space="preserve">8. Asmens ir visuomenės sveikatos priežiūros įstaigų ekstremaliųjų situacijų valdymo planų rengimui tiek sveikatos apsaugos ministro, tiek Priešgaisrinės apsaugos ir gelbėjimo departamento prie VRM </w:t>
            </w:r>
            <w:r w:rsidRPr="00251FE1">
              <w:rPr>
                <w:bCs/>
                <w:szCs w:val="24"/>
                <w:lang w:val="lt-LT"/>
              </w:rPr>
              <w:lastRenderedPageBreak/>
              <w:t>direktoriaus patvirtintomis rekomendacijomis keliami reikalavimai didina šioms įstaigoms administracinę naštą. Todėl siūloma atsisakyti Projekto 12 straipsnio 2 dalies nuostatos dėl minėtų planų rengimui Priešgaisrinės apsaugos ir gelbėjimo departamento prie VRM direktoriaus patvirtintų rekomendacijų taikymo, kadangi esminės šių rekomendacijų nuostatos yra įtvirtintos sveikatos apsaugos ministro patvirtintose rekomendacijose.</w:t>
            </w:r>
          </w:p>
        </w:tc>
        <w:tc>
          <w:tcPr>
            <w:tcW w:w="6946" w:type="dxa"/>
          </w:tcPr>
          <w:p w:rsidR="00251FE1" w:rsidRDefault="00251FE1" w:rsidP="003D74F5">
            <w:pPr>
              <w:pStyle w:val="Bodytext20"/>
              <w:tabs>
                <w:tab w:val="left" w:pos="740"/>
              </w:tabs>
              <w:spacing w:before="0" w:after="0" w:line="240" w:lineRule="auto"/>
              <w:rPr>
                <w:b/>
              </w:rPr>
            </w:pPr>
            <w:r w:rsidRPr="00251FE1">
              <w:rPr>
                <w:b/>
              </w:rPr>
              <w:lastRenderedPageBreak/>
              <w:t>Neatsižvelgta.</w:t>
            </w:r>
          </w:p>
          <w:p w:rsidR="00251FE1" w:rsidRPr="008C5343" w:rsidRDefault="00251FE1" w:rsidP="007510E6">
            <w:pPr>
              <w:pStyle w:val="Bodytext20"/>
              <w:tabs>
                <w:tab w:val="left" w:pos="740"/>
              </w:tabs>
              <w:spacing w:before="0" w:after="0" w:line="240" w:lineRule="auto"/>
              <w:rPr>
                <w:b/>
              </w:rPr>
            </w:pPr>
            <w:r>
              <w:rPr>
                <w:color w:val="000000"/>
              </w:rPr>
              <w:t xml:space="preserve">Pažymėtina, kad nemaža dalis </w:t>
            </w:r>
            <w:r w:rsidR="006A5158">
              <w:rPr>
                <w:color w:val="000000"/>
              </w:rPr>
              <w:t>a</w:t>
            </w:r>
            <w:r w:rsidRPr="001935FA">
              <w:rPr>
                <w:color w:val="000000"/>
              </w:rPr>
              <w:t>smens ir visuomen</w:t>
            </w:r>
            <w:r>
              <w:rPr>
                <w:color w:val="000000"/>
              </w:rPr>
              <w:t xml:space="preserve">ės sveikatos priežiūros įstaigų nėra pavaldžios </w:t>
            </w:r>
            <w:r w:rsidR="006A5158">
              <w:rPr>
                <w:color w:val="000000"/>
              </w:rPr>
              <w:t>sveikatos apsaugos ministrui, todėl</w:t>
            </w:r>
            <w:r w:rsidRPr="001935FA">
              <w:rPr>
                <w:color w:val="000000"/>
              </w:rPr>
              <w:t xml:space="preserve"> </w:t>
            </w:r>
            <w:r w:rsidR="006A5158">
              <w:rPr>
                <w:color w:val="000000"/>
              </w:rPr>
              <w:lastRenderedPageBreak/>
              <w:t>sveikatos apsaugos ministras</w:t>
            </w:r>
            <w:r w:rsidR="006A5158" w:rsidRPr="006A5158">
              <w:rPr>
                <w:color w:val="000000"/>
              </w:rPr>
              <w:t xml:space="preserve"> tvirt</w:t>
            </w:r>
            <w:r w:rsidR="006A5158">
              <w:rPr>
                <w:color w:val="000000"/>
              </w:rPr>
              <w:t>ina tik</w:t>
            </w:r>
            <w:r w:rsidR="006A5158" w:rsidRPr="006A5158">
              <w:rPr>
                <w:color w:val="000000"/>
              </w:rPr>
              <w:t xml:space="preserve"> rekomendacijas asmens ir visuomenės sveikatos priežiūros įstaig</w:t>
            </w:r>
            <w:r w:rsidR="006A5158">
              <w:rPr>
                <w:color w:val="000000"/>
              </w:rPr>
              <w:t xml:space="preserve">oms, kaip </w:t>
            </w:r>
            <w:r w:rsidRPr="001935FA">
              <w:rPr>
                <w:color w:val="000000"/>
              </w:rPr>
              <w:t>organizuoti savo veiklą susidarius ekstremaliajai situacijai</w:t>
            </w:r>
            <w:r w:rsidR="006A5158">
              <w:rPr>
                <w:color w:val="000000"/>
              </w:rPr>
              <w:t>. Išbraukus siūlomą nuostatą ne tik bus panaikintas teisinis pagrindas sveikatos apsaugos ministrui tvirtinti</w:t>
            </w:r>
            <w:r w:rsidR="006A5158" w:rsidRPr="006A5158">
              <w:rPr>
                <w:color w:val="000000"/>
              </w:rPr>
              <w:t xml:space="preserve"> </w:t>
            </w:r>
            <w:r w:rsidR="006A5158">
              <w:rPr>
                <w:color w:val="000000"/>
              </w:rPr>
              <w:t xml:space="preserve">minėtas rekomendacijas, bet ir išnyks labai svarbi </w:t>
            </w:r>
            <w:r w:rsidR="007510E6">
              <w:rPr>
                <w:color w:val="000000"/>
              </w:rPr>
              <w:t>teisinė</w:t>
            </w:r>
            <w:r w:rsidR="006A5158">
              <w:rPr>
                <w:color w:val="000000"/>
              </w:rPr>
              <w:t xml:space="preserve"> prievolė</w:t>
            </w:r>
            <w:r w:rsidR="006A5158" w:rsidRPr="006A5158">
              <w:rPr>
                <w:color w:val="000000"/>
              </w:rPr>
              <w:t xml:space="preserve"> asmens ir </w:t>
            </w:r>
            <w:r w:rsidR="006A5158">
              <w:rPr>
                <w:color w:val="000000"/>
              </w:rPr>
              <w:t xml:space="preserve">visuomenės sveikatos priežiūros </w:t>
            </w:r>
            <w:r w:rsidR="006A5158" w:rsidRPr="006A5158">
              <w:rPr>
                <w:color w:val="000000"/>
              </w:rPr>
              <w:t>įstaig</w:t>
            </w:r>
            <w:r w:rsidR="006A5158">
              <w:rPr>
                <w:color w:val="000000"/>
              </w:rPr>
              <w:t xml:space="preserve">oms </w:t>
            </w:r>
            <w:r w:rsidR="006A5158" w:rsidRPr="006A5158">
              <w:rPr>
                <w:color w:val="000000"/>
              </w:rPr>
              <w:t>būti pasirengusio</w:t>
            </w:r>
            <w:r w:rsidR="006A5158">
              <w:rPr>
                <w:color w:val="000000"/>
              </w:rPr>
              <w:t>m</w:t>
            </w:r>
            <w:r w:rsidR="006A5158" w:rsidRPr="006A5158">
              <w:rPr>
                <w:color w:val="000000"/>
              </w:rPr>
              <w:t>s organizuoti savo veiklą</w:t>
            </w:r>
            <w:r w:rsidR="006A5158">
              <w:rPr>
                <w:color w:val="000000"/>
              </w:rPr>
              <w:t xml:space="preserve"> </w:t>
            </w:r>
            <w:r w:rsidR="006A5158" w:rsidRPr="006A5158">
              <w:rPr>
                <w:color w:val="000000"/>
              </w:rPr>
              <w:t>susidarius ekstremaliajai situacijai</w:t>
            </w:r>
            <w:r w:rsidR="006A5158">
              <w:rPr>
                <w:color w:val="000000"/>
              </w:rPr>
              <w:t>.</w:t>
            </w:r>
          </w:p>
        </w:tc>
      </w:tr>
      <w:tr w:rsidR="00771FBD" w:rsidRPr="00AA2663" w:rsidTr="00EE3AB5">
        <w:trPr>
          <w:trHeight w:val="2520"/>
        </w:trPr>
        <w:tc>
          <w:tcPr>
            <w:tcW w:w="1560" w:type="dxa"/>
            <w:vMerge/>
          </w:tcPr>
          <w:p w:rsidR="00771FBD" w:rsidRDefault="00771FBD" w:rsidP="0067247D">
            <w:pPr>
              <w:pStyle w:val="Bodytext20"/>
              <w:shd w:val="clear" w:color="auto" w:fill="auto"/>
              <w:tabs>
                <w:tab w:val="left" w:pos="740"/>
              </w:tabs>
              <w:spacing w:before="0" w:after="0" w:line="240" w:lineRule="auto"/>
            </w:pPr>
          </w:p>
        </w:tc>
        <w:tc>
          <w:tcPr>
            <w:tcW w:w="6662" w:type="dxa"/>
          </w:tcPr>
          <w:p w:rsidR="00771FBD" w:rsidRPr="008C5343" w:rsidRDefault="00771FBD" w:rsidP="007510E6">
            <w:pPr>
              <w:pStyle w:val="Betarp"/>
              <w:jc w:val="both"/>
              <w:rPr>
                <w:bCs/>
                <w:szCs w:val="24"/>
                <w:lang w:val="lt-LT"/>
              </w:rPr>
            </w:pPr>
            <w:r>
              <w:rPr>
                <w:bCs/>
                <w:szCs w:val="24"/>
                <w:lang w:val="lt-LT"/>
              </w:rPr>
              <w:t xml:space="preserve">9. </w:t>
            </w:r>
            <w:r w:rsidRPr="002B2FB0">
              <w:rPr>
                <w:bCs/>
                <w:szCs w:val="24"/>
                <w:lang w:val="lt-LT"/>
              </w:rPr>
              <w:t>Projekto 13 straipsniu įtvirtinamas privalomumas kompensuoti išlaidas, susijusias su privalomų darbų atlikimu. Įvertinus tai, kad savivaldybėms ekstremaliųjų situacijų ir jų padarinių likvidavimui nėra skiriamos valstybės biudžeto lėšos, siekiant užtikrinti Projekto 13 straipsnio nuostatų įgyvendinimą, siūloma Projekto 14 straipsnyje vietoje nuostatos „Šių asmenų socialinių garantijų įgyvendinimui finansuoti gali būti naudojamos valstybės rezervo lėšos“ įtvirtinti nuostatą „Šių asmenų socialinių garantijų įgyvendinimas finansuojamas valstybės rezervo lėšomis“.</w:t>
            </w:r>
          </w:p>
        </w:tc>
        <w:tc>
          <w:tcPr>
            <w:tcW w:w="6946" w:type="dxa"/>
          </w:tcPr>
          <w:p w:rsidR="00771FBD" w:rsidRDefault="00771FBD" w:rsidP="002B2FB0">
            <w:pPr>
              <w:pStyle w:val="Bodytext20"/>
              <w:tabs>
                <w:tab w:val="left" w:pos="740"/>
              </w:tabs>
              <w:spacing w:before="0" w:after="0" w:line="240" w:lineRule="auto"/>
              <w:rPr>
                <w:b/>
              </w:rPr>
            </w:pPr>
            <w:r w:rsidRPr="002B2FB0">
              <w:rPr>
                <w:b/>
              </w:rPr>
              <w:t>Neatsižvelgta.</w:t>
            </w:r>
          </w:p>
          <w:p w:rsidR="00771FBD" w:rsidRDefault="00771FBD" w:rsidP="002B2FB0">
            <w:pPr>
              <w:pStyle w:val="Bodytext20"/>
              <w:tabs>
                <w:tab w:val="left" w:pos="740"/>
              </w:tabs>
              <w:spacing w:before="0" w:after="0" w:line="240" w:lineRule="auto"/>
            </w:pPr>
            <w:r w:rsidRPr="002B2FB0">
              <w:t>Atkreiptinas dėmesys, kad</w:t>
            </w:r>
            <w:r w:rsidR="007510E6">
              <w:t>,</w:t>
            </w:r>
            <w:r w:rsidRPr="002B2FB0">
              <w:t xml:space="preserve"> </w:t>
            </w:r>
            <w:r>
              <w:t xml:space="preserve">vadovaujantis Valstybės rezervo įstatymo 2 </w:t>
            </w:r>
            <w:r w:rsidRPr="002B2FB0">
              <w:t xml:space="preserve">straipsniu </w:t>
            </w:r>
            <w:r>
              <w:t xml:space="preserve">ir 13 straipsnio 1 dalimi, valstybės rezervo lėšos gali būti naudojamos </w:t>
            </w:r>
            <w:r w:rsidRPr="002B2FB0">
              <w:t>ekstremali</w:t>
            </w:r>
            <w:r w:rsidR="007510E6">
              <w:t>osioms</w:t>
            </w:r>
            <w:r w:rsidRPr="002B2FB0">
              <w:t xml:space="preserve"> situacij</w:t>
            </w:r>
            <w:r w:rsidR="007510E6">
              <w:t>oms</w:t>
            </w:r>
            <w:r w:rsidRPr="002B2FB0">
              <w:t xml:space="preserve"> ir jų padarini</w:t>
            </w:r>
            <w:r w:rsidR="007510E6">
              <w:t>ams</w:t>
            </w:r>
            <w:r w:rsidRPr="002B2FB0">
              <w:t xml:space="preserve"> likvid</w:t>
            </w:r>
            <w:r w:rsidR="007510E6">
              <w:t>uoti</w:t>
            </w:r>
            <w:r>
              <w:t>. Projekto 14 straipsniu teikto įstatymo 33 straipsnio pakeitimo, atsižvelgiant į projekto derinimo metu teiktas pastabas ir į tai, kad ši</w:t>
            </w:r>
            <w:r w:rsidR="007510E6">
              <w:t>am</w:t>
            </w:r>
            <w:r>
              <w:t xml:space="preserve"> klausim</w:t>
            </w:r>
            <w:r w:rsidR="007510E6">
              <w:t>ui</w:t>
            </w:r>
            <w:r>
              <w:t xml:space="preserve"> tinkama</w:t>
            </w:r>
            <w:r w:rsidR="007510E6">
              <w:t>i</w:t>
            </w:r>
            <w:r>
              <w:t xml:space="preserve"> reglament</w:t>
            </w:r>
            <w:r w:rsidR="007510E6">
              <w:t>uoti</w:t>
            </w:r>
            <w:r>
              <w:t xml:space="preserve"> reikalinga išsami analizė ir laikas, atsisakyta. </w:t>
            </w:r>
          </w:p>
          <w:p w:rsidR="00771FBD" w:rsidRPr="00771FBD" w:rsidRDefault="00771FBD" w:rsidP="002B2FB0">
            <w:pPr>
              <w:pStyle w:val="Bodytext20"/>
              <w:tabs>
                <w:tab w:val="left" w:pos="740"/>
              </w:tabs>
              <w:spacing w:before="0" w:after="0" w:line="240" w:lineRule="auto"/>
              <w:rPr>
                <w:b/>
              </w:rPr>
            </w:pPr>
          </w:p>
        </w:tc>
      </w:tr>
      <w:tr w:rsidR="00771FBD" w:rsidRPr="00AA2663" w:rsidTr="00F57A6F">
        <w:trPr>
          <w:trHeight w:val="634"/>
        </w:trPr>
        <w:tc>
          <w:tcPr>
            <w:tcW w:w="1560" w:type="dxa"/>
            <w:vMerge/>
          </w:tcPr>
          <w:p w:rsidR="00771FBD" w:rsidRDefault="00771FBD" w:rsidP="0067247D">
            <w:pPr>
              <w:pStyle w:val="Bodytext20"/>
              <w:shd w:val="clear" w:color="auto" w:fill="auto"/>
              <w:tabs>
                <w:tab w:val="left" w:pos="740"/>
              </w:tabs>
              <w:spacing w:before="0" w:after="0" w:line="240" w:lineRule="auto"/>
            </w:pPr>
          </w:p>
        </w:tc>
        <w:tc>
          <w:tcPr>
            <w:tcW w:w="6662" w:type="dxa"/>
          </w:tcPr>
          <w:p w:rsidR="00771FBD" w:rsidRDefault="00771FBD" w:rsidP="00771FBD">
            <w:pPr>
              <w:pStyle w:val="Betarp"/>
              <w:jc w:val="both"/>
              <w:rPr>
                <w:bCs/>
                <w:szCs w:val="24"/>
                <w:lang w:val="lt-LT"/>
              </w:rPr>
            </w:pPr>
            <w:r>
              <w:rPr>
                <w:bCs/>
                <w:szCs w:val="24"/>
                <w:lang w:val="lt-LT"/>
              </w:rPr>
              <w:t>11.</w:t>
            </w:r>
            <w:r w:rsidRPr="00771FBD">
              <w:rPr>
                <w:bCs/>
                <w:szCs w:val="24"/>
                <w:lang w:val="lt-LT"/>
              </w:rPr>
              <w:t>8. Pripažinti netekusiais galios 20 ir 21 straipsnius, taip pat 9 straipsnio 2 dalį.</w:t>
            </w:r>
          </w:p>
        </w:tc>
        <w:tc>
          <w:tcPr>
            <w:tcW w:w="6946" w:type="dxa"/>
          </w:tcPr>
          <w:p w:rsidR="00771FBD" w:rsidRDefault="00771FBD" w:rsidP="00771FBD">
            <w:pPr>
              <w:pStyle w:val="Bodytext20"/>
              <w:tabs>
                <w:tab w:val="left" w:pos="740"/>
              </w:tabs>
              <w:spacing w:before="0" w:after="0" w:line="240" w:lineRule="auto"/>
              <w:rPr>
                <w:b/>
              </w:rPr>
            </w:pPr>
            <w:r w:rsidRPr="00771FBD">
              <w:rPr>
                <w:b/>
              </w:rPr>
              <w:t>Neatsižvelgta.</w:t>
            </w:r>
          </w:p>
          <w:p w:rsidR="00771FBD" w:rsidRDefault="00771FBD" w:rsidP="00771FBD">
            <w:pPr>
              <w:pStyle w:val="Bodytext20"/>
              <w:tabs>
                <w:tab w:val="left" w:pos="740"/>
              </w:tabs>
              <w:spacing w:before="0" w:after="0" w:line="240" w:lineRule="auto"/>
            </w:pPr>
            <w:r>
              <w:t>Pastabos rengėjas nepateikė jokių argumentų, kodėl siūlo pripažinti netekusiais galios Civilinės saugos įstatymo 20 ir 21 straipsnius, kurie yra labai svarbūs civilinės saugos sistemos parengčiai.</w:t>
            </w:r>
          </w:p>
          <w:p w:rsidR="00771FBD" w:rsidRPr="00771FBD" w:rsidRDefault="00771FBD" w:rsidP="00771FBD">
            <w:pPr>
              <w:pStyle w:val="Bodytext20"/>
              <w:tabs>
                <w:tab w:val="left" w:pos="740"/>
              </w:tabs>
              <w:spacing w:before="0" w:after="0" w:line="240" w:lineRule="auto"/>
            </w:pPr>
            <w:r>
              <w:t xml:space="preserve">Pažymėtina, kad </w:t>
            </w:r>
            <w:r w:rsidRPr="00771FBD">
              <w:t>Civilinės saugos įstatymo</w:t>
            </w:r>
            <w:r>
              <w:t xml:space="preserve"> 9 straipsnyje nėra 2 dalies.</w:t>
            </w:r>
          </w:p>
        </w:tc>
      </w:tr>
      <w:tr w:rsidR="00EA63EF" w:rsidRPr="00AA2663" w:rsidTr="00F57A6F">
        <w:tc>
          <w:tcPr>
            <w:tcW w:w="1560" w:type="dxa"/>
          </w:tcPr>
          <w:p w:rsidR="00DD2F37" w:rsidRPr="002E6F1A" w:rsidRDefault="00DD2F37" w:rsidP="00DD2F37">
            <w:pPr>
              <w:pStyle w:val="Preformatted"/>
              <w:rPr>
                <w:rFonts w:ascii="Times New Roman" w:hAnsi="Times New Roman"/>
                <w:sz w:val="24"/>
                <w:szCs w:val="24"/>
              </w:rPr>
            </w:pPr>
            <w:r>
              <w:rPr>
                <w:rFonts w:ascii="Times New Roman" w:hAnsi="Times New Roman"/>
                <w:sz w:val="24"/>
                <w:szCs w:val="24"/>
              </w:rPr>
              <w:t xml:space="preserve">Ekonomikos ir inovacijų </w:t>
            </w:r>
            <w:r w:rsidRPr="002E6F1A">
              <w:rPr>
                <w:rFonts w:ascii="Times New Roman" w:hAnsi="Times New Roman"/>
                <w:sz w:val="24"/>
                <w:szCs w:val="24"/>
              </w:rPr>
              <w:t>ministerijos</w:t>
            </w:r>
          </w:p>
          <w:p w:rsidR="00EA63EF" w:rsidRPr="00AA2663" w:rsidRDefault="00DD2F37" w:rsidP="00DD2F37">
            <w:pPr>
              <w:pStyle w:val="Bodytext20"/>
              <w:shd w:val="clear" w:color="auto" w:fill="auto"/>
              <w:tabs>
                <w:tab w:val="left" w:pos="740"/>
              </w:tabs>
              <w:spacing w:before="0" w:after="0" w:line="240" w:lineRule="auto"/>
            </w:pPr>
            <w:r w:rsidRPr="00DD2F37">
              <w:t>2020-01-09 raštas Nr. 3-87</w:t>
            </w:r>
          </w:p>
        </w:tc>
        <w:tc>
          <w:tcPr>
            <w:tcW w:w="6662" w:type="dxa"/>
          </w:tcPr>
          <w:p w:rsidR="00EA63EF" w:rsidRPr="00AA2663" w:rsidRDefault="00E40BFC" w:rsidP="009B3F87">
            <w:pPr>
              <w:jc w:val="both"/>
              <w:rPr>
                <w:bCs/>
                <w:szCs w:val="24"/>
              </w:rPr>
            </w:pPr>
            <w:r w:rsidRPr="00E40BFC">
              <w:rPr>
                <w:rFonts w:ascii="TimesNewRomanPSMT" w:hAnsi="TimesNewRomanPSMT" w:cs="TimesNewRomanPSMT"/>
                <w:szCs w:val="24"/>
                <w:lang w:eastAsia="lt-LT"/>
              </w:rPr>
              <w:t>Valstybės rezervo įstatymo 4 straipsnio 2 dalyje yra nustatyta, kad v</w:t>
            </w:r>
            <w:r w:rsidRPr="00E40BFC">
              <w:t xml:space="preserve">alstybės rezervo lėšos yra skirtos materialiniams ištekliams įsigyti, gelbėjimo ir atstatymo darbams ir kitoms reikmėms finansuoti ekstremaliųjų situacijų ar krizės metu, jų padariniams likviduoti, paskelbus mobilizaciją, įvedus nepaprastąją ar karo padėtį ir kitais šio įstatymo nustatytais atvejais. Siekdami visus valstybės rezervo naudojimo atvejus reglamentuoti viename </w:t>
            </w:r>
            <w:r w:rsidRPr="00E40BFC">
              <w:rPr>
                <w:color w:val="000000"/>
              </w:rPr>
              <w:t>įstatyme</w:t>
            </w:r>
            <w:r w:rsidRPr="00E40BFC">
              <w:t>, manome, kad būtų tikslinga vietoje Civilinės saugos įstatymo projekte nurodyto 14 straipsnio keisti Valstybės rezervo įstatymo                    4</w:t>
            </w:r>
            <w:r w:rsidR="009B3F87">
              <w:t xml:space="preserve"> </w:t>
            </w:r>
            <w:r w:rsidRPr="00E40BFC">
              <w:t>straipsnio 2 dalį – numatyti, kokiems asmenims ir kokioms socialinėms garantijoms finansuoti gali būti naudojamos valstybės rezervo lėšos.</w:t>
            </w:r>
          </w:p>
        </w:tc>
        <w:tc>
          <w:tcPr>
            <w:tcW w:w="6946" w:type="dxa"/>
          </w:tcPr>
          <w:p w:rsidR="00E40BFC" w:rsidRDefault="00E40BFC" w:rsidP="00E40BFC">
            <w:pPr>
              <w:pStyle w:val="Bodytext20"/>
              <w:tabs>
                <w:tab w:val="left" w:pos="740"/>
              </w:tabs>
              <w:spacing w:before="0" w:after="0" w:line="240" w:lineRule="auto"/>
              <w:rPr>
                <w:b/>
              </w:rPr>
            </w:pPr>
            <w:r w:rsidRPr="00771FBD">
              <w:rPr>
                <w:b/>
              </w:rPr>
              <w:t>Neatsižvelgta.</w:t>
            </w:r>
          </w:p>
          <w:p w:rsidR="00EA63EF" w:rsidRPr="00E40BFC" w:rsidRDefault="00423F61" w:rsidP="0067247D">
            <w:pPr>
              <w:pStyle w:val="Bodytext20"/>
              <w:shd w:val="clear" w:color="auto" w:fill="auto"/>
              <w:tabs>
                <w:tab w:val="left" w:pos="740"/>
              </w:tabs>
              <w:spacing w:before="0" w:after="0" w:line="240" w:lineRule="auto"/>
            </w:pPr>
            <w:r>
              <w:t>Žr. Finansų ministerijos pastabos įvertinimą.</w:t>
            </w:r>
            <w:r w:rsidR="00E40BFC" w:rsidRPr="00E40BFC">
              <w:t xml:space="preserve">  </w:t>
            </w:r>
          </w:p>
        </w:tc>
      </w:tr>
      <w:tr w:rsidR="00E40BFC" w:rsidTr="00F57A6F">
        <w:tc>
          <w:tcPr>
            <w:tcW w:w="1560" w:type="dxa"/>
          </w:tcPr>
          <w:p w:rsidR="00E40BFC" w:rsidRPr="00E40BFC" w:rsidRDefault="00E40BFC" w:rsidP="00E40BFC">
            <w:pPr>
              <w:jc w:val="both"/>
              <w:rPr>
                <w:szCs w:val="24"/>
              </w:rPr>
            </w:pPr>
            <w:r>
              <w:rPr>
                <w:szCs w:val="24"/>
              </w:rPr>
              <w:lastRenderedPageBreak/>
              <w:t>Susisiekimo</w:t>
            </w:r>
            <w:r w:rsidRPr="00E40BFC">
              <w:rPr>
                <w:szCs w:val="24"/>
              </w:rPr>
              <w:t xml:space="preserve"> ministerijos</w:t>
            </w:r>
          </w:p>
          <w:p w:rsidR="00E40BFC" w:rsidRDefault="00E40BFC" w:rsidP="00E40BFC">
            <w:pPr>
              <w:jc w:val="both"/>
              <w:rPr>
                <w:szCs w:val="24"/>
              </w:rPr>
            </w:pPr>
            <w:r>
              <w:rPr>
                <w:szCs w:val="24"/>
              </w:rPr>
              <w:t>2019-12-12</w:t>
            </w:r>
            <w:r w:rsidR="00AF0E16">
              <w:rPr>
                <w:szCs w:val="24"/>
              </w:rPr>
              <w:t xml:space="preserve"> raštas Nr. </w:t>
            </w:r>
            <w:r>
              <w:rPr>
                <w:szCs w:val="24"/>
              </w:rPr>
              <w:t>2-8878</w:t>
            </w:r>
          </w:p>
        </w:tc>
        <w:tc>
          <w:tcPr>
            <w:tcW w:w="6662" w:type="dxa"/>
          </w:tcPr>
          <w:p w:rsidR="00E40BFC" w:rsidRDefault="00E40BFC" w:rsidP="003D5F05">
            <w:pPr>
              <w:autoSpaceDE w:val="0"/>
              <w:autoSpaceDN w:val="0"/>
              <w:adjustRightInd w:val="0"/>
              <w:jc w:val="both"/>
              <w:rPr>
                <w:rFonts w:eastAsiaTheme="minorHAnsi"/>
                <w:szCs w:val="24"/>
              </w:rPr>
            </w:pPr>
            <w:r>
              <w:rPr>
                <w:rFonts w:eastAsiaTheme="minorHAnsi"/>
                <w:szCs w:val="24"/>
              </w:rPr>
              <w:t>Taip pat atkreipiame Jūsų dėmesį į tai, kad tiek galiojančiame Įstatyme tiek ir teikiamame projekte yra gana padrikai išdėstyto nuostatos, susijusios su ūkio subjektų funkcijomis, pareigomis ir atsakomybe bei atsiskaitomybe. Nėra pakankamai aišku kieno kompetencijai priskiriama šių ūkio</w:t>
            </w:r>
          </w:p>
          <w:p w:rsidR="00E40BFC" w:rsidRDefault="00E40BFC" w:rsidP="003D5F05">
            <w:pPr>
              <w:autoSpaceDE w:val="0"/>
              <w:autoSpaceDN w:val="0"/>
              <w:adjustRightInd w:val="0"/>
              <w:jc w:val="both"/>
              <w:rPr>
                <w:szCs w:val="24"/>
              </w:rPr>
            </w:pPr>
            <w:r>
              <w:rPr>
                <w:rFonts w:eastAsiaTheme="minorHAnsi"/>
                <w:szCs w:val="24"/>
              </w:rPr>
              <w:t>subjektų ekstremaliųjų situacijų prevencijos ir valdymo planavimo valstybinė kontrolė, persipina atskirų ministrų reguliavimo srities ūkio subjektų ir savivaldybėse esančių ūkio subjektų reguliavimas ir kontrolė. Vertinant teritoriniu principu visi ministrų reguliavimo srities ūkio subjektai yra kokios nors savivaldybės kompetencijoje, todėl tampa neaišku kokios nuostatos dėl ekstremaliųjų situacijų prevencijos ir valdymo planavimo jiems turi būti taikomos. Siūlome projektu patikslinti Įstatymo nuostatas, kad ūkio subjektų atsakomybė ekstremaliųjų situacijų prevencijos ir valdymo planavime bei šio proceso kontrolė būtų traktuotina vienareikšmiškai.</w:t>
            </w:r>
          </w:p>
        </w:tc>
        <w:tc>
          <w:tcPr>
            <w:tcW w:w="6946" w:type="dxa"/>
          </w:tcPr>
          <w:p w:rsidR="00E40BFC" w:rsidRDefault="00E40BFC" w:rsidP="00E40BFC">
            <w:pPr>
              <w:pStyle w:val="Bodytext20"/>
              <w:tabs>
                <w:tab w:val="left" w:pos="740"/>
              </w:tabs>
              <w:spacing w:before="0" w:after="0" w:line="240" w:lineRule="auto"/>
              <w:rPr>
                <w:b/>
              </w:rPr>
            </w:pPr>
            <w:r w:rsidRPr="00771FBD">
              <w:rPr>
                <w:b/>
              </w:rPr>
              <w:t>Neatsižvelgta.</w:t>
            </w:r>
          </w:p>
          <w:p w:rsidR="00030215" w:rsidRDefault="00E40BFC" w:rsidP="00030215">
            <w:pPr>
              <w:jc w:val="both"/>
              <w:rPr>
                <w:szCs w:val="24"/>
              </w:rPr>
            </w:pPr>
            <w:r>
              <w:rPr>
                <w:szCs w:val="24"/>
              </w:rPr>
              <w:t xml:space="preserve">Ūkio subjektų funkcijos, pareigos ir atsakomybė reglamentuota </w:t>
            </w:r>
            <w:r w:rsidRPr="00E40BFC">
              <w:rPr>
                <w:szCs w:val="24"/>
              </w:rPr>
              <w:t>Civilinės saugos įstatymo</w:t>
            </w:r>
            <w:r>
              <w:rPr>
                <w:szCs w:val="24"/>
              </w:rPr>
              <w:t xml:space="preserve"> 16</w:t>
            </w:r>
            <w:r w:rsidRPr="00E40BFC">
              <w:rPr>
                <w:szCs w:val="24"/>
              </w:rPr>
              <w:t xml:space="preserve"> straipsnyje</w:t>
            </w:r>
            <w:r>
              <w:rPr>
                <w:szCs w:val="24"/>
              </w:rPr>
              <w:t xml:space="preserve">. </w:t>
            </w:r>
            <w:r w:rsidR="00030215">
              <w:rPr>
                <w:szCs w:val="24"/>
              </w:rPr>
              <w:t>Ū</w:t>
            </w:r>
            <w:r w:rsidR="00030215" w:rsidRPr="00030215">
              <w:rPr>
                <w:szCs w:val="24"/>
              </w:rPr>
              <w:t>kio</w:t>
            </w:r>
            <w:r w:rsidR="00030215">
              <w:rPr>
                <w:szCs w:val="24"/>
              </w:rPr>
              <w:t xml:space="preserve"> </w:t>
            </w:r>
            <w:r w:rsidR="00030215" w:rsidRPr="00030215">
              <w:rPr>
                <w:szCs w:val="24"/>
              </w:rPr>
              <w:t>subjektų ekstremaliųjų situacijų prevencijos ir valdymo planavimo valstybinė kontrolė</w:t>
            </w:r>
            <w:r w:rsidR="00030215">
              <w:rPr>
                <w:szCs w:val="24"/>
              </w:rPr>
              <w:t>, vadovaujantis Civilinės saugos įstatymo 12 straipsnio 2 dalies 8 ir 9 punkt</w:t>
            </w:r>
            <w:r w:rsidR="003D5F05">
              <w:rPr>
                <w:szCs w:val="24"/>
              </w:rPr>
              <w:t>ais,</w:t>
            </w:r>
            <w:r w:rsidR="00030215">
              <w:rPr>
                <w:szCs w:val="24"/>
              </w:rPr>
              <w:t xml:space="preserve"> yra priskirta Priešgaisrinės apsaugos ir gelbėjimo departamentui prie VRM.</w:t>
            </w:r>
          </w:p>
          <w:p w:rsidR="00E40BFC" w:rsidRDefault="00030215" w:rsidP="003D5F05">
            <w:pPr>
              <w:jc w:val="both"/>
              <w:rPr>
                <w:szCs w:val="24"/>
              </w:rPr>
            </w:pPr>
            <w:r>
              <w:rPr>
                <w:szCs w:val="24"/>
              </w:rPr>
              <w:t>Iš pateiktos pastabos neaišku (nepateikt</w:t>
            </w:r>
            <w:r w:rsidR="003D5F05">
              <w:rPr>
                <w:szCs w:val="24"/>
              </w:rPr>
              <w:t>a</w:t>
            </w:r>
            <w:r>
              <w:rPr>
                <w:szCs w:val="24"/>
              </w:rPr>
              <w:t xml:space="preserve"> joki</w:t>
            </w:r>
            <w:r w:rsidR="003D5F05">
              <w:rPr>
                <w:szCs w:val="24"/>
              </w:rPr>
              <w:t xml:space="preserve">ų </w:t>
            </w:r>
            <w:r>
              <w:rPr>
                <w:szCs w:val="24"/>
              </w:rPr>
              <w:t>pasiūlym</w:t>
            </w:r>
            <w:r w:rsidR="003D5F05">
              <w:rPr>
                <w:szCs w:val="24"/>
              </w:rPr>
              <w:t>ų</w:t>
            </w:r>
            <w:r>
              <w:rPr>
                <w:szCs w:val="24"/>
              </w:rPr>
              <w:t xml:space="preserve">), kaip siūloma taisyti </w:t>
            </w:r>
            <w:r w:rsidRPr="00030215">
              <w:rPr>
                <w:szCs w:val="24"/>
              </w:rPr>
              <w:t>Civilinės saugos įstatymo</w:t>
            </w:r>
            <w:r>
              <w:rPr>
                <w:szCs w:val="24"/>
              </w:rPr>
              <w:t xml:space="preserve"> nuostatas, kad </w:t>
            </w:r>
            <w:r w:rsidRPr="00030215">
              <w:rPr>
                <w:szCs w:val="24"/>
              </w:rPr>
              <w:t>ūkio subjektų atsakomybė</w:t>
            </w:r>
            <w:r w:rsidR="003D5F05">
              <w:rPr>
                <w:szCs w:val="24"/>
              </w:rPr>
              <w:t>, planuojant</w:t>
            </w:r>
            <w:r w:rsidRPr="00030215">
              <w:rPr>
                <w:szCs w:val="24"/>
              </w:rPr>
              <w:t xml:space="preserve"> ekstremaliųjų situacijų prevencij</w:t>
            </w:r>
            <w:r w:rsidR="003D5F05">
              <w:rPr>
                <w:szCs w:val="24"/>
              </w:rPr>
              <w:t>ą</w:t>
            </w:r>
            <w:r w:rsidRPr="00030215">
              <w:rPr>
                <w:szCs w:val="24"/>
              </w:rPr>
              <w:t xml:space="preserve"> ir valdym</w:t>
            </w:r>
            <w:r w:rsidR="003D5F05">
              <w:rPr>
                <w:szCs w:val="24"/>
              </w:rPr>
              <w:t>ą,</w:t>
            </w:r>
            <w:r w:rsidRPr="00030215">
              <w:rPr>
                <w:szCs w:val="24"/>
              </w:rPr>
              <w:t xml:space="preserve"> bei šio proceso kontrolė būtų traktuotina vienareikšmiškai</w:t>
            </w:r>
            <w:r>
              <w:rPr>
                <w:szCs w:val="24"/>
              </w:rPr>
              <w:t>.</w:t>
            </w:r>
            <w:r w:rsidR="00AF0E16">
              <w:rPr>
                <w:szCs w:val="24"/>
              </w:rPr>
              <w:t xml:space="preserve"> </w:t>
            </w:r>
          </w:p>
        </w:tc>
      </w:tr>
      <w:tr w:rsidR="00E40BFC" w:rsidTr="00F57A6F">
        <w:tc>
          <w:tcPr>
            <w:tcW w:w="1560" w:type="dxa"/>
          </w:tcPr>
          <w:p w:rsidR="00E40BFC" w:rsidRDefault="00EE3AB5" w:rsidP="00017C49">
            <w:pPr>
              <w:jc w:val="both"/>
              <w:rPr>
                <w:szCs w:val="24"/>
              </w:rPr>
            </w:pPr>
            <w:r>
              <w:rPr>
                <w:szCs w:val="24"/>
              </w:rPr>
              <w:t>Žemės ūkio ministerijos</w:t>
            </w:r>
            <w:r w:rsidR="0077749A">
              <w:rPr>
                <w:szCs w:val="24"/>
              </w:rPr>
              <w:t xml:space="preserve"> 2019–12–17 raštas Nr.</w:t>
            </w:r>
            <w:r w:rsidR="0077749A">
              <w:t xml:space="preserve"> </w:t>
            </w:r>
            <w:r w:rsidR="0077749A" w:rsidRPr="0077749A">
              <w:rPr>
                <w:szCs w:val="24"/>
              </w:rPr>
              <w:t>2D-3848 (5.44 E)</w:t>
            </w:r>
          </w:p>
        </w:tc>
        <w:tc>
          <w:tcPr>
            <w:tcW w:w="6662" w:type="dxa"/>
          </w:tcPr>
          <w:p w:rsidR="00EE3AB5" w:rsidRPr="00EE3AB5" w:rsidRDefault="00EE3AB5" w:rsidP="00EE3AB5">
            <w:pPr>
              <w:jc w:val="both"/>
              <w:rPr>
                <w:szCs w:val="24"/>
              </w:rPr>
            </w:pPr>
            <w:r w:rsidRPr="00EE3AB5">
              <w:rPr>
                <w:szCs w:val="24"/>
              </w:rPr>
              <w:t xml:space="preserve">Atsižvelgdami į 2011 m. gruodžio 15 d. Lietuvos Respublikos valstybės informacinių išteklių valdymo įstatymo Nr. XI-1807 23 straipsnio 2 dalies nuostatas siūlome pateikto derinti Civilinės saugos įstatymo Nr. VIII-971 2, 12, 13, 14, 15, 16, </w:t>
            </w:r>
            <w:bookmarkStart w:id="2" w:name="_GoBack"/>
            <w:bookmarkEnd w:id="2"/>
            <w:r w:rsidRPr="00EE3AB5">
              <w:rPr>
                <w:szCs w:val="24"/>
              </w:rPr>
              <w:t>18, 19, 22, 25, 26, 28, 31 ir 33 straipsnių ir priedo pakeitimo įstatymo projekto 10 straipsniu keičiamą 25 straipsnio 3 dalį išdėstyti taip:</w:t>
            </w:r>
          </w:p>
          <w:p w:rsidR="00E40BFC" w:rsidRDefault="00EE3AB5" w:rsidP="00017C49">
            <w:pPr>
              <w:jc w:val="both"/>
              <w:rPr>
                <w:szCs w:val="24"/>
              </w:rPr>
            </w:pPr>
            <w:r w:rsidRPr="00EE3AB5">
              <w:rPr>
                <w:szCs w:val="24"/>
              </w:rPr>
              <w:t>„3. Valstybinės reikšmės ir pavojingų objektų registro valdytojas yra Lietuvos Respublikos Vidaus reikalų ministerija, šio registro tvarkytojas – Priešgaisrinės apsaugos ir gelbėjimo departamentas prie Lietuvos Respublikos Vidaus reikalų ministerijos.“</w:t>
            </w:r>
          </w:p>
        </w:tc>
        <w:tc>
          <w:tcPr>
            <w:tcW w:w="6946" w:type="dxa"/>
          </w:tcPr>
          <w:p w:rsidR="00EE3AB5" w:rsidRPr="00EE3AB5" w:rsidRDefault="00EE3AB5" w:rsidP="00EE3AB5">
            <w:pPr>
              <w:jc w:val="both"/>
              <w:rPr>
                <w:b/>
                <w:szCs w:val="24"/>
              </w:rPr>
            </w:pPr>
            <w:r w:rsidRPr="00EE3AB5">
              <w:rPr>
                <w:b/>
                <w:szCs w:val="24"/>
              </w:rPr>
              <w:t>Neatsižvelgta.</w:t>
            </w:r>
          </w:p>
          <w:p w:rsidR="00E40BFC" w:rsidRDefault="00017C49" w:rsidP="00EE3AB5">
            <w:pPr>
              <w:jc w:val="both"/>
              <w:rPr>
                <w:szCs w:val="24"/>
              </w:rPr>
            </w:pPr>
            <w:r>
              <w:rPr>
                <w:szCs w:val="24"/>
              </w:rPr>
              <w:t xml:space="preserve">Pagal </w:t>
            </w:r>
            <w:r w:rsidR="00EE3AB5" w:rsidRPr="00EE3AB5">
              <w:rPr>
                <w:szCs w:val="24"/>
              </w:rPr>
              <w:t>Valstybės informacinių išteklių valdymo įstatymo 50 straipsnio 1 dalį šio įstatymo 23 straipsnis taikomas tik po šio įstatymo įsigaliojimo steigiamiems registrams. Tad šiuo atveju ši Valstybės informacinių išteklių valdymo įstatymo nuostata netaikytina. Šiuo metu registro valdytojo keitimas nenumatomas.</w:t>
            </w:r>
          </w:p>
        </w:tc>
      </w:tr>
    </w:tbl>
    <w:p w:rsidR="00E05A7B" w:rsidRPr="00AA2663" w:rsidRDefault="00E05A7B" w:rsidP="00966562">
      <w:pPr>
        <w:jc w:val="center"/>
        <w:rPr>
          <w:szCs w:val="24"/>
        </w:rPr>
      </w:pPr>
    </w:p>
    <w:p w:rsidR="002E2DE6" w:rsidRPr="00AA2663" w:rsidRDefault="00966562" w:rsidP="00966562">
      <w:pPr>
        <w:jc w:val="center"/>
        <w:rPr>
          <w:szCs w:val="24"/>
        </w:rPr>
      </w:pPr>
      <w:r w:rsidRPr="00AA2663">
        <w:rPr>
          <w:szCs w:val="24"/>
        </w:rPr>
        <w:t>___________________________________________________</w:t>
      </w:r>
    </w:p>
    <w:sectPr w:rsidR="002E2DE6" w:rsidRPr="00AA2663" w:rsidSect="0067247D">
      <w:headerReference w:type="default" r:id="rId8"/>
      <w:pgSz w:w="16838" w:h="11906" w:orient="landscape" w:code="9"/>
      <w:pgMar w:top="153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D2F" w:rsidRDefault="00030D2F" w:rsidP="00FE70B6">
      <w:r>
        <w:separator/>
      </w:r>
    </w:p>
  </w:endnote>
  <w:endnote w:type="continuationSeparator" w:id="0">
    <w:p w:rsidR="00030D2F" w:rsidRDefault="00030D2F" w:rsidP="00F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D2F" w:rsidRDefault="00030D2F" w:rsidP="00FE70B6">
      <w:r>
        <w:separator/>
      </w:r>
    </w:p>
  </w:footnote>
  <w:footnote w:type="continuationSeparator" w:id="0">
    <w:p w:rsidR="00030D2F" w:rsidRDefault="00030D2F" w:rsidP="00FE7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153240"/>
      <w:docPartObj>
        <w:docPartGallery w:val="Page Numbers (Top of Page)"/>
        <w:docPartUnique/>
      </w:docPartObj>
    </w:sdtPr>
    <w:sdtEndPr/>
    <w:sdtContent>
      <w:p w:rsidR="00FE70B6" w:rsidRDefault="00FE70B6">
        <w:pPr>
          <w:pStyle w:val="Antrats"/>
          <w:jc w:val="center"/>
        </w:pPr>
        <w:r>
          <w:fldChar w:fldCharType="begin"/>
        </w:r>
        <w:r>
          <w:instrText>PAGE   \* MERGEFORMAT</w:instrText>
        </w:r>
        <w:r>
          <w:fldChar w:fldCharType="separate"/>
        </w:r>
        <w:r w:rsidR="009B3F87">
          <w:rPr>
            <w:noProof/>
          </w:rPr>
          <w:t>6</w:t>
        </w:r>
        <w:r>
          <w:fldChar w:fldCharType="end"/>
        </w:r>
      </w:p>
    </w:sdtContent>
  </w:sdt>
  <w:p w:rsidR="00FE70B6" w:rsidRDefault="00FE70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A0740"/>
    <w:multiLevelType w:val="hybridMultilevel"/>
    <w:tmpl w:val="194601E0"/>
    <w:lvl w:ilvl="0" w:tplc="62F23D54">
      <w:start w:val="1"/>
      <w:numFmt w:val="decimal"/>
      <w:lvlText w:val="%1."/>
      <w:lvlJc w:val="left"/>
      <w:pPr>
        <w:ind w:left="927"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6153416"/>
    <w:multiLevelType w:val="multilevel"/>
    <w:tmpl w:val="EA905782"/>
    <w:lvl w:ilvl="0">
      <w:start w:val="1"/>
      <w:numFmt w:val="decimal"/>
      <w:lvlText w:val="%1."/>
      <w:lvlJc w:val="left"/>
      <w:pPr>
        <w:ind w:left="1080" w:hanging="360"/>
      </w:pPr>
      <w:rPr>
        <w:rFonts w:eastAsia="MS Mincho"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5031B99"/>
    <w:multiLevelType w:val="multilevel"/>
    <w:tmpl w:val="EA905782"/>
    <w:lvl w:ilvl="0">
      <w:start w:val="1"/>
      <w:numFmt w:val="decimal"/>
      <w:lvlText w:val="%1."/>
      <w:lvlJc w:val="left"/>
      <w:pPr>
        <w:ind w:left="1080" w:hanging="360"/>
      </w:pPr>
      <w:rPr>
        <w:rFonts w:eastAsia="MS Mincho"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7FC364A"/>
    <w:multiLevelType w:val="hybridMultilevel"/>
    <w:tmpl w:val="9C8E9CC6"/>
    <w:lvl w:ilvl="0" w:tplc="4A0065EC">
      <w:start w:val="1"/>
      <w:numFmt w:val="decimal"/>
      <w:lvlText w:val="%1."/>
      <w:lvlJc w:val="left"/>
      <w:pPr>
        <w:ind w:left="1211"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E6"/>
    <w:rsid w:val="000140F3"/>
    <w:rsid w:val="000158EB"/>
    <w:rsid w:val="00017A39"/>
    <w:rsid w:val="00017C49"/>
    <w:rsid w:val="00021FDA"/>
    <w:rsid w:val="00030215"/>
    <w:rsid w:val="00030D2F"/>
    <w:rsid w:val="0003172A"/>
    <w:rsid w:val="00031832"/>
    <w:rsid w:val="00033AAB"/>
    <w:rsid w:val="00034495"/>
    <w:rsid w:val="00035D15"/>
    <w:rsid w:val="00047EDB"/>
    <w:rsid w:val="00052F4C"/>
    <w:rsid w:val="00054BE2"/>
    <w:rsid w:val="0007069D"/>
    <w:rsid w:val="0008763B"/>
    <w:rsid w:val="00093E6B"/>
    <w:rsid w:val="000A7244"/>
    <w:rsid w:val="000B2C0A"/>
    <w:rsid w:val="000C1EC3"/>
    <w:rsid w:val="000C65AD"/>
    <w:rsid w:val="000D4DE1"/>
    <w:rsid w:val="000D5FFD"/>
    <w:rsid w:val="000E1D5E"/>
    <w:rsid w:val="0010105B"/>
    <w:rsid w:val="0010208E"/>
    <w:rsid w:val="00121335"/>
    <w:rsid w:val="00134DE4"/>
    <w:rsid w:val="00143B1A"/>
    <w:rsid w:val="00147F62"/>
    <w:rsid w:val="00172DC9"/>
    <w:rsid w:val="00186656"/>
    <w:rsid w:val="001A2FB3"/>
    <w:rsid w:val="001A5DD6"/>
    <w:rsid w:val="001C1567"/>
    <w:rsid w:val="001F0E21"/>
    <w:rsid w:val="0020099D"/>
    <w:rsid w:val="002118B7"/>
    <w:rsid w:val="002120DB"/>
    <w:rsid w:val="00230AD7"/>
    <w:rsid w:val="002338EC"/>
    <w:rsid w:val="0024792D"/>
    <w:rsid w:val="00251FE1"/>
    <w:rsid w:val="00254C3B"/>
    <w:rsid w:val="00257AFB"/>
    <w:rsid w:val="00266F76"/>
    <w:rsid w:val="00274A0B"/>
    <w:rsid w:val="002860A6"/>
    <w:rsid w:val="0029664B"/>
    <w:rsid w:val="002A6F47"/>
    <w:rsid w:val="002B2F4F"/>
    <w:rsid w:val="002B2FB0"/>
    <w:rsid w:val="002B4834"/>
    <w:rsid w:val="002B5FE5"/>
    <w:rsid w:val="002C0F27"/>
    <w:rsid w:val="002D19DC"/>
    <w:rsid w:val="002D1E71"/>
    <w:rsid w:val="002D4E7D"/>
    <w:rsid w:val="002E2DE6"/>
    <w:rsid w:val="002E6F1A"/>
    <w:rsid w:val="002E759A"/>
    <w:rsid w:val="002F5A91"/>
    <w:rsid w:val="00306040"/>
    <w:rsid w:val="00325C92"/>
    <w:rsid w:val="00331138"/>
    <w:rsid w:val="00340AE4"/>
    <w:rsid w:val="00343E25"/>
    <w:rsid w:val="00351158"/>
    <w:rsid w:val="0035505E"/>
    <w:rsid w:val="0036021B"/>
    <w:rsid w:val="00362638"/>
    <w:rsid w:val="0036263A"/>
    <w:rsid w:val="0036380F"/>
    <w:rsid w:val="003715D8"/>
    <w:rsid w:val="00381720"/>
    <w:rsid w:val="00387E12"/>
    <w:rsid w:val="003917A8"/>
    <w:rsid w:val="003B55BB"/>
    <w:rsid w:val="003D1B7A"/>
    <w:rsid w:val="003D39D4"/>
    <w:rsid w:val="003D5F05"/>
    <w:rsid w:val="003D74F5"/>
    <w:rsid w:val="003F02C4"/>
    <w:rsid w:val="003F461E"/>
    <w:rsid w:val="00411E7F"/>
    <w:rsid w:val="00414C71"/>
    <w:rsid w:val="00423C26"/>
    <w:rsid w:val="00423F61"/>
    <w:rsid w:val="00445387"/>
    <w:rsid w:val="00497C02"/>
    <w:rsid w:val="004E4831"/>
    <w:rsid w:val="00502864"/>
    <w:rsid w:val="00514560"/>
    <w:rsid w:val="00522C91"/>
    <w:rsid w:val="00532A19"/>
    <w:rsid w:val="0054530C"/>
    <w:rsid w:val="00554A81"/>
    <w:rsid w:val="00562C27"/>
    <w:rsid w:val="00571541"/>
    <w:rsid w:val="005812E3"/>
    <w:rsid w:val="005D4746"/>
    <w:rsid w:val="005E72D5"/>
    <w:rsid w:val="005F66E7"/>
    <w:rsid w:val="006007BF"/>
    <w:rsid w:val="00605209"/>
    <w:rsid w:val="00640894"/>
    <w:rsid w:val="00644243"/>
    <w:rsid w:val="006572BC"/>
    <w:rsid w:val="00666132"/>
    <w:rsid w:val="0067247D"/>
    <w:rsid w:val="00691677"/>
    <w:rsid w:val="00697C01"/>
    <w:rsid w:val="006A5158"/>
    <w:rsid w:val="006C1967"/>
    <w:rsid w:val="006E6E43"/>
    <w:rsid w:val="006F266D"/>
    <w:rsid w:val="00703BCB"/>
    <w:rsid w:val="0071280D"/>
    <w:rsid w:val="00727E3B"/>
    <w:rsid w:val="007510E6"/>
    <w:rsid w:val="00761EFB"/>
    <w:rsid w:val="00771FBD"/>
    <w:rsid w:val="0077749A"/>
    <w:rsid w:val="00781385"/>
    <w:rsid w:val="007A3EF4"/>
    <w:rsid w:val="007A794E"/>
    <w:rsid w:val="007B0BEB"/>
    <w:rsid w:val="007B732E"/>
    <w:rsid w:val="007C1AA1"/>
    <w:rsid w:val="007D4C6C"/>
    <w:rsid w:val="007E5851"/>
    <w:rsid w:val="007F195D"/>
    <w:rsid w:val="007F754E"/>
    <w:rsid w:val="00800A7A"/>
    <w:rsid w:val="008241E1"/>
    <w:rsid w:val="00835F7E"/>
    <w:rsid w:val="00852B7F"/>
    <w:rsid w:val="0087516A"/>
    <w:rsid w:val="00876C1C"/>
    <w:rsid w:val="00881139"/>
    <w:rsid w:val="0089273D"/>
    <w:rsid w:val="008967F6"/>
    <w:rsid w:val="008A1EC3"/>
    <w:rsid w:val="008C5343"/>
    <w:rsid w:val="008C717B"/>
    <w:rsid w:val="008D3C2B"/>
    <w:rsid w:val="008E222A"/>
    <w:rsid w:val="008E304B"/>
    <w:rsid w:val="008F1E15"/>
    <w:rsid w:val="00902F50"/>
    <w:rsid w:val="00905603"/>
    <w:rsid w:val="00943951"/>
    <w:rsid w:val="0094470D"/>
    <w:rsid w:val="00950549"/>
    <w:rsid w:val="00950C88"/>
    <w:rsid w:val="00953CB4"/>
    <w:rsid w:val="00956FF9"/>
    <w:rsid w:val="00966562"/>
    <w:rsid w:val="00974F95"/>
    <w:rsid w:val="009A3362"/>
    <w:rsid w:val="009B2B01"/>
    <w:rsid w:val="009B3F87"/>
    <w:rsid w:val="009B603C"/>
    <w:rsid w:val="009C1C7F"/>
    <w:rsid w:val="009D0C72"/>
    <w:rsid w:val="009D1D1D"/>
    <w:rsid w:val="009D5480"/>
    <w:rsid w:val="009E4EC6"/>
    <w:rsid w:val="009E4F17"/>
    <w:rsid w:val="009F45CB"/>
    <w:rsid w:val="00A13451"/>
    <w:rsid w:val="00A134DF"/>
    <w:rsid w:val="00A2149F"/>
    <w:rsid w:val="00A3163A"/>
    <w:rsid w:val="00A33FF5"/>
    <w:rsid w:val="00A35F44"/>
    <w:rsid w:val="00A3602E"/>
    <w:rsid w:val="00A529CF"/>
    <w:rsid w:val="00A52C2E"/>
    <w:rsid w:val="00A55C51"/>
    <w:rsid w:val="00A71180"/>
    <w:rsid w:val="00A907BB"/>
    <w:rsid w:val="00AA2663"/>
    <w:rsid w:val="00AA3A58"/>
    <w:rsid w:val="00AB0A58"/>
    <w:rsid w:val="00AC1C3C"/>
    <w:rsid w:val="00AC4FDA"/>
    <w:rsid w:val="00AD3532"/>
    <w:rsid w:val="00AF0E16"/>
    <w:rsid w:val="00AF16B1"/>
    <w:rsid w:val="00B0750C"/>
    <w:rsid w:val="00B32C2D"/>
    <w:rsid w:val="00B45D84"/>
    <w:rsid w:val="00B6338F"/>
    <w:rsid w:val="00B8252B"/>
    <w:rsid w:val="00BD0591"/>
    <w:rsid w:val="00BF4164"/>
    <w:rsid w:val="00C1082C"/>
    <w:rsid w:val="00C245B6"/>
    <w:rsid w:val="00C40898"/>
    <w:rsid w:val="00C43289"/>
    <w:rsid w:val="00C56C26"/>
    <w:rsid w:val="00C6698B"/>
    <w:rsid w:val="00C70AC1"/>
    <w:rsid w:val="00CA27B1"/>
    <w:rsid w:val="00CA4D6B"/>
    <w:rsid w:val="00CB6ADB"/>
    <w:rsid w:val="00CC14E5"/>
    <w:rsid w:val="00CC7FB4"/>
    <w:rsid w:val="00CD42E9"/>
    <w:rsid w:val="00CD52D1"/>
    <w:rsid w:val="00CF06D3"/>
    <w:rsid w:val="00D008E9"/>
    <w:rsid w:val="00D25724"/>
    <w:rsid w:val="00D3198E"/>
    <w:rsid w:val="00D32280"/>
    <w:rsid w:val="00D45342"/>
    <w:rsid w:val="00D46265"/>
    <w:rsid w:val="00D84947"/>
    <w:rsid w:val="00D85F64"/>
    <w:rsid w:val="00DA7951"/>
    <w:rsid w:val="00DB299E"/>
    <w:rsid w:val="00DC2C0E"/>
    <w:rsid w:val="00DD2F37"/>
    <w:rsid w:val="00DE308A"/>
    <w:rsid w:val="00DE5C45"/>
    <w:rsid w:val="00DE7B75"/>
    <w:rsid w:val="00DF5BC6"/>
    <w:rsid w:val="00E02C86"/>
    <w:rsid w:val="00E055A9"/>
    <w:rsid w:val="00E05A7B"/>
    <w:rsid w:val="00E232A0"/>
    <w:rsid w:val="00E23D35"/>
    <w:rsid w:val="00E40BFC"/>
    <w:rsid w:val="00E4319D"/>
    <w:rsid w:val="00E45871"/>
    <w:rsid w:val="00E5678D"/>
    <w:rsid w:val="00E85AED"/>
    <w:rsid w:val="00E937DF"/>
    <w:rsid w:val="00E95C69"/>
    <w:rsid w:val="00EA06BD"/>
    <w:rsid w:val="00EA37D5"/>
    <w:rsid w:val="00EA63EF"/>
    <w:rsid w:val="00EB35F1"/>
    <w:rsid w:val="00EC3D60"/>
    <w:rsid w:val="00EC3FB7"/>
    <w:rsid w:val="00EC5153"/>
    <w:rsid w:val="00EE3AB5"/>
    <w:rsid w:val="00EF11EA"/>
    <w:rsid w:val="00F039D6"/>
    <w:rsid w:val="00F100B9"/>
    <w:rsid w:val="00F21C9C"/>
    <w:rsid w:val="00F24CC9"/>
    <w:rsid w:val="00F40869"/>
    <w:rsid w:val="00F511F6"/>
    <w:rsid w:val="00F57A6F"/>
    <w:rsid w:val="00F6098D"/>
    <w:rsid w:val="00F623F5"/>
    <w:rsid w:val="00F67E21"/>
    <w:rsid w:val="00F70186"/>
    <w:rsid w:val="00F908AB"/>
    <w:rsid w:val="00F935CE"/>
    <w:rsid w:val="00FA4A98"/>
    <w:rsid w:val="00FB7CA6"/>
    <w:rsid w:val="00FC1C7E"/>
    <w:rsid w:val="00FC2922"/>
    <w:rsid w:val="00FC799F"/>
    <w:rsid w:val="00FD3779"/>
    <w:rsid w:val="00FD5989"/>
    <w:rsid w:val="00FE70B6"/>
    <w:rsid w:val="00FE7A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3DE8B1-0B23-48B5-8456-66231FF2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DE6"/>
    <w:rPr>
      <w:rFonts w:eastAsia="Times New Roman"/>
      <w:szCs w:val="20"/>
    </w:rPr>
  </w:style>
  <w:style w:type="paragraph" w:styleId="Antrat2">
    <w:name w:val="heading 2"/>
    <w:basedOn w:val="prastasis"/>
    <w:next w:val="prastasis"/>
    <w:link w:val="Antrat2Diagrama"/>
    <w:qFormat/>
    <w:rsid w:val="002E2DE6"/>
    <w:pPr>
      <w:keepNext/>
      <w:ind w:firstLine="720"/>
      <w:jc w:val="both"/>
      <w:outlineLvl w:val="1"/>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2DE6"/>
    <w:rPr>
      <w:rFonts w:eastAsia="Times New Roman"/>
      <w:b/>
      <w:sz w:val="20"/>
      <w:szCs w:val="20"/>
    </w:rPr>
  </w:style>
  <w:style w:type="table" w:styleId="Lentelstinklelis">
    <w:name w:val="Table Grid"/>
    <w:basedOn w:val="prastojilentel"/>
    <w:uiPriority w:val="39"/>
    <w:rsid w:val="002E2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E2D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Bodytext2">
    <w:name w:val="Body text (2)_"/>
    <w:basedOn w:val="Numatytasispastraiposriftas"/>
    <w:link w:val="Bodytext20"/>
    <w:rsid w:val="002E2DE6"/>
    <w:rPr>
      <w:rFonts w:eastAsia="Times New Roman"/>
      <w:shd w:val="clear" w:color="auto" w:fill="FFFFFF"/>
    </w:rPr>
  </w:style>
  <w:style w:type="paragraph" w:customStyle="1" w:styleId="Bodytext20">
    <w:name w:val="Body text (2)"/>
    <w:basedOn w:val="prastasis"/>
    <w:link w:val="Bodytext2"/>
    <w:rsid w:val="002E2DE6"/>
    <w:pPr>
      <w:widowControl w:val="0"/>
      <w:shd w:val="clear" w:color="auto" w:fill="FFFFFF"/>
      <w:spacing w:before="480" w:after="60" w:line="0" w:lineRule="atLeast"/>
      <w:jc w:val="both"/>
    </w:pPr>
    <w:rPr>
      <w:szCs w:val="24"/>
    </w:rPr>
  </w:style>
  <w:style w:type="paragraph" w:styleId="Debesliotekstas">
    <w:name w:val="Balloon Text"/>
    <w:basedOn w:val="prastasis"/>
    <w:link w:val="DebesliotekstasDiagrama"/>
    <w:uiPriority w:val="99"/>
    <w:semiHidden/>
    <w:unhideWhenUsed/>
    <w:rsid w:val="008811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139"/>
    <w:rPr>
      <w:rFonts w:ascii="Segoe UI" w:eastAsia="Times New Roman" w:hAnsi="Segoe UI" w:cs="Segoe UI"/>
      <w:sz w:val="18"/>
      <w:szCs w:val="18"/>
      <w:lang w:val="en-US"/>
    </w:rPr>
  </w:style>
  <w:style w:type="paragraph" w:styleId="Porat">
    <w:name w:val="footer"/>
    <w:basedOn w:val="prastasis"/>
    <w:link w:val="PoratDiagrama"/>
    <w:uiPriority w:val="99"/>
    <w:unhideWhenUsed/>
    <w:rsid w:val="007F754E"/>
    <w:pPr>
      <w:tabs>
        <w:tab w:val="center" w:pos="4680"/>
        <w:tab w:val="right" w:pos="9360"/>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7F754E"/>
    <w:rPr>
      <w:rFonts w:asciiTheme="minorHAnsi" w:hAnsiTheme="minorHAnsi" w:cstheme="minorBidi"/>
      <w:sz w:val="22"/>
      <w:szCs w:val="22"/>
      <w:lang w:val="en-US"/>
    </w:rPr>
  </w:style>
  <w:style w:type="paragraph" w:styleId="Antrats">
    <w:name w:val="header"/>
    <w:basedOn w:val="prastasis"/>
    <w:link w:val="AntratsDiagrama"/>
    <w:unhideWhenUsed/>
    <w:rsid w:val="00FE70B6"/>
    <w:pPr>
      <w:tabs>
        <w:tab w:val="center" w:pos="4819"/>
        <w:tab w:val="right" w:pos="9638"/>
      </w:tabs>
    </w:pPr>
  </w:style>
  <w:style w:type="character" w:customStyle="1" w:styleId="AntratsDiagrama">
    <w:name w:val="Antraštės Diagrama"/>
    <w:basedOn w:val="Numatytasispastraiposriftas"/>
    <w:link w:val="Antrats"/>
    <w:rsid w:val="00FE70B6"/>
    <w:rPr>
      <w:rFonts w:eastAsia="Times New Roman"/>
      <w:szCs w:val="20"/>
      <w:lang w:val="en-US"/>
    </w:rPr>
  </w:style>
  <w:style w:type="character" w:styleId="Komentaronuoroda">
    <w:name w:val="annotation reference"/>
    <w:basedOn w:val="Numatytasispastraiposriftas"/>
    <w:uiPriority w:val="99"/>
    <w:semiHidden/>
    <w:unhideWhenUsed/>
    <w:rsid w:val="00703BCB"/>
    <w:rPr>
      <w:sz w:val="16"/>
      <w:szCs w:val="16"/>
    </w:rPr>
  </w:style>
  <w:style w:type="paragraph" w:styleId="Komentarotekstas">
    <w:name w:val="annotation text"/>
    <w:basedOn w:val="prastasis"/>
    <w:link w:val="KomentarotekstasDiagrama"/>
    <w:uiPriority w:val="99"/>
    <w:unhideWhenUsed/>
    <w:rsid w:val="00703BCB"/>
    <w:rPr>
      <w:sz w:val="20"/>
    </w:rPr>
  </w:style>
  <w:style w:type="character" w:customStyle="1" w:styleId="KomentarotekstasDiagrama">
    <w:name w:val="Komentaro tekstas Diagrama"/>
    <w:basedOn w:val="Numatytasispastraiposriftas"/>
    <w:link w:val="Komentarotekstas"/>
    <w:uiPriority w:val="99"/>
    <w:rsid w:val="00703BCB"/>
    <w:rPr>
      <w:rFonts w:eastAsia="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03BCB"/>
    <w:rPr>
      <w:b/>
      <w:bCs/>
    </w:rPr>
  </w:style>
  <w:style w:type="character" w:customStyle="1" w:styleId="KomentarotemaDiagrama">
    <w:name w:val="Komentaro tema Diagrama"/>
    <w:basedOn w:val="KomentarotekstasDiagrama"/>
    <w:link w:val="Komentarotema"/>
    <w:uiPriority w:val="99"/>
    <w:semiHidden/>
    <w:rsid w:val="00703BCB"/>
    <w:rPr>
      <w:rFonts w:eastAsia="Times New Roman"/>
      <w:b/>
      <w:bCs/>
      <w:sz w:val="20"/>
      <w:szCs w:val="20"/>
      <w:lang w:val="en-US"/>
    </w:rPr>
  </w:style>
  <w:style w:type="paragraph" w:customStyle="1" w:styleId="Adresas">
    <w:name w:val="Adresas"/>
    <w:basedOn w:val="prastasis"/>
    <w:qFormat/>
    <w:rsid w:val="00306040"/>
    <w:pPr>
      <w:suppressAutoHyphens/>
      <w:ind w:right="318"/>
    </w:pPr>
    <w:rPr>
      <w:szCs w:val="24"/>
      <w:lang w:eastAsia="ar-SA"/>
    </w:rPr>
  </w:style>
  <w:style w:type="paragraph" w:styleId="Sraopastraipa">
    <w:name w:val="List Paragraph"/>
    <w:basedOn w:val="prastasis"/>
    <w:uiPriority w:val="34"/>
    <w:qFormat/>
    <w:rsid w:val="00E23D35"/>
    <w:pPr>
      <w:suppressAutoHyphens/>
      <w:ind w:left="720"/>
      <w:contextualSpacing/>
    </w:pPr>
    <w:rPr>
      <w:szCs w:val="24"/>
      <w:lang w:eastAsia="ar-SA"/>
    </w:rPr>
  </w:style>
  <w:style w:type="character" w:customStyle="1" w:styleId="Bodytext2Italic">
    <w:name w:val="Body text (2) + Italic"/>
    <w:basedOn w:val="Numatytasispastraiposriftas"/>
    <w:rsid w:val="00E23D35"/>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styleId="Betarp">
    <w:name w:val="No Spacing"/>
    <w:uiPriority w:val="1"/>
    <w:qFormat/>
    <w:rsid w:val="007C1AA1"/>
    <w:rPr>
      <w:rFonts w:eastAsia="Times New Roman"/>
      <w:szCs w:val="20"/>
      <w:lang w:val="en-US"/>
    </w:rPr>
  </w:style>
  <w:style w:type="paragraph" w:customStyle="1" w:styleId="Default">
    <w:name w:val="Default"/>
    <w:rsid w:val="00C245B6"/>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063300">
      <w:bodyDiv w:val="1"/>
      <w:marLeft w:val="0"/>
      <w:marRight w:val="0"/>
      <w:marTop w:val="0"/>
      <w:marBottom w:val="0"/>
      <w:divBdr>
        <w:top w:val="none" w:sz="0" w:space="0" w:color="auto"/>
        <w:left w:val="none" w:sz="0" w:space="0" w:color="auto"/>
        <w:bottom w:val="none" w:sz="0" w:space="0" w:color="auto"/>
        <w:right w:val="none" w:sz="0" w:space="0" w:color="auto"/>
      </w:divBdr>
    </w:div>
    <w:div w:id="1547791870">
      <w:bodyDiv w:val="1"/>
      <w:marLeft w:val="0"/>
      <w:marRight w:val="0"/>
      <w:marTop w:val="0"/>
      <w:marBottom w:val="0"/>
      <w:divBdr>
        <w:top w:val="none" w:sz="0" w:space="0" w:color="auto"/>
        <w:left w:val="none" w:sz="0" w:space="0" w:color="auto"/>
        <w:bottom w:val="none" w:sz="0" w:space="0" w:color="auto"/>
        <w:right w:val="none" w:sz="0" w:space="0" w:color="auto"/>
      </w:divBdr>
    </w:div>
    <w:div w:id="191091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6215-4200-47AA-81F3-1F4EA959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11815</Words>
  <Characters>6736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18514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2020-01-16T12:52:00Z</dcterms:created>
  <dc:creator>Ilona Šimkūnaitė</dc:creator>
  <cp:lastModifiedBy>Darius Domarkas</cp:lastModifiedBy>
  <cp:lastPrinted>2016-12-30T07:20:00Z</cp:lastPrinted>
  <dcterms:modified xsi:type="dcterms:W3CDTF">2020-01-16T12:52:00Z</dcterms:modified>
  <cp:revision>2</cp:revision>
</cp:coreProperties>
</file>