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E0C6629" w14:textId="00152AE2" w:rsidR="00471E11" w:rsidRDefault="00BA0B4F" w:rsidP="001653AF">
      <w:pPr>
        <w:jc w:val="center"/>
        <w:rPr>
          <w:rFonts w:ascii="Times New Roman" w:hAnsi="Times New Roman"/>
          <w:b/>
          <w:sz w:val="24"/>
          <w:szCs w:val="24"/>
        </w:rPr>
      </w:pPr>
      <w:r w:rsidRPr="007C4BDD">
        <w:rPr>
          <w:rFonts w:ascii="Times New Roman" w:hAnsi="Times New Roman"/>
          <w:b/>
          <w:sz w:val="24"/>
          <w:szCs w:val="24"/>
        </w:rPr>
        <w:t>EUROPOS PARLAMENTO IR TARYBOS</w:t>
      </w:r>
      <w:r w:rsidR="007066B3" w:rsidRPr="007C4BDD">
        <w:rPr>
          <w:rFonts w:ascii="Times New Roman" w:hAnsi="Times New Roman"/>
          <w:b/>
          <w:sz w:val="24"/>
          <w:szCs w:val="24"/>
        </w:rPr>
        <w:t xml:space="preserve"> </w:t>
      </w:r>
      <w:r w:rsidR="007066B3" w:rsidRPr="007C4BDD">
        <w:rPr>
          <w:rFonts w:ascii="Times New Roman" w:hAnsi="Times New Roman"/>
          <w:b/>
          <w:bCs/>
          <w:sz w:val="24"/>
          <w:szCs w:val="24"/>
        </w:rPr>
        <w:t xml:space="preserve">SPRENDIMO (ES) 2017/899 </w:t>
      </w:r>
      <w:r w:rsidR="007A3D25" w:rsidRPr="007C4BDD">
        <w:rPr>
          <w:rFonts w:ascii="Times New Roman" w:hAnsi="Times New Roman"/>
          <w:b/>
          <w:sz w:val="24"/>
          <w:szCs w:val="24"/>
        </w:rPr>
        <w:t>IR</w:t>
      </w:r>
      <w:r w:rsidR="001653AF" w:rsidRPr="007C4BDD">
        <w:rPr>
          <w:rFonts w:ascii="Times New Roman" w:hAnsi="Times New Roman"/>
          <w:b/>
          <w:sz w:val="24"/>
          <w:szCs w:val="24"/>
        </w:rPr>
        <w:t xml:space="preserve"> LIETUVOS RESPUBLIKOS VYRIAUSYBĖS NUTARIMO „DĖL</w:t>
      </w:r>
      <w:r w:rsidRPr="007C4BDD">
        <w:rPr>
          <w:rFonts w:ascii="Times New Roman" w:hAnsi="Times New Roman"/>
          <w:b/>
          <w:sz w:val="24"/>
          <w:szCs w:val="24"/>
        </w:rPr>
        <w:t xml:space="preserve"> LIETUVOS RESPUBLIKOS VYRIAUSYBĖS 2004 M. LAPKRIČIO 25 D. NUTARIMO NR. 1492</w:t>
      </w:r>
      <w:r w:rsidR="001653AF" w:rsidRPr="007C4BDD">
        <w:rPr>
          <w:rFonts w:ascii="Times New Roman" w:hAnsi="Times New Roman"/>
          <w:b/>
          <w:sz w:val="24"/>
          <w:szCs w:val="24"/>
        </w:rPr>
        <w:t xml:space="preserve"> </w:t>
      </w:r>
      <w:r w:rsidRPr="007C4BDD">
        <w:rPr>
          <w:rFonts w:ascii="Times New Roman" w:hAnsi="Times New Roman"/>
          <w:b/>
          <w:sz w:val="24"/>
          <w:szCs w:val="24"/>
        </w:rPr>
        <w:t xml:space="preserve">„DĖL </w:t>
      </w:r>
      <w:r w:rsidR="001653AF" w:rsidRPr="007C4BDD">
        <w:rPr>
          <w:rFonts w:ascii="Times New Roman" w:hAnsi="Times New Roman"/>
          <w:b/>
          <w:sz w:val="24"/>
          <w:szCs w:val="24"/>
        </w:rPr>
        <w:t>SKAITMENINĖS TELEVIZIJOS DIEGIMO</w:t>
      </w:r>
      <w:r w:rsidR="007C4BDD" w:rsidRPr="007C4BDD">
        <w:rPr>
          <w:rFonts w:ascii="Times New Roman" w:hAnsi="Times New Roman"/>
          <w:b/>
          <w:sz w:val="24"/>
          <w:szCs w:val="24"/>
        </w:rPr>
        <w:t xml:space="preserve"> IR PLĖTROS</w:t>
      </w:r>
      <w:r w:rsidR="001653AF" w:rsidRPr="007C4BDD">
        <w:rPr>
          <w:rFonts w:ascii="Times New Roman" w:hAnsi="Times New Roman"/>
          <w:b/>
          <w:sz w:val="24"/>
          <w:szCs w:val="24"/>
        </w:rPr>
        <w:t xml:space="preserve"> LIETUVOJE MODELIO APRAŠO PATVIRTINIMO“</w:t>
      </w:r>
      <w:r w:rsidRPr="007C4BDD">
        <w:rPr>
          <w:rFonts w:ascii="Times New Roman" w:hAnsi="Times New Roman"/>
          <w:b/>
          <w:sz w:val="24"/>
          <w:szCs w:val="24"/>
        </w:rPr>
        <w:t xml:space="preserve"> </w:t>
      </w:r>
      <w:r w:rsidR="00BB5833" w:rsidRPr="007C4BDD">
        <w:rPr>
          <w:rFonts w:ascii="Times New Roman" w:hAnsi="Times New Roman"/>
          <w:b/>
          <w:sz w:val="24"/>
          <w:szCs w:val="24"/>
        </w:rPr>
        <w:t xml:space="preserve"> P</w:t>
      </w:r>
      <w:r w:rsidRPr="007C4BDD">
        <w:rPr>
          <w:rFonts w:ascii="Times New Roman" w:hAnsi="Times New Roman"/>
          <w:b/>
          <w:sz w:val="24"/>
          <w:szCs w:val="24"/>
        </w:rPr>
        <w:t>AKEITIMO“</w:t>
      </w:r>
      <w:r w:rsidR="007C4BDD" w:rsidRPr="007C4BDD">
        <w:rPr>
          <w:rFonts w:ascii="Times New Roman" w:hAnsi="Times New Roman"/>
          <w:b/>
          <w:sz w:val="24"/>
          <w:szCs w:val="24"/>
        </w:rPr>
        <w:t xml:space="preserve"> </w:t>
      </w:r>
      <w:r w:rsidR="001653AF" w:rsidRPr="007C4BDD">
        <w:rPr>
          <w:rFonts w:ascii="Times New Roman" w:hAnsi="Times New Roman"/>
          <w:b/>
          <w:sz w:val="24"/>
          <w:szCs w:val="24"/>
        </w:rPr>
        <w:t>PROJEKTO</w:t>
      </w:r>
      <w:r w:rsidR="007A3D25" w:rsidRPr="007C4BDD">
        <w:rPr>
          <w:rFonts w:ascii="Times New Roman" w:hAnsi="Times New Roman"/>
          <w:b/>
          <w:sz w:val="24"/>
          <w:szCs w:val="24"/>
        </w:rPr>
        <w:t xml:space="preserve"> </w:t>
      </w:r>
    </w:p>
    <w:p w14:paraId="5756A364" w14:textId="1EB843C4" w:rsidR="00013474" w:rsidRPr="007C4BDD" w:rsidRDefault="007A3D25" w:rsidP="001653AF">
      <w:pPr>
        <w:jc w:val="center"/>
        <w:rPr>
          <w:rFonts w:ascii="Times New Roman" w:hAnsi="Times New Roman"/>
          <w:b/>
          <w:sz w:val="24"/>
          <w:szCs w:val="24"/>
        </w:rPr>
      </w:pPr>
      <w:r w:rsidRPr="007C4BDD">
        <w:rPr>
          <w:rFonts w:ascii="Times New Roman" w:hAnsi="Times New Roman"/>
          <w:b/>
          <w:sz w:val="24"/>
          <w:szCs w:val="24"/>
        </w:rPr>
        <w:t>ATITIKTIES LENTELĖ</w:t>
      </w:r>
    </w:p>
    <w:p w14:paraId="31C708E6" w14:textId="77777777" w:rsidR="00013474" w:rsidRPr="00BF21F3" w:rsidRDefault="00013474">
      <w:pPr>
        <w:jc w:val="center"/>
        <w:rPr>
          <w:sz w:val="24"/>
          <w:szCs w:val="24"/>
        </w:rPr>
      </w:pPr>
    </w:p>
    <w:tbl>
      <w:tblPr>
        <w:tblStyle w:val="LentelPaprasta1"/>
        <w:tblW w:w="5362" w:type="pct"/>
        <w:tblInd w:w="-289" w:type="dxa"/>
        <w:tblLayout w:type="fixed"/>
        <w:tblLook w:val="04A0" w:firstRow="1" w:lastRow="0" w:firstColumn="1" w:lastColumn="0" w:noHBand="0" w:noVBand="1"/>
      </w:tblPr>
      <w:tblGrid>
        <w:gridCol w:w="4560"/>
        <w:gridCol w:w="4796"/>
        <w:gridCol w:w="1276"/>
      </w:tblGrid>
      <w:tr w:rsidR="00013474" w:rsidRPr="00BF21F3" w14:paraId="233267D9" w14:textId="77777777" w:rsidTr="00FD1F63">
        <w:tc>
          <w:tcPr>
            <w:tcW w:w="2144" w:type="pct"/>
          </w:tcPr>
          <w:p w14:paraId="3BAD23AA" w14:textId="634D7CB7" w:rsidR="00013474" w:rsidRPr="00880F69" w:rsidRDefault="00BA0B4F">
            <w:pPr>
              <w:rPr>
                <w:b/>
                <w:sz w:val="24"/>
                <w:szCs w:val="24"/>
              </w:rPr>
            </w:pPr>
            <w:r w:rsidRPr="00880F69">
              <w:rPr>
                <w:rFonts w:ascii="Times New Roman" w:hAnsi="Times New Roman"/>
                <w:b/>
                <w:sz w:val="24"/>
                <w:szCs w:val="24"/>
              </w:rPr>
              <w:t>Europos Parlamento ir Tarybos sprendimas</w:t>
            </w:r>
            <w:r w:rsidR="006B544A" w:rsidRPr="00880F69">
              <w:rPr>
                <w:rFonts w:ascii="Times New Roman" w:hAnsi="Times New Roman"/>
                <w:b/>
                <w:sz w:val="24"/>
                <w:szCs w:val="24"/>
              </w:rPr>
              <w:t xml:space="preserve"> (ES) 2017/899 2017 m. gegužės 17 d. „dėl 470–790 MHz dažnių juostos naudojimo Sąjungoje“</w:t>
            </w:r>
          </w:p>
        </w:tc>
        <w:tc>
          <w:tcPr>
            <w:tcW w:w="2255" w:type="pct"/>
          </w:tcPr>
          <w:p w14:paraId="7C3E0EDD" w14:textId="5D958ED9" w:rsidR="00013474" w:rsidRPr="00471E11" w:rsidRDefault="00471E11">
            <w:pPr>
              <w:rPr>
                <w:rFonts w:ascii="Times New Roman" w:hAnsi="Times New Roman"/>
                <w:b/>
                <w:sz w:val="24"/>
                <w:szCs w:val="24"/>
              </w:rPr>
            </w:pPr>
            <w:r w:rsidRPr="00471E11">
              <w:rPr>
                <w:rFonts w:ascii="Times New Roman" w:hAnsi="Times New Roman"/>
                <w:b/>
                <w:sz w:val="24"/>
                <w:szCs w:val="24"/>
              </w:rPr>
              <w:t xml:space="preserve">Lietuvos Respublikos Vyriausybės nutarimo „Dėl Lietuvos Respublikos Vyriausybės 2004 m. lapkričio 25 d. nutarimo </w:t>
            </w:r>
            <w:r w:rsidRPr="00471E11">
              <w:rPr>
                <w:rFonts w:ascii="Times New Roman" w:hAnsi="Times New Roman"/>
                <w:b/>
                <w:sz w:val="24"/>
                <w:szCs w:val="24"/>
              </w:rPr>
              <w:br/>
              <w:t>Nr. 1492 „Dėl Skaitmeninės televizijos diegimo ir plėtros Lietuvoje modelio aprašo patvirtinimo“ pakeitimo“ projektas</w:t>
            </w:r>
          </w:p>
        </w:tc>
        <w:tc>
          <w:tcPr>
            <w:tcW w:w="600" w:type="pct"/>
          </w:tcPr>
          <w:p w14:paraId="73CD39E1" w14:textId="77777777" w:rsidR="00013474" w:rsidRPr="00BF21F3" w:rsidRDefault="00BE7374">
            <w:pPr>
              <w:rPr>
                <w:rFonts w:ascii="Times New Roman" w:hAnsi="Times New Roman"/>
                <w:b/>
                <w:sz w:val="24"/>
                <w:szCs w:val="24"/>
              </w:rPr>
            </w:pPr>
            <w:r w:rsidRPr="00BF21F3">
              <w:rPr>
                <w:rFonts w:ascii="Times New Roman" w:hAnsi="Times New Roman"/>
                <w:b/>
                <w:bCs/>
                <w:sz w:val="24"/>
                <w:szCs w:val="24"/>
              </w:rPr>
              <w:t>Į</w:t>
            </w:r>
            <w:r w:rsidR="006B544A" w:rsidRPr="00BF21F3">
              <w:rPr>
                <w:rFonts w:ascii="Times New Roman" w:hAnsi="Times New Roman"/>
                <w:b/>
                <w:bCs/>
                <w:sz w:val="24"/>
                <w:szCs w:val="24"/>
              </w:rPr>
              <w:t>gyvendi</w:t>
            </w:r>
            <w:r w:rsidR="009D3391">
              <w:rPr>
                <w:rFonts w:ascii="Times New Roman" w:hAnsi="Times New Roman"/>
                <w:b/>
                <w:bCs/>
                <w:sz w:val="24"/>
                <w:szCs w:val="24"/>
              </w:rPr>
              <w:t>-</w:t>
            </w:r>
            <w:r w:rsidR="006B544A" w:rsidRPr="00BF21F3">
              <w:rPr>
                <w:rFonts w:ascii="Times New Roman" w:hAnsi="Times New Roman"/>
                <w:b/>
                <w:bCs/>
                <w:sz w:val="24"/>
                <w:szCs w:val="24"/>
              </w:rPr>
              <w:t>nimo lygis</w:t>
            </w:r>
          </w:p>
        </w:tc>
      </w:tr>
      <w:tr w:rsidR="000A262D" w:rsidRPr="00BF21F3" w14:paraId="48EE3BB9" w14:textId="77777777" w:rsidTr="00FD1F63">
        <w:tc>
          <w:tcPr>
            <w:tcW w:w="2144" w:type="pct"/>
          </w:tcPr>
          <w:p w14:paraId="76741653" w14:textId="4D89D045" w:rsidR="004A18ED" w:rsidRPr="00940DD4" w:rsidRDefault="000A262D" w:rsidP="000C2129">
            <w:pPr>
              <w:pStyle w:val="ti-art"/>
              <w:jc w:val="both"/>
            </w:pPr>
            <w:r w:rsidRPr="00880F69">
              <w:rPr>
                <w:b/>
              </w:rPr>
              <w:t>1 straipsnis</w:t>
            </w:r>
            <w:r w:rsidR="000C2129">
              <w:rPr>
                <w:b/>
              </w:rPr>
              <w:t>.</w:t>
            </w:r>
            <w:r>
              <w:t>  Ne vėliau kaip 2020 m. birželio 30 d. valstybės narės sudaro sąlygas naudoti 694-790 MHz (toliau – 700 MHz) dažnių juostą antžeminėms sistemoms, kuriomis galima teikti belaidžio plačiajuosčio elektroninio ryšio paslaugas, tik suderintomis techninėmis sąlygomis, kurias Komisija nustato pagal Sprendimo Nr. 676/2002/EB 4 straipsnį.</w:t>
            </w:r>
          </w:p>
          <w:p w14:paraId="3507445E" w14:textId="67FA044B" w:rsidR="00940DD4" w:rsidRDefault="00940DD4" w:rsidP="000C2129">
            <w:pPr>
              <w:pStyle w:val="prastasis1"/>
              <w:jc w:val="both"/>
            </w:pPr>
          </w:p>
          <w:p w14:paraId="601C615F" w14:textId="2AD636AE" w:rsidR="000A262D" w:rsidRDefault="000A262D" w:rsidP="000C2129">
            <w:pPr>
              <w:pStyle w:val="prastasis1"/>
              <w:jc w:val="both"/>
            </w:pPr>
            <w:r>
              <w:t>Tačiau valstybės narės gali ne ilgiau kaip dvejiems metams atidėti terminą, nuo kurio turi būti leidžiama naudoti 700 MHz dažnių juostą, remdamosi viena ar daugiau tinkamai pagrįstų priežasčių, išdėstytų šio sprendimo priede. Tokio atidėjimo atveju atitinkama valstybė narė apie tai atitinkamai praneša kitoms valstybėms narėms bei Komisijai ir įtraukia tas tinkamai pagrįstas priežastis į savo nacionalinį veiksmų planą, priimtą pagal šio sprendimo 5 straipsnį. Kai būtina, vadovaudamosi Direktyva 2002/20/EB valstybės narės vykdo leidimų išdavimo procedūras arba iš dalies pakeičia atitinkamas galiojančias spektro naudojimo teises, kad būtų galima leisti tokį naudojimą.</w:t>
            </w:r>
          </w:p>
          <w:p w14:paraId="3BD071EC" w14:textId="69FE2746" w:rsidR="000A262D" w:rsidRDefault="000A262D" w:rsidP="000C2129">
            <w:pPr>
              <w:pStyle w:val="prastasis1"/>
              <w:jc w:val="both"/>
            </w:pPr>
            <w:r>
              <w:t xml:space="preserve">Valstybė narė, kuri pagal antrą pastraipą atideda terminą, nuo kurio turi būti sudarytos sąlygos naudoti 700 MHz dažnių juostą, ir dėl to atidėjimo poveikį patiriančios valstybės narės bendradarbiauja tarpusavyje, siekdamos koordinuotai atlaisvinti 700 MHz dažnių juostą belaidžio plačiajuosčio elektroninio ryšio paslaugoms teikti, ir įtraukia informaciją apie tokį koordinavimą į </w:t>
            </w:r>
            <w:r>
              <w:lastRenderedPageBreak/>
              <w:t>savo nacionalinius veiksmų planus, priimtus pagal 5 straipsnį.</w:t>
            </w:r>
          </w:p>
          <w:p w14:paraId="79745BAA" w14:textId="77777777" w:rsidR="000A262D" w:rsidRDefault="000A262D" w:rsidP="004A18ED">
            <w:pPr>
              <w:pStyle w:val="prastasis1"/>
              <w:jc w:val="both"/>
            </w:pPr>
            <w:r>
              <w:t>2.   Kad galėtų užtikrinti galimybę naudoti 700 MHz dažnių juostą pagal 1 dalį, valstybės narės ne vėliau kaip 2017 m. gruodžio 31 d. sudaro visus būtinus susitarimus dėl tarpvalstybinio dažnių koordinavimo Sąjungoje.</w:t>
            </w:r>
          </w:p>
          <w:p w14:paraId="00DA4494" w14:textId="7FED81EA" w:rsidR="00542E1E" w:rsidRPr="00542E1E" w:rsidRDefault="00542E1E" w:rsidP="004A18ED">
            <w:pPr>
              <w:pStyle w:val="prastasis1"/>
              <w:jc w:val="both"/>
            </w:pPr>
            <w:r w:rsidRPr="00542E1E">
              <w:t>3.Valstybės narės nesaistomos 1 ir 2 dalyse nustatytomis pareigomis geografinėse vietovėse, kuriose klausimas dėl dažnių koordinavimo su trečiosiomis valstybėmis tebėra neišspręstas, su sąlyga, kad jos deda visas įmanomas pastangas, kad klausimas dėl tokio koordinavimo būtų išspręstas kuo greičiau ir kad su juo susijusi geografinė aprėptis būtų kuo mažesnė, bei kasmet praneša Komisijai rezultatus, kol bus išspręsti koordinavimo klausimai.</w:t>
            </w:r>
          </w:p>
        </w:tc>
        <w:tc>
          <w:tcPr>
            <w:tcW w:w="2255" w:type="pct"/>
          </w:tcPr>
          <w:p w14:paraId="60E1A20A" w14:textId="77777777" w:rsidR="00546FB7" w:rsidRPr="000C0D71" w:rsidRDefault="00B61C37" w:rsidP="00546FB7">
            <w:pPr>
              <w:pStyle w:val="Punktas"/>
              <w:numPr>
                <w:ilvl w:val="0"/>
                <w:numId w:val="0"/>
              </w:numPr>
              <w:rPr>
                <w:color w:val="FF0000"/>
              </w:rPr>
            </w:pPr>
            <w:r>
              <w:rPr>
                <w:lang w:eastAsia="lt-LT"/>
              </w:rPr>
              <w:lastRenderedPageBreak/>
              <w:t xml:space="preserve">6. </w:t>
            </w:r>
            <w:r w:rsidR="00546FB7">
              <w:rPr>
                <w:lang w:eastAsia="lt-LT"/>
              </w:rPr>
              <w:t>R</w:t>
            </w:r>
            <w:r w:rsidR="00546FB7" w:rsidRPr="00F3331D">
              <w:rPr>
                <w:lang w:eastAsia="lt-LT"/>
              </w:rPr>
              <w:t>adijo dažniai (kanalai), naudojami skaitmeninės antžeminės televizijos tinkluose ir stotyse</w:t>
            </w:r>
            <w:r w:rsidR="00546FB7">
              <w:rPr>
                <w:lang w:eastAsia="lt-LT"/>
              </w:rPr>
              <w:t xml:space="preserve">, turi būti pertvarkyti </w:t>
            </w:r>
            <w:r w:rsidR="00546FB7" w:rsidRPr="00072BCB">
              <w:rPr>
                <w:lang w:eastAsia="lt-LT"/>
              </w:rPr>
              <w:t>taip</w:t>
            </w:r>
            <w:r w:rsidR="00546FB7">
              <w:rPr>
                <w:lang w:eastAsia="lt-LT"/>
              </w:rPr>
              <w:t>, kad</w:t>
            </w:r>
            <w:r w:rsidR="00546FB7" w:rsidRPr="00F3331D">
              <w:rPr>
                <w:lang w:eastAsia="lt-LT"/>
              </w:rPr>
              <w:t xml:space="preserve"> </w:t>
            </w:r>
            <w:r w:rsidR="00546FB7" w:rsidRPr="00C22AD0">
              <w:rPr>
                <w:lang w:eastAsia="lt-LT"/>
              </w:rPr>
              <w:t xml:space="preserve">iki 2020 m. birželio 30 d. </w:t>
            </w:r>
            <w:r w:rsidR="00546FB7" w:rsidRPr="002C017E">
              <w:rPr>
                <w:lang w:eastAsia="lt-LT"/>
              </w:rPr>
              <w:t>būtų atlaisvinta 700 MHz radijo dažnių juosta ir paskirta antžeminėms sistemoms</w:t>
            </w:r>
            <w:r w:rsidR="00546FB7" w:rsidRPr="00C22AD0">
              <w:rPr>
                <w:lang w:eastAsia="lt-LT"/>
              </w:rPr>
              <w:t>,</w:t>
            </w:r>
            <w:r w:rsidR="00546FB7" w:rsidRPr="00F3331D">
              <w:rPr>
                <w:lang w:eastAsia="lt-LT"/>
              </w:rPr>
              <w:t xml:space="preserve"> kuriomis būtų galima teikti belaidžio plačiajuosčio elektroninio ryšio paslaugas (toliau – pertvarka).</w:t>
            </w:r>
            <w:r w:rsidR="00546FB7" w:rsidRPr="00F3331D">
              <w:rPr>
                <w:b/>
                <w:lang w:eastAsia="lt-LT"/>
              </w:rPr>
              <w:t xml:space="preserve"> </w:t>
            </w:r>
            <w:r w:rsidR="00546FB7" w:rsidRPr="00F3331D">
              <w:t xml:space="preserve">Pertvarką vykdo </w:t>
            </w:r>
            <w:r w:rsidR="00546FB7" w:rsidRPr="00F3331D">
              <w:rPr>
                <w:color w:val="000000"/>
              </w:rPr>
              <w:t>Lietuvos Respublikos ryšių reguliavimo tarnyba</w:t>
            </w:r>
            <w:r w:rsidR="00546FB7" w:rsidRPr="00072BCB">
              <w:t>.</w:t>
            </w:r>
          </w:p>
          <w:p w14:paraId="15B5C783" w14:textId="354C087C" w:rsidR="00B61C37" w:rsidRDefault="00B61C37" w:rsidP="00B61C37">
            <w:pPr>
              <w:pStyle w:val="Punktas"/>
              <w:numPr>
                <w:ilvl w:val="0"/>
                <w:numId w:val="0"/>
              </w:numPr>
            </w:pPr>
          </w:p>
          <w:p w14:paraId="61DD9F3F" w14:textId="1CCFFBAC" w:rsidR="00C159D3" w:rsidRDefault="00C159D3" w:rsidP="00C53966">
            <w:pPr>
              <w:jc w:val="both"/>
              <w:rPr>
                <w:rFonts w:ascii="Times New Roman" w:hAnsi="Times New Roman"/>
                <w:sz w:val="24"/>
                <w:szCs w:val="24"/>
              </w:rPr>
            </w:pPr>
          </w:p>
          <w:p w14:paraId="5B773A2E" w14:textId="77777777" w:rsidR="00FE33AF" w:rsidRPr="00472210" w:rsidRDefault="00091632" w:rsidP="00FE33AF">
            <w:pPr>
              <w:pStyle w:val="Punktas"/>
              <w:numPr>
                <w:ilvl w:val="0"/>
                <w:numId w:val="0"/>
              </w:numPr>
            </w:pPr>
            <w:bookmarkStart w:id="0" w:name="_Hlk510513854"/>
            <w:r>
              <w:t>1</w:t>
            </w:r>
            <w:r w:rsidR="000A492E">
              <w:t xml:space="preserve">2. </w:t>
            </w:r>
            <w:r w:rsidR="00FE33AF" w:rsidRPr="00472210">
              <w:t>Jeigu tam tikrose Lietuvos geografinėse vietovėse vykdant pertvarką negalima atlaisvinti 700 MHz radijo dažnių juostos dėl neišspręstų Aprašo 7 punkte nurodytų tarpvalstybinio koordinavimo klausimų, tose geografinėse vietovėse 700 MHz radijo dažnių juosta atlaisvinama per trumpiausią įmanomą terminą, kuris negali būti ilgesnis kaip vieni metai nuo koordinavimo susitarimų nuostatų taikymo pradžios dienos.</w:t>
            </w:r>
          </w:p>
          <w:p w14:paraId="530D402E" w14:textId="6BBADC13" w:rsidR="00091632" w:rsidRPr="00F3331D" w:rsidRDefault="00091632" w:rsidP="00091632">
            <w:pPr>
              <w:pStyle w:val="Punktas"/>
              <w:numPr>
                <w:ilvl w:val="0"/>
                <w:numId w:val="0"/>
              </w:numPr>
            </w:pPr>
          </w:p>
          <w:bookmarkEnd w:id="0"/>
          <w:p w14:paraId="0879643A" w14:textId="54708B73" w:rsidR="00A816A7" w:rsidRPr="00A902C8" w:rsidRDefault="00FE1185" w:rsidP="00FE1185">
            <w:pPr>
              <w:pStyle w:val="Punktas"/>
              <w:numPr>
                <w:ilvl w:val="0"/>
                <w:numId w:val="0"/>
              </w:numPr>
            </w:pPr>
            <w:r>
              <w:t xml:space="preserve">13. </w:t>
            </w:r>
            <w:r w:rsidR="00A816A7" w:rsidRPr="00A902C8">
              <w:t xml:space="preserve">Jeigu kurių nors radijo dažnių (kanalų) iš 700 MHz radijo dažnių juostos naudojimas antžeminei televizijai transliuoti Lietuvoje po 2020 m. birželio 30 d. yra nesuderinamas su jų naudojimu antžeminėms sistemoms, kuriomis galima teikti belaidžio plačiajuosčio elektroninio ryšio paslaugas </w:t>
            </w:r>
            <w:r w:rsidR="00A816A7">
              <w:t>gretimose</w:t>
            </w:r>
            <w:r w:rsidR="00A816A7" w:rsidRPr="00A902C8">
              <w:t xml:space="preserve"> Europos Sąjungos valstybėse, šie radijo dažniai (kanalai) pakeičiami kitais radijo dažniais iš 470–694 MHz radijo dažnių juostos prieš išsprendžiant </w:t>
            </w:r>
            <w:r w:rsidR="00A816A7" w:rsidRPr="00F36BA8">
              <w:t>Aprašo 7 punkte nurodytus tarpvalstybinio koordinavimo klausimus</w:t>
            </w:r>
            <w:r w:rsidR="00A816A7" w:rsidRPr="00A902C8">
              <w:t xml:space="preserve">, atsižvelgiant į Aprašo </w:t>
            </w:r>
            <w:r w:rsidR="00A816A7" w:rsidRPr="00A902C8">
              <w:fldChar w:fldCharType="begin"/>
            </w:r>
            <w:r w:rsidR="00A816A7" w:rsidRPr="00A902C8">
              <w:instrText xml:space="preserve"> REF  Atimam \n \h   \* MERGEFORMAT </w:instrText>
            </w:r>
            <w:r w:rsidR="00A816A7" w:rsidRPr="00A902C8">
              <w:fldChar w:fldCharType="separate"/>
            </w:r>
            <w:r w:rsidR="00A816A7" w:rsidRPr="00A902C8">
              <w:t>16.1</w:t>
            </w:r>
            <w:r w:rsidR="00A816A7" w:rsidRPr="00A902C8">
              <w:fldChar w:fldCharType="end"/>
            </w:r>
            <w:r w:rsidR="00A816A7" w:rsidRPr="00A902C8">
              <w:t xml:space="preserve"> ir </w:t>
            </w:r>
            <w:r w:rsidR="00A816A7" w:rsidRPr="00A902C8">
              <w:fldChar w:fldCharType="begin"/>
            </w:r>
            <w:r w:rsidR="00A816A7" w:rsidRPr="00A902C8">
              <w:instrText xml:space="preserve"> REF  Pakeiciam \n \h   \* MERGEFORMAT </w:instrText>
            </w:r>
            <w:r w:rsidR="00A816A7" w:rsidRPr="00A902C8">
              <w:fldChar w:fldCharType="separate"/>
            </w:r>
            <w:r w:rsidR="00A816A7" w:rsidRPr="00A902C8">
              <w:t>16.2</w:t>
            </w:r>
            <w:r w:rsidR="00A816A7" w:rsidRPr="00A902C8">
              <w:fldChar w:fldCharType="end"/>
            </w:r>
            <w:r w:rsidR="00A816A7" w:rsidRPr="00A902C8">
              <w:t xml:space="preserve"> papunkčių nuostatas. </w:t>
            </w:r>
          </w:p>
          <w:p w14:paraId="662CA96D" w14:textId="18E7F001" w:rsidR="00FA153A" w:rsidRDefault="00FA153A" w:rsidP="004A18ED">
            <w:pPr>
              <w:pStyle w:val="Punktas"/>
              <w:numPr>
                <w:ilvl w:val="0"/>
                <w:numId w:val="0"/>
              </w:numPr>
            </w:pPr>
          </w:p>
          <w:p w14:paraId="21224B34" w14:textId="77777777" w:rsidR="008B0A33" w:rsidRDefault="00CE6E2F" w:rsidP="008B0A33">
            <w:pPr>
              <w:pStyle w:val="Punktas"/>
              <w:numPr>
                <w:ilvl w:val="0"/>
                <w:numId w:val="0"/>
              </w:numPr>
              <w:rPr>
                <w:color w:val="000000"/>
              </w:rPr>
            </w:pPr>
            <w:r>
              <w:t>6</w:t>
            </w:r>
            <w:r w:rsidR="004A18ED">
              <w:t>. [....]</w:t>
            </w:r>
            <w:r w:rsidR="00743034">
              <w:t xml:space="preserve"> </w:t>
            </w:r>
            <w:r w:rsidR="00743034" w:rsidRPr="00F3331D">
              <w:t xml:space="preserve">Pertvarką vykdo </w:t>
            </w:r>
            <w:r w:rsidR="00743034" w:rsidRPr="00F3331D">
              <w:rPr>
                <w:color w:val="000000"/>
              </w:rPr>
              <w:t>Lietuvos Respublikos ryšių reguliavimo tarnyba</w:t>
            </w:r>
            <w:r w:rsidR="008B0A33">
              <w:rPr>
                <w:color w:val="000000"/>
              </w:rPr>
              <w:t>.</w:t>
            </w:r>
          </w:p>
          <w:p w14:paraId="4F77422E" w14:textId="16F8B411" w:rsidR="00721F20" w:rsidRPr="001721EF" w:rsidRDefault="00721F20" w:rsidP="00721F20">
            <w:pPr>
              <w:pStyle w:val="Punktas"/>
              <w:numPr>
                <w:ilvl w:val="0"/>
                <w:numId w:val="0"/>
              </w:numPr>
              <w:rPr>
                <w:color w:val="FF0000"/>
              </w:rPr>
            </w:pPr>
            <w:r>
              <w:rPr>
                <w:lang w:eastAsia="lt-LT"/>
              </w:rPr>
              <w:lastRenderedPageBreak/>
              <w:t xml:space="preserve">7. </w:t>
            </w:r>
            <w:r w:rsidRPr="00F3331D">
              <w:rPr>
                <w:lang w:eastAsia="lt-LT"/>
              </w:rPr>
              <w:t>Ryšių reguliavimo tarnyba privalo</w:t>
            </w:r>
            <w:r>
              <w:rPr>
                <w:lang w:eastAsia="lt-LT"/>
              </w:rPr>
              <w:t xml:space="preserve"> siekti</w:t>
            </w:r>
            <w:r w:rsidRPr="00F3331D">
              <w:rPr>
                <w:lang w:eastAsia="lt-LT"/>
              </w:rPr>
              <w:t xml:space="preserve">, kad su Europos Sąjungai nepriklausančiomis </w:t>
            </w:r>
            <w:r>
              <w:rPr>
                <w:lang w:eastAsia="lt-LT"/>
              </w:rPr>
              <w:t xml:space="preserve">gretimomis </w:t>
            </w:r>
            <w:r w:rsidRPr="00F3331D">
              <w:rPr>
                <w:lang w:eastAsia="lt-LT"/>
              </w:rPr>
              <w:t xml:space="preserve">valstybėmis būtų kuo greičiau </w:t>
            </w:r>
            <w:r>
              <w:rPr>
                <w:lang w:eastAsia="lt-LT"/>
              </w:rPr>
              <w:t xml:space="preserve">susitarta dėl </w:t>
            </w:r>
            <w:r w:rsidRPr="00F3331D">
              <w:rPr>
                <w:lang w:eastAsia="lt-LT"/>
              </w:rPr>
              <w:t>tarpvalstybini</w:t>
            </w:r>
            <w:r>
              <w:rPr>
                <w:lang w:eastAsia="lt-LT"/>
              </w:rPr>
              <w:t>o</w:t>
            </w:r>
            <w:r w:rsidRPr="00F3331D">
              <w:rPr>
                <w:lang w:eastAsia="lt-LT"/>
              </w:rPr>
              <w:t xml:space="preserve"> radijo dažnių (kanalų) koordinavimo ir sudaryti susitarimai dėl naujų skaitmeninės antžeminės televizijos radijo dažnių (kanalų) iš 470–694 MHz radijo dažnių juostos, </w:t>
            </w:r>
            <w:r>
              <w:rPr>
                <w:lang w:eastAsia="lt-LT"/>
              </w:rPr>
              <w:t xml:space="preserve">kurie </w:t>
            </w:r>
            <w:r w:rsidRPr="00F3331D">
              <w:rPr>
                <w:lang w:eastAsia="lt-LT"/>
              </w:rPr>
              <w:t>reikaling</w:t>
            </w:r>
            <w:r>
              <w:rPr>
                <w:lang w:eastAsia="lt-LT"/>
              </w:rPr>
              <w:t>i</w:t>
            </w:r>
            <w:r w:rsidRPr="00F3331D">
              <w:rPr>
                <w:lang w:eastAsia="lt-LT"/>
              </w:rPr>
              <w:t xml:space="preserve"> pertvarkai atlikti, naudojimo ir dėl elektromagnetinio suderinamumo tarp</w:t>
            </w:r>
            <w:r>
              <w:rPr>
                <w:lang w:eastAsia="lt-LT"/>
              </w:rPr>
              <w:t xml:space="preserve"> </w:t>
            </w:r>
            <w:r w:rsidRPr="00F3331D">
              <w:rPr>
                <w:lang w:eastAsia="lt-LT"/>
              </w:rPr>
              <w:t>antžeminės televizijos ir belaidžio plačiajuosčio ryšio sistemų užtikrinimo 700 MHz radijo dažnių juostoje</w:t>
            </w:r>
            <w:r>
              <w:rPr>
                <w:lang w:eastAsia="lt-LT"/>
              </w:rPr>
              <w:t xml:space="preserve"> </w:t>
            </w:r>
            <w:r w:rsidRPr="00B13918">
              <w:rPr>
                <w:lang w:eastAsia="lt-LT"/>
              </w:rPr>
              <w:t>(toliau – koordinavimo susitarimai)</w:t>
            </w:r>
            <w:r w:rsidRPr="00B13918">
              <w:t>.</w:t>
            </w:r>
          </w:p>
          <w:p w14:paraId="508596D0" w14:textId="41D099E0" w:rsidR="00542E1E" w:rsidRPr="00FA153A" w:rsidRDefault="00542E1E" w:rsidP="008B0A33">
            <w:pPr>
              <w:pStyle w:val="Punktas"/>
              <w:numPr>
                <w:ilvl w:val="0"/>
                <w:numId w:val="0"/>
              </w:numPr>
            </w:pPr>
          </w:p>
        </w:tc>
        <w:tc>
          <w:tcPr>
            <w:tcW w:w="600" w:type="pct"/>
          </w:tcPr>
          <w:p w14:paraId="2FF79A7B" w14:textId="6AB74DF6" w:rsidR="000A262D" w:rsidRPr="000C2129" w:rsidRDefault="000956C5">
            <w:pPr>
              <w:rPr>
                <w:rFonts w:ascii="Times New Roman" w:hAnsi="Times New Roman"/>
                <w:bCs/>
                <w:sz w:val="24"/>
                <w:szCs w:val="24"/>
              </w:rPr>
            </w:pPr>
            <w:r>
              <w:rPr>
                <w:rFonts w:ascii="Times New Roman" w:hAnsi="Times New Roman"/>
                <w:bCs/>
                <w:sz w:val="24"/>
                <w:szCs w:val="24"/>
              </w:rPr>
              <w:lastRenderedPageBreak/>
              <w:t>Dalinis</w:t>
            </w:r>
          </w:p>
        </w:tc>
      </w:tr>
      <w:tr w:rsidR="000A262D" w:rsidRPr="00BF21F3" w14:paraId="210E1309" w14:textId="77777777" w:rsidTr="00FD1F63">
        <w:tc>
          <w:tcPr>
            <w:tcW w:w="2144" w:type="pct"/>
          </w:tcPr>
          <w:p w14:paraId="2877C240" w14:textId="343CF4E0" w:rsidR="009127C2" w:rsidRPr="009127C2" w:rsidRDefault="000A262D" w:rsidP="009127C2">
            <w:pPr>
              <w:jc w:val="both"/>
              <w:rPr>
                <w:rFonts w:ascii="Times New Roman" w:hAnsi="Times New Roman"/>
                <w:b/>
                <w:iCs/>
                <w:sz w:val="24"/>
                <w:szCs w:val="24"/>
              </w:rPr>
            </w:pPr>
            <w:r w:rsidRPr="009127C2">
              <w:rPr>
                <w:rFonts w:ascii="Times New Roman" w:hAnsi="Times New Roman"/>
                <w:b/>
                <w:iCs/>
                <w:sz w:val="24"/>
                <w:szCs w:val="24"/>
              </w:rPr>
              <w:t>4 straipsnis</w:t>
            </w:r>
          </w:p>
          <w:p w14:paraId="193C6266" w14:textId="5F6E5555" w:rsidR="000A262D" w:rsidRDefault="000A262D" w:rsidP="000118E1">
            <w:pPr>
              <w:jc w:val="both"/>
            </w:pPr>
            <w:r w:rsidRPr="009127C2">
              <w:rPr>
                <w:rFonts w:ascii="Times New Roman" w:hAnsi="Times New Roman"/>
                <w:iCs/>
                <w:sz w:val="24"/>
                <w:szCs w:val="24"/>
              </w:rPr>
              <w:t>Valstybės narės užtikrina, kad 470–694 MHz (toliau – žemesni nei 700 MHz) dažnių juostą bent iki 2030 m. būtų galima naudoti transliavimo paslaugoms, įskaitant nemokamą televiziją, teikiamoms naudojant antžeminį ryšį, taip pat belaidei garso PMSE, remiantis nacionaliniais poreikiais, kartu atsižvelgiant į technologijų neutralumo principą. Valstybės narės užtikrina, kad bet koks kitas žemesnių nei 700 MHz dažnių juostos naudojimas jų teritorijoje būtų suderinamas su nacionaliniais</w:t>
            </w:r>
            <w:r w:rsidRPr="009127C2">
              <w:rPr>
                <w:rFonts w:ascii="Times New Roman" w:hAnsi="Times New Roman"/>
                <w:sz w:val="24"/>
                <w:szCs w:val="24"/>
              </w:rPr>
              <w:t xml:space="preserve"> transliavimo poreikiais atitinkamoje valstybėje narėje ir nekeltų žalingųjų trukdžių antžeminiam ryšiui, naudojamam transliavimo paslaugoms teikti </w:t>
            </w:r>
            <w:r w:rsidRPr="00051020">
              <w:rPr>
                <w:rFonts w:ascii="Times New Roman" w:hAnsi="Times New Roman"/>
                <w:sz w:val="24"/>
                <w:szCs w:val="24"/>
              </w:rPr>
              <w:t>kaimyninėje valstybėje narėje</w:t>
            </w:r>
            <w:r w:rsidRPr="009127C2">
              <w:rPr>
                <w:rFonts w:ascii="Times New Roman" w:hAnsi="Times New Roman"/>
                <w:sz w:val="24"/>
                <w:szCs w:val="24"/>
              </w:rPr>
              <w:t>, ir kad taip naudojant šią juostą nebūtų reikalaujama apsaugos nuo tokių trukdžių. Taip naudojant dažnių juostą nedaromas poveikis įsipareigojimams pagal tarptautinius susitarimus, kaip antai susitarimus dėl tarpvalstybinio dažnių koordinavimo.</w:t>
            </w:r>
          </w:p>
        </w:tc>
        <w:tc>
          <w:tcPr>
            <w:tcW w:w="2255" w:type="pct"/>
          </w:tcPr>
          <w:p w14:paraId="01EC4F4D" w14:textId="77777777" w:rsidR="00934301" w:rsidRPr="00F3331D" w:rsidRDefault="003F7B81" w:rsidP="00934301">
            <w:pPr>
              <w:pStyle w:val="Punktas"/>
              <w:numPr>
                <w:ilvl w:val="0"/>
                <w:numId w:val="0"/>
              </w:numPr>
            </w:pPr>
            <w:r>
              <w:t xml:space="preserve">4. </w:t>
            </w:r>
            <w:r w:rsidR="00934301">
              <w:t>Siekiant užtikrinti tvarią s</w:t>
            </w:r>
            <w:r w:rsidR="00934301" w:rsidRPr="00F3331D">
              <w:t>kaitmeninė</w:t>
            </w:r>
            <w:r w:rsidR="00934301">
              <w:t>s</w:t>
            </w:r>
            <w:r w:rsidR="00934301" w:rsidRPr="00F3331D">
              <w:t xml:space="preserve"> antžeminė</w:t>
            </w:r>
            <w:r w:rsidR="00934301">
              <w:t>s</w:t>
            </w:r>
            <w:r w:rsidR="00934301" w:rsidRPr="00F3331D">
              <w:t xml:space="preserve"> televizij</w:t>
            </w:r>
            <w:r w:rsidR="00934301">
              <w:t>os</w:t>
            </w:r>
            <w:r w:rsidR="00934301" w:rsidRPr="00F3331D">
              <w:t xml:space="preserve"> </w:t>
            </w:r>
            <w:r w:rsidR="00934301" w:rsidRPr="00373A7B">
              <w:t>Lietuvoje</w:t>
            </w:r>
            <w:r w:rsidR="00934301" w:rsidRPr="00F3331D">
              <w:t xml:space="preserve"> </w:t>
            </w:r>
            <w:r w:rsidR="00934301">
              <w:t>plėtrą, palankią investicinę aplinką ir technologinę pažangą, skaitmeninė antžeminė televizija Lietuvoje diegiama ir plėtojama:</w:t>
            </w:r>
          </w:p>
          <w:p w14:paraId="7AAE1A70" w14:textId="7D949E10" w:rsidR="0025724E" w:rsidRPr="00F3331D" w:rsidRDefault="0025724E" w:rsidP="0025724E">
            <w:pPr>
              <w:pStyle w:val="Punktas"/>
              <w:numPr>
                <w:ilvl w:val="0"/>
                <w:numId w:val="0"/>
              </w:numPr>
            </w:pPr>
          </w:p>
          <w:p w14:paraId="323EF619" w14:textId="27EEA586" w:rsidR="003F7B81" w:rsidRDefault="00880F69" w:rsidP="003F7B81">
            <w:pPr>
              <w:pStyle w:val="Punktas"/>
              <w:numPr>
                <w:ilvl w:val="0"/>
                <w:numId w:val="0"/>
              </w:numPr>
            </w:pPr>
            <w:r w:rsidRPr="00880F69">
              <w:t xml:space="preserve">4.2 </w:t>
            </w:r>
            <w:r w:rsidR="003F7B81" w:rsidRPr="00F3331D">
              <w:t xml:space="preserve">470–694 MHz radijo dažnių juostoje – </w:t>
            </w:r>
            <w:r w:rsidR="0025724E">
              <w:t>bent</w:t>
            </w:r>
            <w:r w:rsidR="003F7B81" w:rsidRPr="00F3331D">
              <w:t xml:space="preserve"> iki 2030 m.;</w:t>
            </w:r>
          </w:p>
          <w:p w14:paraId="0950C346" w14:textId="77777777" w:rsidR="009B5CD2" w:rsidRPr="00F3331D" w:rsidRDefault="009B5CD2" w:rsidP="003F7B81">
            <w:pPr>
              <w:pStyle w:val="Punktas"/>
              <w:numPr>
                <w:ilvl w:val="0"/>
                <w:numId w:val="0"/>
              </w:numPr>
            </w:pPr>
          </w:p>
          <w:p w14:paraId="6B7286A7" w14:textId="23F74882" w:rsidR="001D3BA9" w:rsidRDefault="00B0424A" w:rsidP="00617A47">
            <w:pPr>
              <w:pStyle w:val="Punktas"/>
              <w:numPr>
                <w:ilvl w:val="0"/>
                <w:numId w:val="0"/>
              </w:numPr>
            </w:pPr>
            <w:r>
              <w:t>6</w:t>
            </w:r>
            <w:r w:rsidR="000118E1">
              <w:t>. [....]</w:t>
            </w:r>
            <w:r w:rsidR="001D3BA9" w:rsidRPr="00F3331D">
              <w:t xml:space="preserve">Pertvarką vykdo </w:t>
            </w:r>
            <w:r w:rsidR="001D3BA9" w:rsidRPr="00F3331D">
              <w:rPr>
                <w:color w:val="000000"/>
              </w:rPr>
              <w:t>Lietuvos Respublikos ryšių reguliavimo tarnyba</w:t>
            </w:r>
            <w:r w:rsidR="001D3BA9" w:rsidRPr="00F3331D">
              <w:t>.</w:t>
            </w:r>
          </w:p>
          <w:p w14:paraId="52E24C85" w14:textId="77777777" w:rsidR="009B5CD2" w:rsidRDefault="009B5CD2" w:rsidP="00617A47">
            <w:pPr>
              <w:pStyle w:val="Punktas"/>
              <w:numPr>
                <w:ilvl w:val="0"/>
                <w:numId w:val="0"/>
              </w:numPr>
            </w:pPr>
          </w:p>
          <w:p w14:paraId="3C979854" w14:textId="2A861AD7" w:rsidR="000118E1" w:rsidRPr="004B23BD" w:rsidRDefault="001257E1" w:rsidP="00617A47">
            <w:pPr>
              <w:pStyle w:val="Punktas"/>
              <w:numPr>
                <w:ilvl w:val="0"/>
                <w:numId w:val="0"/>
              </w:numPr>
            </w:pPr>
            <w:r>
              <w:t xml:space="preserve">9. </w:t>
            </w:r>
            <w:r w:rsidR="00EB2D98" w:rsidRPr="00F3331D">
              <w:t xml:space="preserve">Atsižvelgdama į </w:t>
            </w:r>
            <w:r w:rsidR="00EB2D98">
              <w:t>sudarytus</w:t>
            </w:r>
            <w:r w:rsidR="00EB2D98" w:rsidRPr="00F3331D">
              <w:t xml:space="preserve"> </w:t>
            </w:r>
            <w:r w:rsidR="00EB2D98" w:rsidRPr="006C75BE">
              <w:t>koordinavimo</w:t>
            </w:r>
            <w:r w:rsidR="00EB2D98" w:rsidRPr="00F3331D">
              <w:t xml:space="preserve"> susitarimus </w:t>
            </w:r>
            <w:r w:rsidR="00EB2D98" w:rsidRPr="00F3331D">
              <w:rPr>
                <w:color w:val="000000"/>
              </w:rPr>
              <w:t>Ryšių reguliavimo tarnyba</w:t>
            </w:r>
            <w:r w:rsidR="00EB2D98" w:rsidRPr="00F3331D">
              <w:t xml:space="preserve"> formuoja 6 nacionalinės aprėpties skaitmeninės antžeminės televizijos tinklus</w:t>
            </w:r>
            <w:r w:rsidR="00EB2D98" w:rsidRPr="00F3331D">
              <w:t xml:space="preserve"> </w:t>
            </w:r>
            <w:r w:rsidR="006823D9">
              <w:t>[...]</w:t>
            </w:r>
          </w:p>
        </w:tc>
        <w:tc>
          <w:tcPr>
            <w:tcW w:w="600" w:type="pct"/>
          </w:tcPr>
          <w:p w14:paraId="1EBBADFA" w14:textId="0083D7AC" w:rsidR="000A262D" w:rsidRPr="00880F69" w:rsidRDefault="00F22AFE">
            <w:pPr>
              <w:rPr>
                <w:rFonts w:ascii="Times New Roman" w:hAnsi="Times New Roman"/>
                <w:bCs/>
                <w:sz w:val="24"/>
                <w:szCs w:val="24"/>
              </w:rPr>
            </w:pPr>
            <w:r>
              <w:rPr>
                <w:rFonts w:ascii="Times New Roman" w:hAnsi="Times New Roman"/>
                <w:bCs/>
                <w:sz w:val="24"/>
                <w:szCs w:val="24"/>
              </w:rPr>
              <w:t>Dalinis</w:t>
            </w:r>
          </w:p>
        </w:tc>
      </w:tr>
      <w:tr w:rsidR="00013474" w:rsidRPr="00BF21F3" w14:paraId="505BB42F" w14:textId="77777777" w:rsidTr="00FD1F63">
        <w:tc>
          <w:tcPr>
            <w:tcW w:w="2144" w:type="pct"/>
          </w:tcPr>
          <w:p w14:paraId="5FC6B417" w14:textId="77777777" w:rsidR="00B507D5" w:rsidRPr="00BF21F3" w:rsidRDefault="00B507D5" w:rsidP="00B507D5">
            <w:pPr>
              <w:jc w:val="both"/>
              <w:rPr>
                <w:rFonts w:ascii="Times New Roman" w:hAnsi="Times New Roman"/>
                <w:b/>
                <w:iCs/>
                <w:sz w:val="24"/>
                <w:szCs w:val="24"/>
              </w:rPr>
            </w:pPr>
            <w:r w:rsidRPr="00BF21F3">
              <w:rPr>
                <w:rFonts w:ascii="Times New Roman" w:hAnsi="Times New Roman"/>
                <w:b/>
                <w:iCs/>
                <w:sz w:val="24"/>
                <w:szCs w:val="24"/>
              </w:rPr>
              <w:t xml:space="preserve">5 straipsnis </w:t>
            </w:r>
          </w:p>
          <w:p w14:paraId="5D2F42DB" w14:textId="77777777" w:rsidR="00013474" w:rsidRDefault="00B507D5" w:rsidP="00B507D5">
            <w:pPr>
              <w:jc w:val="both"/>
              <w:rPr>
                <w:rFonts w:ascii="Times New Roman" w:hAnsi="Times New Roman"/>
                <w:sz w:val="24"/>
                <w:szCs w:val="24"/>
              </w:rPr>
            </w:pPr>
            <w:r w:rsidRPr="00BF21F3">
              <w:rPr>
                <w:rFonts w:ascii="Times New Roman" w:hAnsi="Times New Roman"/>
                <w:sz w:val="24"/>
                <w:szCs w:val="24"/>
              </w:rPr>
              <w:t xml:space="preserve">1.Valstybės narės kuo anksčiau, bet ne vėliau kaip 2018 m. birželio 30 d., priima ir paskelbia savo nacionalinius planus ir tvarkaraščius (toliau – nacionalinius veiksmų planus), įskaitant išsamius žingsnius, kaip jos vykdys pareigas pagal 1 ir 4 straipsnius. Valstybės narės parengia savo nacionalinius </w:t>
            </w:r>
            <w:r w:rsidRPr="00BF21F3">
              <w:rPr>
                <w:rFonts w:ascii="Times New Roman" w:hAnsi="Times New Roman"/>
                <w:sz w:val="24"/>
                <w:szCs w:val="24"/>
              </w:rPr>
              <w:lastRenderedPageBreak/>
              <w:t>veiksmų planus pasikonsultavusios su visais atitinkamais suinteresuotaisiais subjektais.</w:t>
            </w:r>
          </w:p>
          <w:p w14:paraId="10EF48F1" w14:textId="77777777" w:rsidR="003873D8" w:rsidRDefault="003873D8" w:rsidP="00B507D5">
            <w:pPr>
              <w:jc w:val="both"/>
              <w:rPr>
                <w:rFonts w:ascii="Times New Roman" w:hAnsi="Times New Roman"/>
                <w:b/>
                <w:sz w:val="24"/>
                <w:szCs w:val="24"/>
              </w:rPr>
            </w:pPr>
          </w:p>
          <w:p w14:paraId="214BA3E0" w14:textId="77777777" w:rsidR="003873D8" w:rsidRDefault="003873D8" w:rsidP="00B507D5">
            <w:pPr>
              <w:jc w:val="both"/>
              <w:rPr>
                <w:rFonts w:ascii="Times New Roman" w:hAnsi="Times New Roman"/>
                <w:sz w:val="24"/>
                <w:szCs w:val="24"/>
              </w:rPr>
            </w:pPr>
          </w:p>
          <w:p w14:paraId="74BF49FB" w14:textId="77777777" w:rsidR="003873D8" w:rsidRDefault="003873D8" w:rsidP="00B507D5">
            <w:pPr>
              <w:jc w:val="both"/>
              <w:rPr>
                <w:rFonts w:ascii="Times New Roman" w:hAnsi="Times New Roman"/>
                <w:sz w:val="24"/>
                <w:szCs w:val="24"/>
              </w:rPr>
            </w:pPr>
          </w:p>
          <w:p w14:paraId="58FC0C0E" w14:textId="77777777" w:rsidR="003873D8" w:rsidRDefault="003873D8" w:rsidP="00B507D5">
            <w:pPr>
              <w:jc w:val="both"/>
              <w:rPr>
                <w:rFonts w:ascii="Times New Roman" w:hAnsi="Times New Roman"/>
                <w:sz w:val="24"/>
                <w:szCs w:val="24"/>
              </w:rPr>
            </w:pPr>
          </w:p>
          <w:p w14:paraId="12AF9935" w14:textId="77777777" w:rsidR="003873D8" w:rsidRDefault="003873D8" w:rsidP="00B507D5">
            <w:pPr>
              <w:jc w:val="both"/>
              <w:rPr>
                <w:rFonts w:ascii="Times New Roman" w:hAnsi="Times New Roman"/>
                <w:sz w:val="24"/>
                <w:szCs w:val="24"/>
              </w:rPr>
            </w:pPr>
          </w:p>
          <w:p w14:paraId="78C06D82" w14:textId="77777777" w:rsidR="003873D8" w:rsidRDefault="003873D8" w:rsidP="00B507D5">
            <w:pPr>
              <w:jc w:val="both"/>
              <w:rPr>
                <w:rFonts w:ascii="Times New Roman" w:hAnsi="Times New Roman"/>
                <w:sz w:val="24"/>
                <w:szCs w:val="24"/>
              </w:rPr>
            </w:pPr>
          </w:p>
          <w:p w14:paraId="793F22C7" w14:textId="77777777" w:rsidR="003873D8" w:rsidRDefault="003873D8" w:rsidP="00B507D5">
            <w:pPr>
              <w:jc w:val="both"/>
              <w:rPr>
                <w:rFonts w:ascii="Times New Roman" w:hAnsi="Times New Roman"/>
                <w:sz w:val="24"/>
                <w:szCs w:val="24"/>
              </w:rPr>
            </w:pPr>
          </w:p>
          <w:p w14:paraId="7AA4D27D" w14:textId="77777777" w:rsidR="003873D8" w:rsidRDefault="003873D8" w:rsidP="00B507D5">
            <w:pPr>
              <w:jc w:val="both"/>
              <w:rPr>
                <w:rFonts w:ascii="Times New Roman" w:hAnsi="Times New Roman"/>
                <w:sz w:val="24"/>
                <w:szCs w:val="24"/>
              </w:rPr>
            </w:pPr>
          </w:p>
          <w:p w14:paraId="517BE567" w14:textId="77777777" w:rsidR="003873D8" w:rsidRDefault="003873D8" w:rsidP="00B507D5">
            <w:pPr>
              <w:jc w:val="both"/>
              <w:rPr>
                <w:rFonts w:ascii="Times New Roman" w:hAnsi="Times New Roman"/>
                <w:sz w:val="24"/>
                <w:szCs w:val="24"/>
              </w:rPr>
            </w:pPr>
          </w:p>
          <w:p w14:paraId="75E11841" w14:textId="77777777" w:rsidR="003873D8" w:rsidRDefault="003873D8" w:rsidP="00B507D5">
            <w:pPr>
              <w:jc w:val="both"/>
              <w:rPr>
                <w:rFonts w:ascii="Times New Roman" w:hAnsi="Times New Roman"/>
                <w:sz w:val="24"/>
                <w:szCs w:val="24"/>
              </w:rPr>
            </w:pPr>
          </w:p>
          <w:p w14:paraId="781E7704" w14:textId="77777777" w:rsidR="003873D8" w:rsidRDefault="003873D8" w:rsidP="00B507D5">
            <w:pPr>
              <w:jc w:val="both"/>
              <w:rPr>
                <w:rFonts w:ascii="Times New Roman" w:hAnsi="Times New Roman"/>
                <w:sz w:val="24"/>
                <w:szCs w:val="24"/>
              </w:rPr>
            </w:pPr>
          </w:p>
          <w:p w14:paraId="08E6B620" w14:textId="77777777" w:rsidR="003873D8" w:rsidRDefault="003873D8" w:rsidP="00B507D5">
            <w:pPr>
              <w:jc w:val="both"/>
              <w:rPr>
                <w:rFonts w:ascii="Times New Roman" w:hAnsi="Times New Roman"/>
                <w:sz w:val="24"/>
                <w:szCs w:val="24"/>
              </w:rPr>
            </w:pPr>
          </w:p>
          <w:p w14:paraId="26D6C874" w14:textId="77777777" w:rsidR="003873D8" w:rsidRDefault="003873D8" w:rsidP="00B507D5">
            <w:pPr>
              <w:jc w:val="both"/>
              <w:rPr>
                <w:rFonts w:ascii="Times New Roman" w:hAnsi="Times New Roman"/>
                <w:sz w:val="24"/>
                <w:szCs w:val="24"/>
              </w:rPr>
            </w:pPr>
          </w:p>
          <w:p w14:paraId="3660F237" w14:textId="77777777" w:rsidR="003873D8" w:rsidRDefault="003873D8" w:rsidP="00B507D5">
            <w:pPr>
              <w:jc w:val="both"/>
              <w:rPr>
                <w:rFonts w:ascii="Times New Roman" w:hAnsi="Times New Roman"/>
                <w:sz w:val="24"/>
                <w:szCs w:val="24"/>
              </w:rPr>
            </w:pPr>
          </w:p>
          <w:p w14:paraId="3440A55F" w14:textId="77777777" w:rsidR="003873D8" w:rsidRDefault="003873D8" w:rsidP="00B507D5">
            <w:pPr>
              <w:jc w:val="both"/>
              <w:rPr>
                <w:rFonts w:ascii="Times New Roman" w:hAnsi="Times New Roman"/>
                <w:sz w:val="24"/>
                <w:szCs w:val="24"/>
              </w:rPr>
            </w:pPr>
          </w:p>
          <w:p w14:paraId="54F8B72B" w14:textId="77777777" w:rsidR="003873D8" w:rsidRDefault="003873D8" w:rsidP="00B507D5">
            <w:pPr>
              <w:jc w:val="both"/>
              <w:rPr>
                <w:rFonts w:ascii="Times New Roman" w:hAnsi="Times New Roman"/>
                <w:sz w:val="24"/>
                <w:szCs w:val="24"/>
              </w:rPr>
            </w:pPr>
          </w:p>
          <w:p w14:paraId="31377710" w14:textId="77777777" w:rsidR="00940DD4" w:rsidRDefault="00940DD4" w:rsidP="00B507D5">
            <w:pPr>
              <w:jc w:val="both"/>
              <w:rPr>
                <w:rFonts w:ascii="Times New Roman" w:hAnsi="Times New Roman"/>
                <w:sz w:val="24"/>
                <w:szCs w:val="24"/>
              </w:rPr>
            </w:pPr>
          </w:p>
          <w:p w14:paraId="64F7C266" w14:textId="2D7E4C45" w:rsidR="003873D8" w:rsidRPr="003873D8" w:rsidRDefault="003873D8" w:rsidP="00B507D5">
            <w:pPr>
              <w:jc w:val="both"/>
              <w:rPr>
                <w:rFonts w:ascii="Times New Roman" w:hAnsi="Times New Roman"/>
                <w:b/>
                <w:sz w:val="24"/>
                <w:szCs w:val="24"/>
              </w:rPr>
            </w:pPr>
            <w:r w:rsidRPr="003873D8">
              <w:rPr>
                <w:rFonts w:ascii="Times New Roman" w:hAnsi="Times New Roman"/>
                <w:sz w:val="24"/>
                <w:szCs w:val="24"/>
              </w:rPr>
              <w:t xml:space="preserve">2.Siekdamos užtikrinti, kad 700 MHz dažnių juosta būtų naudojama pagal 1 straipsnio 1 dalį, valstybės narės savo nacionaliniuose veiksmų planuose, kai tinkama, nurodo informaciją apie priemones, įskaitant visas paramos priemones, kuriomis siekiama sumažinti būsimo perėjimo proceso poveikį visuomenei bei belaidės garso PMSE naudojimui </w:t>
            </w:r>
            <w:r w:rsidRPr="001B2813">
              <w:rPr>
                <w:rFonts w:ascii="Times New Roman" w:hAnsi="Times New Roman"/>
                <w:sz w:val="24"/>
                <w:szCs w:val="24"/>
              </w:rPr>
              <w:t>ir sudaryti palankias sąlygas tam, kad vidaus rinkoje būtų galima laiku įsigyti sąveikios televizijos transliavimo tinklo įrangos ir imtuvų.</w:t>
            </w:r>
          </w:p>
        </w:tc>
        <w:tc>
          <w:tcPr>
            <w:tcW w:w="2255" w:type="pct"/>
          </w:tcPr>
          <w:p w14:paraId="39B44804" w14:textId="14124D39" w:rsidR="00B347C2" w:rsidRDefault="00B347C2" w:rsidP="00B347C2">
            <w:pPr>
              <w:pStyle w:val="Punktas"/>
              <w:numPr>
                <w:ilvl w:val="0"/>
                <w:numId w:val="0"/>
              </w:numPr>
            </w:pPr>
            <w:r>
              <w:lastRenderedPageBreak/>
              <w:t xml:space="preserve">1. </w:t>
            </w:r>
            <w:r w:rsidR="00C6346C" w:rsidRPr="00F3331D">
              <w:t>Skaitmeninės</w:t>
            </w:r>
            <w:r w:rsidR="00C6346C">
              <w:t xml:space="preserve"> antžeminės </w:t>
            </w:r>
            <w:r w:rsidR="00C6346C" w:rsidRPr="00F3331D">
              <w:t>televizijos diegimo</w:t>
            </w:r>
            <w:r w:rsidR="00C6346C">
              <w:t xml:space="preserve"> ir</w:t>
            </w:r>
            <w:r w:rsidR="00C6346C" w:rsidRPr="00F3331D">
              <w:t xml:space="preserve"> </w:t>
            </w:r>
            <w:r w:rsidR="00C6346C">
              <w:t>plėtros</w:t>
            </w:r>
            <w:r w:rsidR="00C6346C" w:rsidRPr="00F3331D">
              <w:t xml:space="preserve"> Lietuvoje modelio aprašas (toliau – Aprašas) nustato bendruosius skaitmeninės antžeminės televizijos diegimo</w:t>
            </w:r>
            <w:r w:rsidR="00C6346C">
              <w:t xml:space="preserve"> ir plėtros</w:t>
            </w:r>
            <w:r w:rsidR="00C6346C" w:rsidRPr="00F3331D">
              <w:t xml:space="preserve"> Lietuvoje </w:t>
            </w:r>
            <w:r w:rsidR="00C6346C" w:rsidRPr="00BE7CCB">
              <w:t>tikslus</w:t>
            </w:r>
            <w:r w:rsidR="00C6346C" w:rsidRPr="00F3331D">
              <w:t xml:space="preserve"> ir skaitmeninės antžeminės televizijos </w:t>
            </w:r>
            <w:r w:rsidR="00C6346C">
              <w:t xml:space="preserve">pertvarkos </w:t>
            </w:r>
            <w:r w:rsidR="00C6346C" w:rsidRPr="00F3331D">
              <w:t xml:space="preserve">Lietuvoje </w:t>
            </w:r>
            <w:r w:rsidR="00C6346C">
              <w:t>eigą</w:t>
            </w:r>
            <w:r w:rsidR="00C6346C" w:rsidRPr="00F3331D">
              <w:t xml:space="preserve"> ir terminus</w:t>
            </w:r>
            <w:r w:rsidR="00C6346C">
              <w:t>.</w:t>
            </w:r>
          </w:p>
          <w:p w14:paraId="1D293636" w14:textId="77777777" w:rsidR="00C6346C" w:rsidRPr="00F3331D" w:rsidRDefault="00C6346C" w:rsidP="00B347C2">
            <w:pPr>
              <w:pStyle w:val="Punktas"/>
              <w:numPr>
                <w:ilvl w:val="0"/>
                <w:numId w:val="0"/>
              </w:numPr>
            </w:pPr>
          </w:p>
          <w:p w14:paraId="1CDE32EF" w14:textId="77777777" w:rsidR="00C23A62" w:rsidRPr="00F3331D" w:rsidRDefault="003B5C82" w:rsidP="00C23A62">
            <w:pPr>
              <w:pStyle w:val="Punktas"/>
              <w:numPr>
                <w:ilvl w:val="0"/>
                <w:numId w:val="0"/>
              </w:numPr>
            </w:pPr>
            <w:r w:rsidRPr="00F24435">
              <w:lastRenderedPageBreak/>
              <w:t xml:space="preserve">2. </w:t>
            </w:r>
            <w:r w:rsidR="00C23A62" w:rsidRPr="00F3331D">
              <w:t xml:space="preserve">Aprašas parengtas atsižvelgiant į ankstesniuose skaitmeninės antžeminės televizijos diegimo etapuose pasiektus rezultatus ir </w:t>
            </w:r>
            <w:r w:rsidR="00C23A62">
              <w:t xml:space="preserve">skaitmeninės </w:t>
            </w:r>
            <w:r w:rsidR="00C23A62" w:rsidRPr="00F3331D">
              <w:t>antžeminės televizijos transliavimo technologijų pažangą, pasikeitusį teisinį reglamentavimą.</w:t>
            </w:r>
          </w:p>
          <w:p w14:paraId="7AEF1FF4" w14:textId="00CB934A" w:rsidR="00E72175" w:rsidRPr="00F3331D" w:rsidRDefault="00E72175" w:rsidP="00E72175">
            <w:pPr>
              <w:pStyle w:val="Punktas"/>
              <w:numPr>
                <w:ilvl w:val="0"/>
                <w:numId w:val="0"/>
              </w:numPr>
            </w:pPr>
          </w:p>
          <w:p w14:paraId="75F36E6C" w14:textId="77777777" w:rsidR="00962018" w:rsidRPr="000C0D71" w:rsidRDefault="00962018" w:rsidP="00962018">
            <w:pPr>
              <w:pStyle w:val="Punktas"/>
              <w:numPr>
                <w:ilvl w:val="0"/>
                <w:numId w:val="0"/>
              </w:numPr>
              <w:rPr>
                <w:color w:val="FF0000"/>
              </w:rPr>
            </w:pPr>
            <w:r>
              <w:rPr>
                <w:lang w:eastAsia="lt-LT"/>
              </w:rPr>
              <w:t>6. R</w:t>
            </w:r>
            <w:r w:rsidRPr="00F3331D">
              <w:rPr>
                <w:lang w:eastAsia="lt-LT"/>
              </w:rPr>
              <w:t>adijo dažniai (kanalai), naudojami skaitmeninės antžeminės televizijos tinkluose ir stotyse</w:t>
            </w:r>
            <w:r>
              <w:rPr>
                <w:lang w:eastAsia="lt-LT"/>
              </w:rPr>
              <w:t xml:space="preserve">, turi būti pertvarkyti </w:t>
            </w:r>
            <w:r w:rsidRPr="00072BCB">
              <w:rPr>
                <w:lang w:eastAsia="lt-LT"/>
              </w:rPr>
              <w:t>taip</w:t>
            </w:r>
            <w:r>
              <w:rPr>
                <w:lang w:eastAsia="lt-LT"/>
              </w:rPr>
              <w:t>, kad</w:t>
            </w:r>
            <w:r w:rsidRPr="00F3331D">
              <w:rPr>
                <w:lang w:eastAsia="lt-LT"/>
              </w:rPr>
              <w:t xml:space="preserve"> </w:t>
            </w:r>
            <w:r w:rsidRPr="00C22AD0">
              <w:rPr>
                <w:lang w:eastAsia="lt-LT"/>
              </w:rPr>
              <w:t xml:space="preserve">iki 2020 m. birželio 30 d. </w:t>
            </w:r>
            <w:r w:rsidRPr="002C017E">
              <w:rPr>
                <w:lang w:eastAsia="lt-LT"/>
              </w:rPr>
              <w:t>būtų atlaisvinta 700 MHz radijo dažnių juosta ir paskirta antžeminėms sistemoms</w:t>
            </w:r>
            <w:r w:rsidRPr="00C22AD0">
              <w:rPr>
                <w:lang w:eastAsia="lt-LT"/>
              </w:rPr>
              <w:t>,</w:t>
            </w:r>
            <w:r w:rsidRPr="00F3331D">
              <w:rPr>
                <w:lang w:eastAsia="lt-LT"/>
              </w:rPr>
              <w:t xml:space="preserve"> kuriomis būtų galima teikti belaidžio plačiajuosčio elektroninio ryšio paslaugas (toliau – pertvarka).</w:t>
            </w:r>
            <w:r w:rsidRPr="00F3331D">
              <w:rPr>
                <w:b/>
                <w:lang w:eastAsia="lt-LT"/>
              </w:rPr>
              <w:t xml:space="preserve"> </w:t>
            </w:r>
            <w:r w:rsidRPr="00F3331D">
              <w:t xml:space="preserve">Pertvarką vykdo </w:t>
            </w:r>
            <w:r w:rsidRPr="00F3331D">
              <w:rPr>
                <w:color w:val="000000"/>
              </w:rPr>
              <w:t>Lietuvos Respublikos ryšių reguliavimo tarnyba</w:t>
            </w:r>
            <w:r w:rsidRPr="00072BCB">
              <w:t>.</w:t>
            </w:r>
          </w:p>
          <w:p w14:paraId="135F7E0D" w14:textId="06B0814A" w:rsidR="00FF6A1B" w:rsidRDefault="00FF6A1B" w:rsidP="00FF6A1B">
            <w:pPr>
              <w:pStyle w:val="Punktas"/>
              <w:numPr>
                <w:ilvl w:val="0"/>
                <w:numId w:val="0"/>
              </w:numPr>
            </w:pPr>
          </w:p>
          <w:p w14:paraId="588E2397" w14:textId="77777777" w:rsidR="00725FEF" w:rsidRDefault="00725FEF" w:rsidP="003B5C82">
            <w:pPr>
              <w:pStyle w:val="Punktas"/>
              <w:numPr>
                <w:ilvl w:val="0"/>
                <w:numId w:val="0"/>
              </w:numPr>
            </w:pPr>
          </w:p>
          <w:p w14:paraId="23048677" w14:textId="6EA7C337" w:rsidR="0075080E" w:rsidRDefault="0075080E" w:rsidP="0075080E">
            <w:pPr>
              <w:pStyle w:val="Punktas"/>
              <w:numPr>
                <w:ilvl w:val="0"/>
                <w:numId w:val="0"/>
              </w:numPr>
            </w:pPr>
            <w:r>
              <w:t xml:space="preserve">5. </w:t>
            </w:r>
            <w:r w:rsidRPr="00F3331D">
              <w:t>Skaitmeninės antžeminės televizijos tinklų teikėjų ir vartotojų įrenginių techniniai sprendimai turi būti nukreipti į perspektyvinį raiškiosios televizijos diegimą ir inovatyvius technologinius sprendimus, gerinančius skaitmeninės antžeminės televizijos tinklų kokybę ir radijo dažnių (kanalų) naudojimo efektyvumą.</w:t>
            </w:r>
            <w:r>
              <w:t xml:space="preserve"> Šiuo tikslu:</w:t>
            </w:r>
          </w:p>
          <w:p w14:paraId="15875191" w14:textId="79F13634" w:rsidR="00620D91" w:rsidRPr="00BF21F3" w:rsidRDefault="0075080E" w:rsidP="002A5ECD">
            <w:pPr>
              <w:pStyle w:val="Punktas"/>
              <w:numPr>
                <w:ilvl w:val="0"/>
                <w:numId w:val="0"/>
              </w:numPr>
            </w:pPr>
            <w:r>
              <w:t>5.1.</w:t>
            </w:r>
            <w:r w:rsidRPr="00F3331D">
              <w:t xml:space="preserve"> Rekomenduojama, kad nuo 2019 m. sausio 1 d</w:t>
            </w:r>
            <w:bookmarkStart w:id="1" w:name="_Hlk519177324"/>
            <w:r w:rsidRPr="00F3331D">
              <w:t xml:space="preserve">. į Lietuvos rinką tiekiami skaitmeninės antžeminės televizijos vartotojų įrenginiai turėtų galimybę atkurti </w:t>
            </w:r>
            <w:bookmarkEnd w:id="1"/>
            <w:r w:rsidRPr="00F3331D">
              <w:t>Lietuvos standarte LST EN 300 744 „Skaitmeninis vaizdo transliavimas (SVT). Skaitmeninės antžeminės televizijos ciklų sinchronizavimo sandara, kanalų kodavimas ir moduliavimas“ (toliau – DVB-T standartas) ir Lietuvos standarte LST EN 302 755 „Skaitmeninis vaizdo transliavimas (SVT). Antrosios kartos skaitmeninės antžeminės televizijos perdavimo sistemų ciklų sinchronizavimo sandara, kanalų kodavimas ir moduliavimas“ (toliau – DVB-T2 standartas) numatytus skaitmeninės antžeminės televizijos signalus, kuriais perduodama Tarptautinės telekomunikacijų sąjungos ITU-T H.264 rekomendacijose nustatytu vaizdo glaudinimo standartu (toliau – H.264 standartas) ir Tarptautinės telekomunikacijų sąjungos ITU-T H.265 rekomendacijose nustatytu vaizdo glaudinimo standartu (toliau – H.265 standartas) suglaudinta vaizdo informacija</w:t>
            </w:r>
            <w:r w:rsidR="00E36FCA">
              <w:t>.</w:t>
            </w:r>
            <w:bookmarkStart w:id="2" w:name="_GoBack"/>
            <w:bookmarkEnd w:id="2"/>
          </w:p>
        </w:tc>
        <w:tc>
          <w:tcPr>
            <w:tcW w:w="600" w:type="pct"/>
          </w:tcPr>
          <w:p w14:paraId="0350DDDA" w14:textId="732CC30E" w:rsidR="00013474" w:rsidRPr="00BF21F3" w:rsidRDefault="00107CAD">
            <w:pPr>
              <w:rPr>
                <w:rFonts w:ascii="Times New Roman" w:hAnsi="Times New Roman"/>
                <w:sz w:val="24"/>
                <w:szCs w:val="24"/>
              </w:rPr>
            </w:pPr>
            <w:r>
              <w:rPr>
                <w:rFonts w:ascii="Times New Roman" w:hAnsi="Times New Roman"/>
                <w:sz w:val="24"/>
                <w:szCs w:val="24"/>
              </w:rPr>
              <w:lastRenderedPageBreak/>
              <w:t>Dalinis</w:t>
            </w:r>
          </w:p>
        </w:tc>
      </w:tr>
    </w:tbl>
    <w:p w14:paraId="691C4D8F" w14:textId="77777777" w:rsidR="00013474" w:rsidRPr="00BF21F3" w:rsidRDefault="00013474">
      <w:pPr>
        <w:jc w:val="center"/>
        <w:rPr>
          <w:sz w:val="24"/>
          <w:szCs w:val="24"/>
        </w:rPr>
      </w:pPr>
    </w:p>
    <w:sectPr w:rsidR="00013474" w:rsidRPr="00BF21F3">
      <w:headerReference w:type="default" r:id="rId8"/>
      <w:footerReference w:type="default" r:id="rId9"/>
      <w:pgSz w:w="11907" w:h="16839" w:code="9"/>
      <w:pgMar w:top="566" w:right="850" w:bottom="566" w:left="1133" w:header="708" w:footer="708"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BD6E7D" w14:textId="77777777" w:rsidR="00BD6B54" w:rsidRDefault="00BD6B54">
      <w:r>
        <w:separator/>
      </w:r>
    </w:p>
  </w:endnote>
  <w:endnote w:type="continuationSeparator" w:id="0">
    <w:p w14:paraId="1B7F74DB" w14:textId="77777777" w:rsidR="00BD6B54" w:rsidRDefault="00BD6B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EUAlbertina">
    <w:altName w:val="EU Albertina"/>
    <w:panose1 w:val="00000000000000000000"/>
    <w:charset w:val="00"/>
    <w:family w:val="swiss"/>
    <w:notTrueType/>
    <w:pitch w:val="default"/>
    <w:sig w:usb0="00000005" w:usb1="00000000" w:usb2="00000000" w:usb3="00000000" w:csb0="00000003"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126DEB" w14:textId="77777777" w:rsidR="00013474" w:rsidRDefault="0001347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370CA4" w14:textId="77777777" w:rsidR="00BD6B54" w:rsidRDefault="00BD6B54">
      <w:r>
        <w:separator/>
      </w:r>
    </w:p>
  </w:footnote>
  <w:footnote w:type="continuationSeparator" w:id="0">
    <w:p w14:paraId="4064C39C" w14:textId="77777777" w:rsidR="00BD6B54" w:rsidRDefault="00BD6B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C6E01A" w14:textId="77777777" w:rsidR="00013474" w:rsidRDefault="000134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92697"/>
    <w:multiLevelType w:val="multilevel"/>
    <w:tmpl w:val="B8CAB7E4"/>
    <w:lvl w:ilvl="0">
      <w:start w:val="1"/>
      <w:numFmt w:val="decimal"/>
      <w:pStyle w:val="Punktas"/>
      <w:suff w:val="space"/>
      <w:lvlText w:val="%1."/>
      <w:lvlJc w:val="left"/>
      <w:pPr>
        <w:ind w:left="143" w:firstLine="567"/>
      </w:pPr>
      <w:rPr>
        <w:rFonts w:hint="default"/>
      </w:rPr>
    </w:lvl>
    <w:lvl w:ilvl="1">
      <w:start w:val="1"/>
      <w:numFmt w:val="decimal"/>
      <w:suff w:val="space"/>
      <w:lvlText w:val="%1.%2."/>
      <w:lvlJc w:val="left"/>
      <w:pPr>
        <w:ind w:left="1" w:firstLine="567"/>
      </w:pPr>
      <w:rPr>
        <w:rFonts w:hint="default"/>
      </w:rPr>
    </w:lvl>
    <w:lvl w:ilvl="2">
      <w:start w:val="1"/>
      <w:numFmt w:val="decimal"/>
      <w:suff w:val="space"/>
      <w:lvlText w:val="%1.%2.%3."/>
      <w:lvlJc w:val="left"/>
      <w:pPr>
        <w:ind w:left="0" w:firstLine="567"/>
      </w:pPr>
      <w:rPr>
        <w:rFonts w:hint="default"/>
      </w:rPr>
    </w:lvl>
    <w:lvl w:ilvl="3">
      <w:start w:val="1"/>
      <w:numFmt w:val="decimal"/>
      <w:suff w:val="space"/>
      <w:lvlText w:val="%1.%2.%3.%4."/>
      <w:lvlJc w:val="left"/>
      <w:pPr>
        <w:ind w:left="0" w:firstLine="567"/>
      </w:pPr>
      <w:rPr>
        <w:rFonts w:hint="default"/>
      </w:rPr>
    </w:lvl>
    <w:lvl w:ilvl="4">
      <w:start w:val="1"/>
      <w:numFmt w:val="decimal"/>
      <w:lvlText w:val="%1.%2.%3.%4.%5."/>
      <w:lvlJc w:val="left"/>
      <w:pPr>
        <w:ind w:left="0" w:firstLine="567"/>
      </w:pPr>
      <w:rPr>
        <w:rFonts w:hint="default"/>
      </w:rPr>
    </w:lvl>
    <w:lvl w:ilvl="5">
      <w:start w:val="1"/>
      <w:numFmt w:val="decimal"/>
      <w:lvlText w:val="%1.%2.%3.%4.%5.%6."/>
      <w:lvlJc w:val="left"/>
      <w:pPr>
        <w:ind w:left="0" w:firstLine="397"/>
      </w:pPr>
      <w:rPr>
        <w:rFonts w:hint="default"/>
      </w:rPr>
    </w:lvl>
    <w:lvl w:ilvl="6">
      <w:start w:val="1"/>
      <w:numFmt w:val="decimal"/>
      <w:lvlText w:val="%1.%2.%3.%4.%5.%6.%7."/>
      <w:lvlJc w:val="left"/>
      <w:pPr>
        <w:ind w:left="0" w:firstLine="397"/>
      </w:pPr>
      <w:rPr>
        <w:rFonts w:hint="default"/>
      </w:rPr>
    </w:lvl>
    <w:lvl w:ilvl="7">
      <w:start w:val="1"/>
      <w:numFmt w:val="decimal"/>
      <w:lvlText w:val="%1.%2.%3.%4.%5.%6.%7.%8."/>
      <w:lvlJc w:val="left"/>
      <w:pPr>
        <w:ind w:left="0" w:firstLine="397"/>
      </w:pPr>
      <w:rPr>
        <w:rFonts w:hint="default"/>
      </w:rPr>
    </w:lvl>
    <w:lvl w:ilvl="8">
      <w:start w:val="1"/>
      <w:numFmt w:val="decimal"/>
      <w:lvlText w:val="%1.%2.%3.%4.%5.%6.%7.%8.%9."/>
      <w:lvlJc w:val="left"/>
      <w:pPr>
        <w:ind w:left="0" w:firstLine="397"/>
      </w:pPr>
      <w:rPr>
        <w:rFonts w:hint="default"/>
      </w:rPr>
    </w:lvl>
  </w:abstractNum>
  <w:abstractNum w:abstractNumId="1" w15:restartNumberingAfterBreak="0">
    <w:nsid w:val="55AB563E"/>
    <w:multiLevelType w:val="hybridMultilevel"/>
    <w:tmpl w:val="31B67304"/>
    <w:lvl w:ilvl="0" w:tplc="7F66E920">
      <w:start w:val="6"/>
      <w:numFmt w:val="decimal"/>
      <w:lvlText w:val="%1."/>
      <w:lvlJc w:val="left"/>
      <w:pPr>
        <w:ind w:left="1070" w:hanging="360"/>
      </w:pPr>
      <w:rPr>
        <w:rFonts w:hint="default"/>
      </w:rPr>
    </w:lvl>
    <w:lvl w:ilvl="1" w:tplc="04270019" w:tentative="1">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2" w15:restartNumberingAfterBreak="0">
    <w:nsid w:val="5F754565"/>
    <w:multiLevelType w:val="hybridMultilevel"/>
    <w:tmpl w:val="5EF65A74"/>
    <w:lvl w:ilvl="0" w:tplc="0427000F">
      <w:start w:val="1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A066A5"/>
    <w:multiLevelType w:val="hybridMultilevel"/>
    <w:tmpl w:val="60700974"/>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67121B7"/>
    <w:multiLevelType w:val="multilevel"/>
    <w:tmpl w:val="6156A6B8"/>
    <w:lvl w:ilvl="0">
      <w:start w:val="6"/>
      <w:numFmt w:val="decimal"/>
      <w:lvlText w:val="%1."/>
      <w:lvlJc w:val="left"/>
      <w:pPr>
        <w:ind w:left="360" w:hanging="360"/>
      </w:pPr>
      <w:rPr>
        <w:rFonts w:hint="default"/>
      </w:rPr>
    </w:lvl>
    <w:lvl w:ilvl="1">
      <w:start w:val="2"/>
      <w:numFmt w:val="decimal"/>
      <w:lvlText w:val="%1.%2."/>
      <w:lvlJc w:val="left"/>
      <w:pPr>
        <w:ind w:left="928" w:hanging="36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num w:numId="1">
    <w:abstractNumId w:val="0"/>
  </w:num>
  <w:num w:numId="2">
    <w:abstractNumId w:val="4"/>
  </w:num>
  <w:num w:numId="3">
    <w:abstractNumId w:val="3"/>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5"/>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474"/>
    <w:rsid w:val="00001B61"/>
    <w:rsid w:val="000044B9"/>
    <w:rsid w:val="000118E1"/>
    <w:rsid w:val="00013474"/>
    <w:rsid w:val="00024E3F"/>
    <w:rsid w:val="00034C1A"/>
    <w:rsid w:val="0003658F"/>
    <w:rsid w:val="00051020"/>
    <w:rsid w:val="0006459F"/>
    <w:rsid w:val="00091632"/>
    <w:rsid w:val="000956C5"/>
    <w:rsid w:val="000A262D"/>
    <w:rsid w:val="000A492E"/>
    <w:rsid w:val="000B0CB3"/>
    <w:rsid w:val="000B13CB"/>
    <w:rsid w:val="000C12C5"/>
    <w:rsid w:val="000C2129"/>
    <w:rsid w:val="000E3952"/>
    <w:rsid w:val="00107CAD"/>
    <w:rsid w:val="001257E1"/>
    <w:rsid w:val="00147069"/>
    <w:rsid w:val="001653AF"/>
    <w:rsid w:val="00166C5E"/>
    <w:rsid w:val="00195BCE"/>
    <w:rsid w:val="001B2813"/>
    <w:rsid w:val="001C5D86"/>
    <w:rsid w:val="001C77BB"/>
    <w:rsid w:val="001D3BA9"/>
    <w:rsid w:val="001F06B2"/>
    <w:rsid w:val="001F2877"/>
    <w:rsid w:val="00235E71"/>
    <w:rsid w:val="002417B9"/>
    <w:rsid w:val="00243EEA"/>
    <w:rsid w:val="0025724E"/>
    <w:rsid w:val="00274006"/>
    <w:rsid w:val="002A5ECD"/>
    <w:rsid w:val="002B6D9D"/>
    <w:rsid w:val="002D2B70"/>
    <w:rsid w:val="002E2DC3"/>
    <w:rsid w:val="00330A65"/>
    <w:rsid w:val="003873D8"/>
    <w:rsid w:val="003A3D2C"/>
    <w:rsid w:val="003B5C82"/>
    <w:rsid w:val="003B5DA6"/>
    <w:rsid w:val="003D3B5C"/>
    <w:rsid w:val="003F7B81"/>
    <w:rsid w:val="0040074B"/>
    <w:rsid w:val="0043646B"/>
    <w:rsid w:val="00437751"/>
    <w:rsid w:val="00437882"/>
    <w:rsid w:val="004457BE"/>
    <w:rsid w:val="0044602F"/>
    <w:rsid w:val="00457C2F"/>
    <w:rsid w:val="00470102"/>
    <w:rsid w:val="00471E11"/>
    <w:rsid w:val="004A18ED"/>
    <w:rsid w:val="004B23BD"/>
    <w:rsid w:val="004C5841"/>
    <w:rsid w:val="004D6743"/>
    <w:rsid w:val="004D7939"/>
    <w:rsid w:val="004F3BC2"/>
    <w:rsid w:val="005303F9"/>
    <w:rsid w:val="00542E1E"/>
    <w:rsid w:val="00546FB7"/>
    <w:rsid w:val="005651EA"/>
    <w:rsid w:val="005710E9"/>
    <w:rsid w:val="00583066"/>
    <w:rsid w:val="005874D9"/>
    <w:rsid w:val="005B017F"/>
    <w:rsid w:val="00617A47"/>
    <w:rsid w:val="00620D91"/>
    <w:rsid w:val="00626DD1"/>
    <w:rsid w:val="006823D9"/>
    <w:rsid w:val="006A32D6"/>
    <w:rsid w:val="006B544A"/>
    <w:rsid w:val="006C5262"/>
    <w:rsid w:val="006E028F"/>
    <w:rsid w:val="006E2DFC"/>
    <w:rsid w:val="007066B3"/>
    <w:rsid w:val="007102FF"/>
    <w:rsid w:val="00721F20"/>
    <w:rsid w:val="00724226"/>
    <w:rsid w:val="00725FEF"/>
    <w:rsid w:val="00736167"/>
    <w:rsid w:val="00743034"/>
    <w:rsid w:val="0075080E"/>
    <w:rsid w:val="00760D47"/>
    <w:rsid w:val="00761E28"/>
    <w:rsid w:val="00792F27"/>
    <w:rsid w:val="007A3D25"/>
    <w:rsid w:val="007C4BDD"/>
    <w:rsid w:val="007D3162"/>
    <w:rsid w:val="007E0027"/>
    <w:rsid w:val="00833B11"/>
    <w:rsid w:val="0084027B"/>
    <w:rsid w:val="008529C9"/>
    <w:rsid w:val="00856098"/>
    <w:rsid w:val="00880F69"/>
    <w:rsid w:val="00886D86"/>
    <w:rsid w:val="008B0A33"/>
    <w:rsid w:val="008F18A3"/>
    <w:rsid w:val="009110E3"/>
    <w:rsid w:val="009127C2"/>
    <w:rsid w:val="009322C6"/>
    <w:rsid w:val="00934301"/>
    <w:rsid w:val="00940DD4"/>
    <w:rsid w:val="00962018"/>
    <w:rsid w:val="009A76BB"/>
    <w:rsid w:val="009B5CD2"/>
    <w:rsid w:val="009D3391"/>
    <w:rsid w:val="009E4586"/>
    <w:rsid w:val="009F5689"/>
    <w:rsid w:val="00A12306"/>
    <w:rsid w:val="00A30AAF"/>
    <w:rsid w:val="00A46B76"/>
    <w:rsid w:val="00A816A7"/>
    <w:rsid w:val="00A81F43"/>
    <w:rsid w:val="00A8613B"/>
    <w:rsid w:val="00AB2E4E"/>
    <w:rsid w:val="00B0424A"/>
    <w:rsid w:val="00B347C2"/>
    <w:rsid w:val="00B3773B"/>
    <w:rsid w:val="00B403B9"/>
    <w:rsid w:val="00B507D5"/>
    <w:rsid w:val="00B54472"/>
    <w:rsid w:val="00B61C37"/>
    <w:rsid w:val="00B71CEF"/>
    <w:rsid w:val="00BA0B4F"/>
    <w:rsid w:val="00BB5833"/>
    <w:rsid w:val="00BD2FCB"/>
    <w:rsid w:val="00BD6B54"/>
    <w:rsid w:val="00BD7EC9"/>
    <w:rsid w:val="00BE0A60"/>
    <w:rsid w:val="00BE1CE5"/>
    <w:rsid w:val="00BE6B28"/>
    <w:rsid w:val="00BE7374"/>
    <w:rsid w:val="00BF21F3"/>
    <w:rsid w:val="00C14884"/>
    <w:rsid w:val="00C159D3"/>
    <w:rsid w:val="00C21DE7"/>
    <w:rsid w:val="00C2243B"/>
    <w:rsid w:val="00C23A62"/>
    <w:rsid w:val="00C3452E"/>
    <w:rsid w:val="00C34A45"/>
    <w:rsid w:val="00C41FFB"/>
    <w:rsid w:val="00C53966"/>
    <w:rsid w:val="00C549A0"/>
    <w:rsid w:val="00C612B7"/>
    <w:rsid w:val="00C6346C"/>
    <w:rsid w:val="00CC6E9B"/>
    <w:rsid w:val="00CE6E2F"/>
    <w:rsid w:val="00CF1246"/>
    <w:rsid w:val="00D010D1"/>
    <w:rsid w:val="00D172DC"/>
    <w:rsid w:val="00D32A29"/>
    <w:rsid w:val="00D37ABA"/>
    <w:rsid w:val="00D55AC2"/>
    <w:rsid w:val="00D608D6"/>
    <w:rsid w:val="00D77AE4"/>
    <w:rsid w:val="00E0457D"/>
    <w:rsid w:val="00E1488C"/>
    <w:rsid w:val="00E36FCA"/>
    <w:rsid w:val="00E542F5"/>
    <w:rsid w:val="00E70F18"/>
    <w:rsid w:val="00E72175"/>
    <w:rsid w:val="00E97574"/>
    <w:rsid w:val="00EB2D98"/>
    <w:rsid w:val="00EB5E58"/>
    <w:rsid w:val="00EC5AC6"/>
    <w:rsid w:val="00EE6F7D"/>
    <w:rsid w:val="00EF4894"/>
    <w:rsid w:val="00EF7977"/>
    <w:rsid w:val="00F019C5"/>
    <w:rsid w:val="00F22AFE"/>
    <w:rsid w:val="00F24435"/>
    <w:rsid w:val="00F347BC"/>
    <w:rsid w:val="00F405E1"/>
    <w:rsid w:val="00F5532A"/>
    <w:rsid w:val="00F633BD"/>
    <w:rsid w:val="00F8431F"/>
    <w:rsid w:val="00FA153A"/>
    <w:rsid w:val="00FD1F63"/>
    <w:rsid w:val="00FE1185"/>
    <w:rsid w:val="00FE33AF"/>
    <w:rsid w:val="00FF6A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792C0"/>
  <w15:docId w15:val="{CD747360-8521-4722-86C3-E73D560DF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color w:val="000000"/>
        <w:sz w:val="22"/>
        <w:lang w:val="lt-LT" w:eastAsia="lt-L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Eilutsnumeris">
    <w:name w:val="line number"/>
    <w:basedOn w:val="Numatytasispastraiposriftas"/>
    <w:semiHidden/>
  </w:style>
  <w:style w:type="character" w:styleId="Hipersaitas">
    <w:name w:val="Hyperlink"/>
    <w:rPr>
      <w:color w:val="0000FF"/>
      <w:u w:val="single"/>
    </w:rPr>
  </w:style>
  <w:style w:type="table" w:styleId="LentelPaprasta1">
    <w:name w:val="Table Simple 1"/>
    <w:basedOn w:val="prastojilente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7066B3"/>
    <w:pPr>
      <w:autoSpaceDE w:val="0"/>
      <w:autoSpaceDN w:val="0"/>
      <w:adjustRightInd w:val="0"/>
    </w:pPr>
    <w:rPr>
      <w:rFonts w:ascii="EUAlbertina" w:hAnsi="EUAlbertina" w:cs="EUAlbertina"/>
      <w:sz w:val="24"/>
      <w:szCs w:val="24"/>
    </w:rPr>
  </w:style>
  <w:style w:type="paragraph" w:customStyle="1" w:styleId="Skyrius">
    <w:name w:val="Skyrius"/>
    <w:basedOn w:val="prastasis"/>
    <w:qFormat/>
    <w:rsid w:val="00EC5AC6"/>
    <w:pPr>
      <w:ind w:left="567"/>
      <w:contextualSpacing/>
      <w:jc w:val="center"/>
    </w:pPr>
    <w:rPr>
      <w:rFonts w:ascii="Times New Roman" w:hAnsi="Times New Roman"/>
      <w:b/>
      <w:color w:val="auto"/>
      <w:sz w:val="24"/>
      <w:szCs w:val="24"/>
      <w:lang w:eastAsia="en-US"/>
    </w:rPr>
  </w:style>
  <w:style w:type="paragraph" w:customStyle="1" w:styleId="Punktas">
    <w:name w:val="Punktas"/>
    <w:basedOn w:val="Sraopastraipa"/>
    <w:qFormat/>
    <w:rsid w:val="000B0CB3"/>
    <w:pPr>
      <w:numPr>
        <w:numId w:val="1"/>
      </w:numPr>
      <w:tabs>
        <w:tab w:val="num" w:pos="360"/>
      </w:tabs>
      <w:ind w:left="0" w:firstLine="0"/>
      <w:jc w:val="both"/>
    </w:pPr>
    <w:rPr>
      <w:rFonts w:ascii="Times New Roman" w:hAnsi="Times New Roman"/>
      <w:color w:val="auto"/>
      <w:sz w:val="24"/>
      <w:szCs w:val="24"/>
      <w:lang w:eastAsia="en-US"/>
    </w:rPr>
  </w:style>
  <w:style w:type="paragraph" w:styleId="Sraopastraipa">
    <w:name w:val="List Paragraph"/>
    <w:basedOn w:val="prastasis"/>
    <w:uiPriority w:val="34"/>
    <w:qFormat/>
    <w:rsid w:val="000B0CB3"/>
    <w:pPr>
      <w:ind w:left="720"/>
      <w:contextualSpacing/>
    </w:pPr>
  </w:style>
  <w:style w:type="paragraph" w:styleId="Debesliotekstas">
    <w:name w:val="Balloon Text"/>
    <w:basedOn w:val="prastasis"/>
    <w:link w:val="DebesliotekstasDiagrama"/>
    <w:uiPriority w:val="99"/>
    <w:semiHidden/>
    <w:unhideWhenUsed/>
    <w:rsid w:val="00BE7374"/>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E7374"/>
    <w:rPr>
      <w:rFonts w:ascii="Segoe UI" w:hAnsi="Segoe UI" w:cs="Segoe UI"/>
      <w:sz w:val="18"/>
      <w:szCs w:val="18"/>
    </w:rPr>
  </w:style>
  <w:style w:type="character" w:styleId="Komentaronuoroda">
    <w:name w:val="annotation reference"/>
    <w:basedOn w:val="Numatytasispastraiposriftas"/>
    <w:semiHidden/>
    <w:unhideWhenUsed/>
    <w:rsid w:val="009D3391"/>
    <w:rPr>
      <w:sz w:val="16"/>
      <w:szCs w:val="16"/>
    </w:rPr>
  </w:style>
  <w:style w:type="paragraph" w:styleId="Komentarotekstas">
    <w:name w:val="annotation text"/>
    <w:basedOn w:val="prastasis"/>
    <w:link w:val="KomentarotekstasDiagrama"/>
    <w:uiPriority w:val="99"/>
    <w:semiHidden/>
    <w:unhideWhenUsed/>
    <w:rsid w:val="009D3391"/>
    <w:rPr>
      <w:sz w:val="20"/>
    </w:rPr>
  </w:style>
  <w:style w:type="character" w:customStyle="1" w:styleId="KomentarotekstasDiagrama">
    <w:name w:val="Komentaro tekstas Diagrama"/>
    <w:basedOn w:val="Numatytasispastraiposriftas"/>
    <w:link w:val="Komentarotekstas"/>
    <w:uiPriority w:val="99"/>
    <w:semiHidden/>
    <w:rsid w:val="009D3391"/>
    <w:rPr>
      <w:sz w:val="20"/>
    </w:rPr>
  </w:style>
  <w:style w:type="paragraph" w:styleId="Komentarotema">
    <w:name w:val="annotation subject"/>
    <w:basedOn w:val="Komentarotekstas"/>
    <w:next w:val="Komentarotekstas"/>
    <w:link w:val="KomentarotemaDiagrama"/>
    <w:uiPriority w:val="99"/>
    <w:semiHidden/>
    <w:unhideWhenUsed/>
    <w:rsid w:val="009D3391"/>
    <w:rPr>
      <w:b/>
      <w:bCs/>
    </w:rPr>
  </w:style>
  <w:style w:type="character" w:customStyle="1" w:styleId="KomentarotemaDiagrama">
    <w:name w:val="Komentaro tema Diagrama"/>
    <w:basedOn w:val="KomentarotekstasDiagrama"/>
    <w:link w:val="Komentarotema"/>
    <w:uiPriority w:val="99"/>
    <w:semiHidden/>
    <w:rsid w:val="009D3391"/>
    <w:rPr>
      <w:b/>
      <w:bCs/>
      <w:sz w:val="20"/>
    </w:rPr>
  </w:style>
  <w:style w:type="paragraph" w:customStyle="1" w:styleId="ti-art">
    <w:name w:val="ti-art"/>
    <w:basedOn w:val="prastasis"/>
    <w:rsid w:val="000A262D"/>
    <w:pPr>
      <w:spacing w:before="100" w:beforeAutospacing="1" w:after="100" w:afterAutospacing="1"/>
    </w:pPr>
    <w:rPr>
      <w:rFonts w:ascii="Times New Roman" w:hAnsi="Times New Roman"/>
      <w:color w:val="auto"/>
      <w:sz w:val="24"/>
      <w:szCs w:val="24"/>
    </w:rPr>
  </w:style>
  <w:style w:type="paragraph" w:customStyle="1" w:styleId="prastasis1">
    <w:name w:val="Įprastasis1"/>
    <w:basedOn w:val="prastasis"/>
    <w:rsid w:val="000A262D"/>
    <w:pPr>
      <w:spacing w:before="100" w:beforeAutospacing="1" w:after="100" w:afterAutospacing="1"/>
    </w:pPr>
    <w:rPr>
      <w:rFonts w:ascii="Times New Roman" w:hAnsi="Times New Roman"/>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600602">
      <w:bodyDiv w:val="1"/>
      <w:marLeft w:val="0"/>
      <w:marRight w:val="0"/>
      <w:marTop w:val="0"/>
      <w:marBottom w:val="0"/>
      <w:divBdr>
        <w:top w:val="none" w:sz="0" w:space="0" w:color="auto"/>
        <w:left w:val="none" w:sz="0" w:space="0" w:color="auto"/>
        <w:bottom w:val="none" w:sz="0" w:space="0" w:color="auto"/>
        <w:right w:val="none" w:sz="0" w:space="0" w:color="auto"/>
      </w:divBdr>
    </w:div>
    <w:div w:id="17828002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fontTable.xml" Type="http://schemas.openxmlformats.org/officeDocument/2006/relationships/fontTable"/>
<Relationship Id="rId11"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318809-8559-4E4C-B501-6174F70112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6059</Words>
  <Characters>3455</Characters>
  <Application>Microsoft Office Word</Application>
  <DocSecurity>0</DocSecurity>
  <Lines>28</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2018-08-30T10:29:00Z</dcterms:created>
  <dc:creator>Jonas Bazys</dc:creator>
  <cp:lastModifiedBy>Jonas Bazys</cp:lastModifiedBy>
  <cp:lastPrinted>2018-03-29T10:39:00Z</cp:lastPrinted>
  <dcterms:modified xsi:type="dcterms:W3CDTF">2018-08-30T10:44:00Z</dcterms:modified>
  <cp:revision>27</cp:revision>
</cp:coreProperties>
</file>