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E6C1C" w14:textId="77777777" w:rsidR="0087202C" w:rsidRPr="007C3D20" w:rsidRDefault="00C871B6" w:rsidP="00672EDE">
      <w:pPr>
        <w:tabs>
          <w:tab w:val="left" w:pos="4536"/>
        </w:tabs>
        <w:jc w:val="right"/>
        <w:rPr>
          <w:b/>
          <w:noProof/>
          <w:color w:val="808080"/>
          <w:sz w:val="16"/>
          <w:lang w:val="lt-LT" w:eastAsia="lt-LT"/>
        </w:rPr>
      </w:pPr>
      <w:bookmarkStart w:id="0" w:name="_GoBack"/>
      <w:bookmarkEnd w:id="0"/>
      <w:r w:rsidRPr="007C3D20">
        <w:rPr>
          <w:b/>
          <w:noProof/>
          <w:color w:val="808080"/>
          <w:sz w:val="16"/>
          <w:lang w:val="lt-LT" w:eastAsia="lt-LT"/>
        </w:rPr>
        <w:t>ORIGINALAS NEBUS SIUNČIAMAS</w:t>
      </w:r>
    </w:p>
    <w:p w14:paraId="7A5E6C1D" w14:textId="77777777" w:rsidR="00C871B6" w:rsidRPr="00D4321A" w:rsidRDefault="00C871B6">
      <w:pPr>
        <w:tabs>
          <w:tab w:val="left" w:pos="4536"/>
        </w:tabs>
        <w:rPr>
          <w:lang w:val="lt-LT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283"/>
        <w:gridCol w:w="5387"/>
      </w:tblGrid>
      <w:tr w:rsidR="0087202C" w:rsidRPr="00D4321A" w14:paraId="7A5E6C1F" w14:textId="77777777" w:rsidTr="00A64954">
        <w:trPr>
          <w:trHeight w:hRule="exact" w:val="1055"/>
        </w:trPr>
        <w:tc>
          <w:tcPr>
            <w:tcW w:w="9498" w:type="dxa"/>
            <w:gridSpan w:val="3"/>
          </w:tcPr>
          <w:p w14:paraId="7A5E6C1E" w14:textId="77777777" w:rsidR="0087202C" w:rsidRPr="00D4321A" w:rsidRDefault="00BA79B5" w:rsidP="00C871B6">
            <w:pPr>
              <w:spacing w:after="360"/>
              <w:ind w:firstLine="720"/>
              <w:jc w:val="center"/>
              <w:rPr>
                <w:color w:val="000000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anchor distT="0" distB="0" distL="114300" distR="114300" simplePos="0" relativeHeight="251658240" behindDoc="1" locked="0" layoutInCell="1" allowOverlap="1" wp14:anchorId="7A5E6C4A" wp14:editId="7A5E6C4B">
                  <wp:simplePos x="0" y="0"/>
                  <wp:positionH relativeFrom="column">
                    <wp:posOffset>2707005</wp:posOffset>
                  </wp:positionH>
                  <wp:positionV relativeFrom="paragraph">
                    <wp:posOffset>0</wp:posOffset>
                  </wp:positionV>
                  <wp:extent cx="504825" cy="571500"/>
                  <wp:effectExtent l="0" t="0" r="9525" b="0"/>
                  <wp:wrapTight wrapText="bothSides">
                    <wp:wrapPolygon edited="0">
                      <wp:start x="0" y="0"/>
                      <wp:lineTo x="0" y="20880"/>
                      <wp:lineTo x="21192" y="20880"/>
                      <wp:lineTo x="21192" y="0"/>
                      <wp:lineTo x="0" y="0"/>
                    </wp:wrapPolygon>
                  </wp:wrapTight>
                  <wp:docPr id="2" name="Picture 1" descr="herbas-L_spalvo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as-L_spalvo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7202C" w:rsidRPr="00D4321A" w14:paraId="7A5E6C22" w14:textId="77777777" w:rsidTr="00A64954">
        <w:trPr>
          <w:trHeight w:hRule="exact" w:val="930"/>
        </w:trPr>
        <w:tc>
          <w:tcPr>
            <w:tcW w:w="9498" w:type="dxa"/>
            <w:gridSpan w:val="3"/>
          </w:tcPr>
          <w:p w14:paraId="7A5E6C20" w14:textId="77777777" w:rsidR="0087202C" w:rsidRPr="00D4321A" w:rsidRDefault="0087202C">
            <w:pPr>
              <w:pStyle w:val="Heading1"/>
              <w:rPr>
                <w:color w:val="000000"/>
                <w:szCs w:val="24"/>
              </w:rPr>
            </w:pPr>
            <w:r w:rsidRPr="00D4321A">
              <w:rPr>
                <w:szCs w:val="24"/>
              </w:rPr>
              <w:t>LIETUVOS BANKAS</w:t>
            </w:r>
          </w:p>
          <w:p w14:paraId="7A5E6C21" w14:textId="77777777" w:rsidR="0087202C" w:rsidRPr="00F023BB" w:rsidRDefault="0087202C">
            <w:pPr>
              <w:spacing w:before="120"/>
              <w:jc w:val="center"/>
              <w:rPr>
                <w:b/>
                <w:vanish/>
                <w:color w:val="000000"/>
                <w:sz w:val="24"/>
                <w:szCs w:val="24"/>
                <w:lang w:val="lt-LT"/>
              </w:rPr>
            </w:pPr>
          </w:p>
        </w:tc>
      </w:tr>
      <w:tr w:rsidR="00F023BB" w:rsidRPr="00D4321A" w14:paraId="7A5E6C24" w14:textId="77777777" w:rsidTr="00364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5E6C23" w14:textId="77777777" w:rsidR="00F023BB" w:rsidRPr="00D4321A" w:rsidRDefault="00F023BB" w:rsidP="00364175">
            <w:pPr>
              <w:rPr>
                <w:b/>
                <w:bCs/>
                <w:lang w:val="lt-LT"/>
              </w:rPr>
            </w:pPr>
          </w:p>
        </w:tc>
      </w:tr>
      <w:tr w:rsidR="0087202C" w:rsidRPr="00D4321A" w14:paraId="7A5E6C32" w14:textId="77777777" w:rsidTr="00D637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A5E6C25" w14:textId="77777777" w:rsidR="002A289F" w:rsidRPr="0023576D" w:rsidRDefault="002A289F" w:rsidP="002A289F">
            <w:pPr>
              <w:rPr>
                <w:lang w:val="lt-LT"/>
              </w:rPr>
            </w:pPr>
            <w:r w:rsidRPr="0023576D">
              <w:rPr>
                <w:color w:val="000000"/>
                <w:lang w:val="lt-LT" w:eastAsia="lt-LT"/>
              </w:rPr>
              <w:t>Ekonomikos ir inovacijų ministerija</w:t>
            </w:r>
            <w:r w:rsidR="00302E69">
              <w:rPr>
                <w:color w:val="000000"/>
                <w:lang w:val="lt-LT" w:eastAsia="lt-LT"/>
              </w:rPr>
              <w:t>i</w:t>
            </w:r>
          </w:p>
          <w:p w14:paraId="7A5E6C26" w14:textId="77777777" w:rsidR="002A289F" w:rsidRPr="000E0154" w:rsidRDefault="002A289F" w:rsidP="002A289F">
            <w:pPr>
              <w:rPr>
                <w:lang w:val="lt-LT"/>
              </w:rPr>
            </w:pPr>
            <w:r w:rsidRPr="000E0154">
              <w:rPr>
                <w:lang w:val="lt-LT"/>
              </w:rPr>
              <w:t xml:space="preserve">Gedimino pr. 38 </w:t>
            </w:r>
          </w:p>
          <w:p w14:paraId="7A5E6C27" w14:textId="77777777" w:rsidR="002A289F" w:rsidRDefault="002A289F" w:rsidP="002A289F">
            <w:pPr>
              <w:rPr>
                <w:lang w:val="lt-LT"/>
              </w:rPr>
            </w:pPr>
            <w:r>
              <w:rPr>
                <w:lang w:val="lt-LT"/>
              </w:rPr>
              <w:t>LT-</w:t>
            </w:r>
            <w:r w:rsidRPr="000E0154">
              <w:rPr>
                <w:lang w:val="lt-LT"/>
              </w:rPr>
              <w:t>01104 Vilnius</w:t>
            </w:r>
          </w:p>
          <w:p w14:paraId="7A5E6C28" w14:textId="77777777" w:rsidR="002A289F" w:rsidRPr="000E0154" w:rsidRDefault="002A289F" w:rsidP="002A289F">
            <w:pPr>
              <w:rPr>
                <w:lang w:val="lt-LT"/>
              </w:rPr>
            </w:pPr>
          </w:p>
          <w:p w14:paraId="7A5E6C29" w14:textId="77777777" w:rsidR="002A289F" w:rsidRPr="000E0154" w:rsidRDefault="002A289F" w:rsidP="002A289F">
            <w:pPr>
              <w:rPr>
                <w:lang w:val="lt-LT"/>
              </w:rPr>
            </w:pPr>
            <w:r w:rsidRPr="000E0154">
              <w:rPr>
                <w:lang w:val="lt-LT"/>
              </w:rPr>
              <w:t>V</w:t>
            </w:r>
            <w:r w:rsidR="00302E69">
              <w:rPr>
                <w:lang w:val="lt-LT"/>
              </w:rPr>
              <w:t>š</w:t>
            </w:r>
            <w:r w:rsidRPr="000E0154">
              <w:rPr>
                <w:lang w:val="lt-LT"/>
              </w:rPr>
              <w:t>Į „Stebėsenos ir prognozių agentūra“</w:t>
            </w:r>
          </w:p>
          <w:p w14:paraId="7A5E6C2A" w14:textId="77777777" w:rsidR="002A289F" w:rsidRPr="000E0154" w:rsidRDefault="002A289F" w:rsidP="002A289F">
            <w:pPr>
              <w:rPr>
                <w:lang w:val="lt-LT"/>
              </w:rPr>
            </w:pPr>
            <w:r w:rsidRPr="000E0154">
              <w:rPr>
                <w:lang w:val="lt-LT"/>
              </w:rPr>
              <w:t xml:space="preserve">Gedimino pr. 38 </w:t>
            </w:r>
          </w:p>
          <w:p w14:paraId="7A5E6C2B" w14:textId="77777777" w:rsidR="0087202C" w:rsidRDefault="002A289F" w:rsidP="002A289F">
            <w:pPr>
              <w:rPr>
                <w:lang w:val="lt-LT"/>
              </w:rPr>
            </w:pPr>
            <w:r>
              <w:rPr>
                <w:lang w:val="lt-LT"/>
              </w:rPr>
              <w:t>LT-</w:t>
            </w:r>
            <w:r w:rsidRPr="000E0154">
              <w:rPr>
                <w:lang w:val="lt-LT"/>
              </w:rPr>
              <w:t>01104 Vilnius</w:t>
            </w:r>
          </w:p>
          <w:p w14:paraId="7A5E6C2C" w14:textId="77777777" w:rsidR="0023576D" w:rsidRDefault="0023576D" w:rsidP="002A289F">
            <w:pPr>
              <w:rPr>
                <w:lang w:val="lt-LT"/>
              </w:rPr>
            </w:pPr>
          </w:p>
          <w:p w14:paraId="7A5E6C2D" w14:textId="77777777" w:rsidR="0023576D" w:rsidRPr="00D4321A" w:rsidRDefault="0023576D" w:rsidP="00CB3E73">
            <w:pPr>
              <w:rPr>
                <w:lang w:val="lt-LT"/>
              </w:rPr>
            </w:pPr>
            <w:r>
              <w:rPr>
                <w:lang w:val="lt-LT"/>
              </w:rPr>
              <w:t>Lietuvos Respublikos Vyriausybės kanceliarija</w:t>
            </w:r>
            <w:r w:rsidR="00302E69">
              <w:rPr>
                <w:lang w:val="lt-LT"/>
              </w:rPr>
              <w:t>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5E6C2E" w14:textId="77777777" w:rsidR="0087202C" w:rsidRPr="00D4321A" w:rsidRDefault="0087202C">
            <w:pPr>
              <w:pStyle w:val="Heading2"/>
              <w:rPr>
                <w:sz w:val="20"/>
              </w:rPr>
            </w:pPr>
          </w:p>
          <w:p w14:paraId="7A5E6C2F" w14:textId="77777777" w:rsidR="0087202C" w:rsidRPr="00D4321A" w:rsidRDefault="0087202C">
            <w:pPr>
              <w:pStyle w:val="Heading2"/>
              <w:rPr>
                <w:sz w:val="20"/>
              </w:rPr>
            </w:pPr>
            <w:r w:rsidRPr="00D4321A">
              <w:rPr>
                <w:sz w:val="20"/>
              </w:rPr>
              <w:t>Į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A5E6C30" w14:textId="77777777" w:rsidR="0087202C" w:rsidRPr="00D4321A" w:rsidRDefault="0087202C">
            <w:pPr>
              <w:rPr>
                <w:lang w:val="lt-LT"/>
              </w:rPr>
            </w:pPr>
            <w:r w:rsidRPr="00D4321A">
              <w:rPr>
                <w:lang w:val="lt-LT"/>
              </w:rPr>
              <w:fldChar w:fldCharType="begin"/>
            </w:r>
            <w:r w:rsidRPr="00D4321A">
              <w:rPr>
                <w:lang w:val="lt-LT"/>
              </w:rPr>
              <w:instrText xml:space="preserve"> DOCPROPERTY  "dok_data" </w:instrText>
            </w:r>
            <w:r w:rsidRPr="00D4321A">
              <w:rPr>
                <w:lang w:val="lt-LT"/>
              </w:rPr>
              <w:fldChar w:fldCharType="separate"/>
            </w:r>
            <w:r w:rsidR="003426CB">
              <w:rPr>
                <w:lang w:val="lt-LT"/>
              </w:rPr>
              <w:t>D</w:t>
            </w:r>
            <w:r w:rsidRPr="00D4321A">
              <w:rPr>
                <w:lang w:val="lt-LT"/>
              </w:rPr>
              <w:t>ata</w:t>
            </w:r>
            <w:r w:rsidRPr="00D4321A">
              <w:rPr>
                <w:lang w:val="lt-LT"/>
              </w:rPr>
              <w:fldChar w:fldCharType="end"/>
            </w:r>
            <w:r w:rsidRPr="00D4321A">
              <w:rPr>
                <w:lang w:val="lt-LT"/>
              </w:rPr>
              <w:t xml:space="preserve"> Nr. </w:t>
            </w:r>
            <w:r w:rsidRPr="00D4321A">
              <w:rPr>
                <w:lang w:val="lt-LT"/>
              </w:rPr>
              <w:fldChar w:fldCharType="begin"/>
            </w:r>
            <w:r w:rsidRPr="00D4321A">
              <w:rPr>
                <w:lang w:val="lt-LT"/>
              </w:rPr>
              <w:instrText xml:space="preserve"> DOCPROPERTY  "reg_nr" </w:instrText>
            </w:r>
            <w:r w:rsidRPr="00D4321A">
              <w:rPr>
                <w:lang w:val="lt-LT"/>
              </w:rPr>
              <w:fldChar w:fldCharType="separate"/>
            </w:r>
            <w:proofErr w:type="spellStart"/>
            <w:r w:rsidRPr="00D4321A">
              <w:rPr>
                <w:lang w:val="lt-LT"/>
              </w:rPr>
              <w:t>Reg</w:t>
            </w:r>
            <w:proofErr w:type="spellEnd"/>
            <w:r w:rsidRPr="00D4321A">
              <w:rPr>
                <w:lang w:val="lt-LT"/>
              </w:rPr>
              <w:t>. numeris</w:t>
            </w:r>
            <w:r w:rsidRPr="00D4321A">
              <w:rPr>
                <w:lang w:val="lt-LT"/>
              </w:rPr>
              <w:fldChar w:fldCharType="end"/>
            </w:r>
          </w:p>
          <w:p w14:paraId="7A5E6C31" w14:textId="77777777" w:rsidR="0087202C" w:rsidRPr="00D4321A" w:rsidRDefault="002A289F" w:rsidP="00D6372A">
            <w:pPr>
              <w:rPr>
                <w:lang w:val="lt-LT"/>
              </w:rPr>
            </w:pPr>
            <w:r w:rsidRPr="000E0154">
              <w:rPr>
                <w:lang w:val="lt-LT"/>
              </w:rPr>
              <w:t>2019-07-24 Nr. S-2549</w:t>
            </w:r>
          </w:p>
        </w:tc>
      </w:tr>
      <w:tr w:rsidR="00D6372A" w:rsidRPr="00D4321A" w14:paraId="7A5E6C37" w14:textId="77777777" w:rsidTr="00A64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5E6C33" w14:textId="77777777" w:rsidR="0023576D" w:rsidRPr="000E0154" w:rsidRDefault="0023576D" w:rsidP="0023576D">
            <w:pPr>
              <w:rPr>
                <w:lang w:val="lt-LT"/>
              </w:rPr>
            </w:pPr>
            <w:r w:rsidRPr="000E0154">
              <w:rPr>
                <w:lang w:val="lt-LT"/>
              </w:rPr>
              <w:t xml:space="preserve">Gedimino pr. </w:t>
            </w:r>
            <w:r>
              <w:rPr>
                <w:lang w:val="lt-LT"/>
              </w:rPr>
              <w:t>11</w:t>
            </w:r>
            <w:r w:rsidRPr="000E0154">
              <w:rPr>
                <w:lang w:val="lt-LT"/>
              </w:rPr>
              <w:t xml:space="preserve"> </w:t>
            </w:r>
          </w:p>
          <w:p w14:paraId="7A5E6C34" w14:textId="77777777" w:rsidR="00D6372A" w:rsidRPr="00CB3E73" w:rsidRDefault="0023576D">
            <w:pPr>
              <w:rPr>
                <w:lang w:val="lt-LT"/>
              </w:rPr>
            </w:pPr>
            <w:r>
              <w:rPr>
                <w:lang w:val="lt-LT"/>
              </w:rPr>
              <w:t>LT-01103</w:t>
            </w:r>
            <w:r w:rsidRPr="000E0154">
              <w:rPr>
                <w:lang w:val="lt-LT"/>
              </w:rPr>
              <w:t xml:space="preserve"> Vilnius</w:t>
            </w:r>
          </w:p>
          <w:p w14:paraId="7A5E6C35" w14:textId="77777777" w:rsidR="002A289F" w:rsidRDefault="002A289F">
            <w:pPr>
              <w:rPr>
                <w:b/>
                <w:bCs/>
                <w:sz w:val="12"/>
                <w:szCs w:val="12"/>
                <w:lang w:val="lt-LT"/>
              </w:rPr>
            </w:pPr>
          </w:p>
          <w:p w14:paraId="7A5E6C36" w14:textId="77777777" w:rsidR="00CB3E73" w:rsidRPr="00CB3E73" w:rsidRDefault="00CB3E73">
            <w:pPr>
              <w:rPr>
                <w:b/>
                <w:bCs/>
                <w:sz w:val="12"/>
                <w:szCs w:val="12"/>
                <w:lang w:val="lt-LT"/>
              </w:rPr>
            </w:pPr>
          </w:p>
        </w:tc>
      </w:tr>
      <w:tr w:rsidR="0087202C" w:rsidRPr="00D4321A" w14:paraId="7A5E6C39" w14:textId="77777777" w:rsidTr="00A64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5E6C38" w14:textId="77777777" w:rsidR="0087202C" w:rsidRPr="00D4321A" w:rsidRDefault="002A289F" w:rsidP="000E0AE9">
            <w:pPr>
              <w:jc w:val="both"/>
              <w:rPr>
                <w:b/>
                <w:lang w:val="lt-LT"/>
              </w:rPr>
            </w:pPr>
            <w:r w:rsidRPr="000E0154">
              <w:rPr>
                <w:b/>
                <w:bCs/>
                <w:caps/>
                <w:color w:val="000000" w:themeColor="text1"/>
                <w:lang w:val="lt-LT"/>
              </w:rPr>
              <w:t>Dėl 2018 m. Valstybės valdomų įmonių strategijų įgyvendinimo ataskaitos</w:t>
            </w:r>
          </w:p>
        </w:tc>
      </w:tr>
    </w:tbl>
    <w:p w14:paraId="7A5E6C3A" w14:textId="77777777" w:rsidR="0087202C" w:rsidRPr="00CB3E73" w:rsidRDefault="0087202C">
      <w:pPr>
        <w:rPr>
          <w:sz w:val="12"/>
          <w:szCs w:val="12"/>
          <w:lang w:val="lt-LT"/>
        </w:rPr>
      </w:pPr>
    </w:p>
    <w:p w14:paraId="7A5E6C3B" w14:textId="77777777" w:rsidR="0087202C" w:rsidRPr="00CB3E73" w:rsidRDefault="0087202C">
      <w:pPr>
        <w:rPr>
          <w:sz w:val="12"/>
          <w:szCs w:val="12"/>
          <w:lang w:val="lt-LT"/>
        </w:rPr>
      </w:pPr>
    </w:p>
    <w:p w14:paraId="7A5E6C3C" w14:textId="77777777" w:rsidR="00BD3CEF" w:rsidRPr="000A780D" w:rsidRDefault="00BD3CEF" w:rsidP="00BD3CEF">
      <w:pPr>
        <w:pStyle w:val="ListParagraph"/>
        <w:spacing w:after="0" w:line="240" w:lineRule="auto"/>
        <w:ind w:left="0" w:firstLine="7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Lietuvos bankas</w:t>
      </w:r>
      <w:r w:rsidRPr="001505C3">
        <w:rPr>
          <w:rFonts w:ascii="Verdana" w:hAnsi="Verdana"/>
          <w:sz w:val="20"/>
          <w:szCs w:val="20"/>
        </w:rPr>
        <w:t xml:space="preserve"> įgyvendina vienintelės visų UAB „Lietuvos monetų kalykla“ (toliau – Bendrovė) akcijų savininkės – Lietuvos Respublikos valstybės – teises ir pareigas</w:t>
      </w:r>
      <w:r>
        <w:rPr>
          <w:rFonts w:ascii="Verdana" w:hAnsi="Verdana"/>
          <w:sz w:val="20"/>
          <w:szCs w:val="20"/>
        </w:rPr>
        <w:t>.</w:t>
      </w:r>
    </w:p>
    <w:p w14:paraId="7A5E6C3D" w14:textId="77777777" w:rsidR="00AF60A5" w:rsidRDefault="00C50A3C" w:rsidP="00AF60A5">
      <w:pPr>
        <w:ind w:firstLine="720"/>
        <w:jc w:val="both"/>
        <w:rPr>
          <w:color w:val="000000" w:themeColor="text1"/>
          <w:lang w:val="lt-LT"/>
        </w:rPr>
      </w:pPr>
      <w:r w:rsidRPr="0023576D">
        <w:rPr>
          <w:color w:val="000000" w:themeColor="text1"/>
          <w:lang w:val="lt-LT"/>
        </w:rPr>
        <w:t xml:space="preserve">Neprieštaraujame ataskaitoje pateiktam </w:t>
      </w:r>
      <w:r w:rsidR="00581BB0" w:rsidRPr="0023576D">
        <w:rPr>
          <w:color w:val="000000" w:themeColor="text1"/>
          <w:lang w:val="lt-LT"/>
        </w:rPr>
        <w:t>Bendrovės 2018 m</w:t>
      </w:r>
      <w:r w:rsidR="00302E69">
        <w:rPr>
          <w:color w:val="000000" w:themeColor="text1"/>
          <w:lang w:val="lt-LT"/>
        </w:rPr>
        <w:t>.</w:t>
      </w:r>
      <w:r w:rsidR="00581BB0" w:rsidRPr="0023576D">
        <w:rPr>
          <w:color w:val="000000" w:themeColor="text1"/>
          <w:lang w:val="lt-LT"/>
        </w:rPr>
        <w:t xml:space="preserve"> strategijos įgyvendinimo</w:t>
      </w:r>
      <w:r w:rsidR="009075AB" w:rsidRPr="0023576D">
        <w:rPr>
          <w:color w:val="000000" w:themeColor="text1"/>
          <w:lang w:val="lt-LT"/>
        </w:rPr>
        <w:t xml:space="preserve"> bendram</w:t>
      </w:r>
      <w:r w:rsidR="00581BB0" w:rsidRPr="0023576D">
        <w:rPr>
          <w:color w:val="000000" w:themeColor="text1"/>
          <w:lang w:val="lt-LT"/>
        </w:rPr>
        <w:t xml:space="preserve"> </w:t>
      </w:r>
      <w:r w:rsidRPr="0023576D">
        <w:rPr>
          <w:color w:val="000000" w:themeColor="text1"/>
          <w:lang w:val="lt-LT"/>
        </w:rPr>
        <w:t>į</w:t>
      </w:r>
      <w:r w:rsidR="00581BB0" w:rsidRPr="0023576D">
        <w:rPr>
          <w:color w:val="000000" w:themeColor="text1"/>
          <w:lang w:val="lt-LT"/>
        </w:rPr>
        <w:t>vertinim</w:t>
      </w:r>
      <w:r w:rsidRPr="0023576D">
        <w:rPr>
          <w:color w:val="000000" w:themeColor="text1"/>
          <w:lang w:val="lt-LT"/>
        </w:rPr>
        <w:t>ui</w:t>
      </w:r>
      <w:r w:rsidR="00581BB0" w:rsidRPr="0023576D">
        <w:rPr>
          <w:color w:val="000000" w:themeColor="text1"/>
          <w:lang w:val="lt-LT"/>
        </w:rPr>
        <w:t xml:space="preserve">. </w:t>
      </w:r>
      <w:r w:rsidR="00BD3CEF" w:rsidRPr="0023576D">
        <w:rPr>
          <w:color w:val="000000" w:themeColor="text1"/>
          <w:lang w:val="lt-LT"/>
        </w:rPr>
        <w:t xml:space="preserve">Bendrovė </w:t>
      </w:r>
      <w:r w:rsidR="002A289F" w:rsidRPr="0023576D">
        <w:rPr>
          <w:color w:val="000000" w:themeColor="text1"/>
          <w:lang w:val="lt-LT"/>
        </w:rPr>
        <w:t xml:space="preserve">veikia perteklinių </w:t>
      </w:r>
      <w:r w:rsidR="00AF60A5" w:rsidRPr="0023576D">
        <w:rPr>
          <w:color w:val="000000" w:themeColor="text1"/>
          <w:lang w:val="lt-LT"/>
        </w:rPr>
        <w:t xml:space="preserve">gamybinių </w:t>
      </w:r>
      <w:r w:rsidR="002A289F" w:rsidRPr="0023576D">
        <w:rPr>
          <w:color w:val="000000" w:themeColor="text1"/>
          <w:lang w:val="lt-LT"/>
        </w:rPr>
        <w:t xml:space="preserve">pajėgumų ir mažėjančių monetų kaldinimo užsakymų aplinkoje. </w:t>
      </w:r>
      <w:r w:rsidRPr="0023576D">
        <w:rPr>
          <w:color w:val="000000" w:themeColor="text1"/>
          <w:lang w:val="lt-LT"/>
        </w:rPr>
        <w:t>2018 m</w:t>
      </w:r>
      <w:r w:rsidR="00302E69">
        <w:rPr>
          <w:color w:val="000000" w:themeColor="text1"/>
          <w:lang w:val="lt-LT"/>
        </w:rPr>
        <w:t>.</w:t>
      </w:r>
      <w:r w:rsidR="002A289F" w:rsidRPr="0023576D">
        <w:rPr>
          <w:color w:val="000000" w:themeColor="text1"/>
          <w:lang w:val="lt-LT"/>
        </w:rPr>
        <w:t xml:space="preserve"> </w:t>
      </w:r>
      <w:r w:rsidR="007D3EAB" w:rsidRPr="0023576D">
        <w:rPr>
          <w:color w:val="000000" w:themeColor="text1"/>
          <w:lang w:val="lt-LT"/>
        </w:rPr>
        <w:t>iš esmės pertvarkyt</w:t>
      </w:r>
      <w:r w:rsidR="00AA17F8" w:rsidRPr="0023576D">
        <w:rPr>
          <w:color w:val="000000" w:themeColor="text1"/>
          <w:lang w:val="lt-LT"/>
        </w:rPr>
        <w:t>as</w:t>
      </w:r>
      <w:r w:rsidR="007D3EAB" w:rsidRPr="0023576D">
        <w:rPr>
          <w:color w:val="000000" w:themeColor="text1"/>
          <w:lang w:val="lt-LT"/>
        </w:rPr>
        <w:t xml:space="preserve"> </w:t>
      </w:r>
      <w:r w:rsidR="00B2699A" w:rsidRPr="0023576D">
        <w:rPr>
          <w:color w:val="000000" w:themeColor="text1"/>
          <w:lang w:val="lt-LT"/>
        </w:rPr>
        <w:t xml:space="preserve">Bendrovės </w:t>
      </w:r>
      <w:r w:rsidR="007D3EAB" w:rsidRPr="0023576D">
        <w:rPr>
          <w:color w:val="000000" w:themeColor="text1"/>
          <w:lang w:val="lt-LT"/>
        </w:rPr>
        <w:t>strateginio planavimo proces</w:t>
      </w:r>
      <w:r w:rsidR="00AA17F8" w:rsidRPr="0023576D">
        <w:rPr>
          <w:color w:val="000000" w:themeColor="text1"/>
          <w:lang w:val="lt-LT"/>
        </w:rPr>
        <w:t>as</w:t>
      </w:r>
      <w:r w:rsidR="007D3EAB" w:rsidRPr="0023576D">
        <w:rPr>
          <w:color w:val="000000" w:themeColor="text1"/>
          <w:lang w:val="lt-LT"/>
        </w:rPr>
        <w:t xml:space="preserve">, įdiegta subalansuotų rodiklių sistema, </w:t>
      </w:r>
      <w:r w:rsidR="005450BE">
        <w:rPr>
          <w:color w:val="000000" w:themeColor="text1"/>
          <w:lang w:val="lt-LT"/>
        </w:rPr>
        <w:t>sukurta</w:t>
      </w:r>
      <w:r w:rsidR="005450BE" w:rsidRPr="0023576D">
        <w:rPr>
          <w:color w:val="000000" w:themeColor="text1"/>
          <w:lang w:val="lt-LT"/>
        </w:rPr>
        <w:t xml:space="preserve"> </w:t>
      </w:r>
      <w:r w:rsidR="002A289F" w:rsidRPr="0023576D">
        <w:rPr>
          <w:color w:val="000000" w:themeColor="text1"/>
          <w:lang w:val="lt-LT"/>
        </w:rPr>
        <w:t xml:space="preserve">nauja </w:t>
      </w:r>
      <w:r w:rsidR="00AF60A5" w:rsidRPr="0023576D">
        <w:rPr>
          <w:color w:val="000000" w:themeColor="text1"/>
          <w:lang w:val="lt-LT"/>
        </w:rPr>
        <w:t>Bendrovės</w:t>
      </w:r>
      <w:r w:rsidR="002A289F" w:rsidRPr="0023576D">
        <w:rPr>
          <w:color w:val="000000" w:themeColor="text1"/>
          <w:lang w:val="lt-LT"/>
        </w:rPr>
        <w:t xml:space="preserve"> strategija, kuri</w:t>
      </w:r>
      <w:r w:rsidR="00302E69">
        <w:rPr>
          <w:color w:val="000000" w:themeColor="text1"/>
          <w:lang w:val="lt-LT"/>
        </w:rPr>
        <w:t>a siekiama</w:t>
      </w:r>
      <w:r w:rsidR="00AF60A5" w:rsidRPr="0023576D">
        <w:rPr>
          <w:color w:val="000000" w:themeColor="text1"/>
          <w:lang w:val="lt-LT"/>
        </w:rPr>
        <w:t xml:space="preserve"> </w:t>
      </w:r>
      <w:r w:rsidR="00302E69">
        <w:rPr>
          <w:color w:val="000000" w:themeColor="text1"/>
          <w:lang w:val="lt-LT"/>
        </w:rPr>
        <w:t xml:space="preserve">pasiekti </w:t>
      </w:r>
      <w:r w:rsidR="00AF60A5" w:rsidRPr="0023576D">
        <w:rPr>
          <w:color w:val="000000" w:themeColor="text1"/>
          <w:lang w:val="lt-LT"/>
        </w:rPr>
        <w:t>nustatyt</w:t>
      </w:r>
      <w:r w:rsidR="00302E69">
        <w:rPr>
          <w:color w:val="000000" w:themeColor="text1"/>
          <w:lang w:val="lt-LT"/>
        </w:rPr>
        <w:t>us</w:t>
      </w:r>
      <w:r w:rsidR="00AF60A5" w:rsidRPr="0023576D">
        <w:rPr>
          <w:color w:val="000000" w:themeColor="text1"/>
          <w:lang w:val="lt-LT"/>
        </w:rPr>
        <w:t xml:space="preserve"> </w:t>
      </w:r>
      <w:r w:rsidR="007D3EAB" w:rsidRPr="0023576D">
        <w:rPr>
          <w:color w:val="000000" w:themeColor="text1"/>
          <w:lang w:val="lt-LT"/>
        </w:rPr>
        <w:t xml:space="preserve">nuosavo </w:t>
      </w:r>
      <w:r w:rsidR="00AF60A5" w:rsidRPr="0023576D">
        <w:rPr>
          <w:color w:val="000000" w:themeColor="text1"/>
          <w:lang w:val="lt-LT"/>
        </w:rPr>
        <w:t>kapitalo grąžos rodikli</w:t>
      </w:r>
      <w:r w:rsidR="00302E69">
        <w:rPr>
          <w:color w:val="000000" w:themeColor="text1"/>
          <w:lang w:val="lt-LT"/>
        </w:rPr>
        <w:t>us</w:t>
      </w:r>
      <w:r w:rsidR="00AF60A5" w:rsidRPr="0023576D">
        <w:rPr>
          <w:color w:val="000000" w:themeColor="text1"/>
          <w:lang w:val="lt-LT"/>
        </w:rPr>
        <w:t xml:space="preserve"> </w:t>
      </w:r>
      <w:r w:rsidR="002A289F" w:rsidRPr="0023576D">
        <w:rPr>
          <w:color w:val="000000" w:themeColor="text1"/>
          <w:lang w:val="lt-LT"/>
        </w:rPr>
        <w:t>vidutiniu laikotarpiu.</w:t>
      </w:r>
      <w:r w:rsidR="00BD3CEF" w:rsidRPr="0023576D">
        <w:rPr>
          <w:color w:val="000000" w:themeColor="text1"/>
          <w:lang w:val="lt-LT"/>
        </w:rPr>
        <w:t xml:space="preserve"> </w:t>
      </w:r>
      <w:r w:rsidR="005450BE">
        <w:rPr>
          <w:color w:val="000000" w:themeColor="text1"/>
          <w:lang w:val="lt-LT"/>
        </w:rPr>
        <w:t>Į</w:t>
      </w:r>
      <w:r w:rsidR="007D3EAB" w:rsidRPr="0023576D">
        <w:rPr>
          <w:color w:val="000000" w:themeColor="text1"/>
          <w:lang w:val="lt-LT"/>
        </w:rPr>
        <w:t xml:space="preserve">monės veikloje </w:t>
      </w:r>
      <w:r w:rsidR="00581BB0" w:rsidRPr="0023576D">
        <w:rPr>
          <w:color w:val="000000" w:themeColor="text1"/>
          <w:lang w:val="lt-LT"/>
        </w:rPr>
        <w:t>diegiama</w:t>
      </w:r>
      <w:r w:rsidR="007D3EAB" w:rsidRPr="0023576D">
        <w:rPr>
          <w:color w:val="000000" w:themeColor="text1"/>
          <w:lang w:val="lt-LT"/>
        </w:rPr>
        <w:t xml:space="preserve"> LEAN metodika, kryptingai siekiama </w:t>
      </w:r>
      <w:r w:rsidR="005450BE" w:rsidRPr="0023576D">
        <w:rPr>
          <w:color w:val="000000" w:themeColor="text1"/>
          <w:lang w:val="lt-LT"/>
        </w:rPr>
        <w:t>diversifik</w:t>
      </w:r>
      <w:r w:rsidR="005450BE">
        <w:rPr>
          <w:color w:val="000000" w:themeColor="text1"/>
          <w:lang w:val="lt-LT"/>
        </w:rPr>
        <w:t>uoti</w:t>
      </w:r>
      <w:r w:rsidR="005450BE" w:rsidRPr="0023576D">
        <w:rPr>
          <w:color w:val="000000" w:themeColor="text1"/>
          <w:lang w:val="lt-LT"/>
        </w:rPr>
        <w:t xml:space="preserve"> </w:t>
      </w:r>
      <w:r w:rsidR="007D3EAB" w:rsidRPr="0023576D">
        <w:rPr>
          <w:color w:val="000000" w:themeColor="text1"/>
          <w:lang w:val="lt-LT"/>
        </w:rPr>
        <w:t>įmonės veikl</w:t>
      </w:r>
      <w:r w:rsidR="005450BE">
        <w:rPr>
          <w:color w:val="000000" w:themeColor="text1"/>
          <w:lang w:val="lt-LT"/>
        </w:rPr>
        <w:t>ą</w:t>
      </w:r>
      <w:r w:rsidR="007D3EAB" w:rsidRPr="0023576D">
        <w:rPr>
          <w:color w:val="000000" w:themeColor="text1"/>
          <w:lang w:val="lt-LT"/>
        </w:rPr>
        <w:t xml:space="preserve">. </w:t>
      </w:r>
      <w:r w:rsidR="00733D2B" w:rsidRPr="0023576D">
        <w:rPr>
          <w:color w:val="000000" w:themeColor="text1"/>
          <w:lang w:val="lt-LT"/>
        </w:rPr>
        <w:t>S</w:t>
      </w:r>
      <w:r w:rsidR="00BD3CEF" w:rsidRPr="0023576D">
        <w:rPr>
          <w:color w:val="000000" w:themeColor="text1"/>
          <w:lang w:val="lt-LT"/>
        </w:rPr>
        <w:t>trategij</w:t>
      </w:r>
      <w:r w:rsidR="005450BE">
        <w:rPr>
          <w:color w:val="000000" w:themeColor="text1"/>
          <w:lang w:val="lt-LT"/>
        </w:rPr>
        <w:t>ai</w:t>
      </w:r>
      <w:r w:rsidR="00BD3CEF" w:rsidRPr="0023576D">
        <w:rPr>
          <w:color w:val="000000" w:themeColor="text1"/>
          <w:lang w:val="lt-LT"/>
        </w:rPr>
        <w:t xml:space="preserve"> įgyvendin</w:t>
      </w:r>
      <w:r w:rsidR="005450BE">
        <w:rPr>
          <w:color w:val="000000" w:themeColor="text1"/>
          <w:lang w:val="lt-LT"/>
        </w:rPr>
        <w:t>t</w:t>
      </w:r>
      <w:r w:rsidR="00BD3CEF" w:rsidRPr="0023576D">
        <w:rPr>
          <w:color w:val="000000" w:themeColor="text1"/>
          <w:lang w:val="lt-LT"/>
        </w:rPr>
        <w:t>i reik</w:t>
      </w:r>
      <w:r w:rsidR="005450BE">
        <w:rPr>
          <w:color w:val="000000" w:themeColor="text1"/>
          <w:lang w:val="lt-LT"/>
        </w:rPr>
        <w:t>i</w:t>
      </w:r>
      <w:r w:rsidR="00BD3CEF" w:rsidRPr="0023576D">
        <w:rPr>
          <w:color w:val="000000" w:themeColor="text1"/>
          <w:lang w:val="lt-LT"/>
        </w:rPr>
        <w:t>a nauj</w:t>
      </w:r>
      <w:r w:rsidR="005450BE">
        <w:rPr>
          <w:color w:val="000000" w:themeColor="text1"/>
          <w:lang w:val="lt-LT"/>
        </w:rPr>
        <w:t>ų</w:t>
      </w:r>
      <w:r w:rsidR="00BD3CEF" w:rsidRPr="0023576D">
        <w:rPr>
          <w:color w:val="000000" w:themeColor="text1"/>
          <w:lang w:val="lt-LT"/>
        </w:rPr>
        <w:t xml:space="preserve"> kompetencij</w:t>
      </w:r>
      <w:r w:rsidR="005450BE">
        <w:rPr>
          <w:color w:val="000000" w:themeColor="text1"/>
          <w:lang w:val="lt-LT"/>
        </w:rPr>
        <w:t>ų</w:t>
      </w:r>
      <w:r w:rsidR="00BD3CEF" w:rsidRPr="0023576D">
        <w:rPr>
          <w:color w:val="000000" w:themeColor="text1"/>
          <w:lang w:val="lt-LT"/>
        </w:rPr>
        <w:t xml:space="preserve">, todėl </w:t>
      </w:r>
      <w:r w:rsidR="007D3EAB" w:rsidRPr="0023576D">
        <w:rPr>
          <w:color w:val="000000" w:themeColor="text1"/>
          <w:lang w:val="lt-LT"/>
        </w:rPr>
        <w:t xml:space="preserve">iš pagrindų atnaujinama </w:t>
      </w:r>
      <w:r w:rsidR="00B2699A" w:rsidRPr="0023576D">
        <w:rPr>
          <w:color w:val="000000" w:themeColor="text1"/>
          <w:lang w:val="lt-LT"/>
        </w:rPr>
        <w:t>Bendrovės</w:t>
      </w:r>
      <w:r w:rsidR="007D3EAB" w:rsidRPr="0023576D">
        <w:rPr>
          <w:color w:val="000000" w:themeColor="text1"/>
          <w:lang w:val="lt-LT"/>
        </w:rPr>
        <w:t xml:space="preserve"> vadovų komanda</w:t>
      </w:r>
      <w:r w:rsidRPr="0023576D">
        <w:rPr>
          <w:color w:val="000000" w:themeColor="text1"/>
          <w:lang w:val="lt-LT"/>
        </w:rPr>
        <w:t xml:space="preserve">. Ją planuojama suformuoti iki </w:t>
      </w:r>
      <w:r w:rsidR="005450BE">
        <w:rPr>
          <w:color w:val="000000" w:themeColor="text1"/>
          <w:lang w:val="lt-LT"/>
        </w:rPr>
        <w:t>2019 m.</w:t>
      </w:r>
      <w:r w:rsidRPr="0023576D">
        <w:rPr>
          <w:color w:val="000000" w:themeColor="text1"/>
          <w:lang w:val="lt-LT"/>
        </w:rPr>
        <w:t xml:space="preserve"> spalio mėn.</w:t>
      </w:r>
      <w:r w:rsidR="00AF60A5" w:rsidRPr="0023576D">
        <w:rPr>
          <w:color w:val="000000" w:themeColor="text1"/>
          <w:lang w:val="lt-LT"/>
        </w:rPr>
        <w:t xml:space="preserve"> </w:t>
      </w:r>
      <w:r w:rsidR="009075AB" w:rsidRPr="0023576D">
        <w:rPr>
          <w:color w:val="000000" w:themeColor="text1"/>
          <w:lang w:val="lt-LT"/>
        </w:rPr>
        <w:t>Nesutinkame su 2018 m</w:t>
      </w:r>
      <w:r w:rsidR="00FC4BBE">
        <w:rPr>
          <w:color w:val="000000" w:themeColor="text1"/>
          <w:lang w:val="lt-LT"/>
        </w:rPr>
        <w:t>.</w:t>
      </w:r>
      <w:r w:rsidR="009075AB" w:rsidRPr="0023576D">
        <w:rPr>
          <w:color w:val="000000" w:themeColor="text1"/>
          <w:lang w:val="lt-LT"/>
        </w:rPr>
        <w:t xml:space="preserve"> ataskaitoje pateiktu formaliu vertinimu, kad </w:t>
      </w:r>
      <w:r w:rsidR="00AF60A5" w:rsidRPr="0023576D">
        <w:rPr>
          <w:color w:val="000000" w:themeColor="text1"/>
          <w:lang w:val="lt-LT"/>
        </w:rPr>
        <w:t>Bendrovė</w:t>
      </w:r>
      <w:r w:rsidR="009075AB" w:rsidRPr="0023576D">
        <w:rPr>
          <w:color w:val="000000" w:themeColor="text1"/>
          <w:lang w:val="lt-LT"/>
        </w:rPr>
        <w:t xml:space="preserve"> neturi </w:t>
      </w:r>
      <w:r w:rsidR="0023576D" w:rsidRPr="0023576D">
        <w:rPr>
          <w:color w:val="000000" w:themeColor="text1"/>
          <w:lang w:val="lt-LT"/>
        </w:rPr>
        <w:t>iškelto</w:t>
      </w:r>
      <w:r w:rsidR="00AF60A5" w:rsidRPr="0023576D">
        <w:rPr>
          <w:color w:val="000000" w:themeColor="text1"/>
          <w:lang w:val="lt-LT"/>
        </w:rPr>
        <w:t xml:space="preserve"> </w:t>
      </w:r>
      <w:r w:rsidR="007D3EAB" w:rsidRPr="0023576D">
        <w:rPr>
          <w:color w:val="000000" w:themeColor="text1"/>
          <w:lang w:val="lt-LT"/>
        </w:rPr>
        <w:t xml:space="preserve">nuosavo </w:t>
      </w:r>
      <w:r w:rsidR="00AF60A5" w:rsidRPr="0023576D">
        <w:rPr>
          <w:color w:val="000000" w:themeColor="text1"/>
          <w:lang w:val="lt-LT"/>
        </w:rPr>
        <w:t>kapitalo grąžos rodiklio</w:t>
      </w:r>
      <w:r w:rsidR="007D3EAB" w:rsidRPr="0023576D">
        <w:rPr>
          <w:color w:val="000000" w:themeColor="text1"/>
          <w:lang w:val="lt-LT"/>
        </w:rPr>
        <w:t xml:space="preserve"> (ROE)</w:t>
      </w:r>
      <w:r w:rsidR="00AF60A5" w:rsidRPr="0023576D">
        <w:rPr>
          <w:color w:val="000000" w:themeColor="text1"/>
          <w:lang w:val="lt-LT"/>
        </w:rPr>
        <w:t xml:space="preserve"> tikslo</w:t>
      </w:r>
      <w:r w:rsidR="009075AB" w:rsidRPr="0023576D">
        <w:rPr>
          <w:color w:val="000000" w:themeColor="text1"/>
          <w:lang w:val="lt-LT"/>
        </w:rPr>
        <w:t xml:space="preserve"> (ataskaitoje įvertin</w:t>
      </w:r>
      <w:r w:rsidR="0023576D" w:rsidRPr="0023576D">
        <w:rPr>
          <w:color w:val="000000" w:themeColor="text1"/>
          <w:lang w:val="lt-LT"/>
        </w:rPr>
        <w:t>t</w:t>
      </w:r>
      <w:r w:rsidR="009075AB" w:rsidRPr="0023576D">
        <w:rPr>
          <w:color w:val="000000" w:themeColor="text1"/>
          <w:lang w:val="lt-LT"/>
        </w:rPr>
        <w:t>a, kad bendrovė turi kito pelningumo rodiklio tikslą).</w:t>
      </w:r>
      <w:r w:rsidR="00AF60A5" w:rsidRPr="0023576D">
        <w:rPr>
          <w:color w:val="000000" w:themeColor="text1"/>
          <w:lang w:val="lt-LT"/>
        </w:rPr>
        <w:t xml:space="preserve"> Bendrovė</w:t>
      </w:r>
      <w:r w:rsidR="002A289F" w:rsidRPr="0023576D">
        <w:rPr>
          <w:color w:val="000000" w:themeColor="text1"/>
          <w:lang w:val="lt-LT"/>
        </w:rPr>
        <w:t xml:space="preserve"> </w:t>
      </w:r>
      <w:r w:rsidR="00AF60A5" w:rsidRPr="0023576D">
        <w:rPr>
          <w:color w:val="000000" w:themeColor="text1"/>
          <w:lang w:val="lt-LT"/>
        </w:rPr>
        <w:t>turėjo ir turi kapitalo grąžos rodiklį kaip tikslą, tai yra įtvirtinta akcininko</w:t>
      </w:r>
      <w:r w:rsidR="00733D2B" w:rsidRPr="0023576D">
        <w:rPr>
          <w:color w:val="000000" w:themeColor="text1"/>
          <w:lang w:val="lt-LT"/>
        </w:rPr>
        <w:t xml:space="preserve"> lūkesčių rašte</w:t>
      </w:r>
      <w:r w:rsidR="009075AB" w:rsidRPr="0023576D">
        <w:rPr>
          <w:color w:val="000000" w:themeColor="text1"/>
          <w:lang w:val="lt-LT"/>
        </w:rPr>
        <w:t>, taip pat</w:t>
      </w:r>
      <w:r w:rsidR="00733D2B" w:rsidRPr="0023576D">
        <w:rPr>
          <w:color w:val="000000" w:themeColor="text1"/>
          <w:lang w:val="lt-LT"/>
        </w:rPr>
        <w:t xml:space="preserve"> </w:t>
      </w:r>
      <w:r w:rsidR="009075AB" w:rsidRPr="0023576D">
        <w:rPr>
          <w:color w:val="000000" w:themeColor="text1"/>
          <w:lang w:val="lt-LT"/>
        </w:rPr>
        <w:t xml:space="preserve">Bendrovės strategijos </w:t>
      </w:r>
      <w:r w:rsidR="00AF60A5" w:rsidRPr="0023576D">
        <w:rPr>
          <w:color w:val="000000" w:themeColor="text1"/>
          <w:lang w:val="lt-LT"/>
        </w:rPr>
        <w:t>finansinių prognozių skiltyje. Bendrovė derina strateginius planus su Stebėsenos ir prognozių agentūra</w:t>
      </w:r>
      <w:r w:rsidR="00B2699A" w:rsidRPr="0023576D">
        <w:rPr>
          <w:color w:val="000000" w:themeColor="text1"/>
          <w:lang w:val="lt-LT"/>
        </w:rPr>
        <w:t xml:space="preserve"> ir</w:t>
      </w:r>
      <w:r w:rsidR="00AF60A5" w:rsidRPr="0023576D">
        <w:rPr>
          <w:color w:val="000000" w:themeColor="text1"/>
          <w:lang w:val="lt-LT"/>
        </w:rPr>
        <w:t xml:space="preserve"> atsižvel</w:t>
      </w:r>
      <w:r w:rsidR="00B2699A" w:rsidRPr="0023576D">
        <w:rPr>
          <w:color w:val="000000" w:themeColor="text1"/>
          <w:lang w:val="lt-LT"/>
        </w:rPr>
        <w:t>gia</w:t>
      </w:r>
      <w:r w:rsidR="00AF60A5" w:rsidRPr="0023576D">
        <w:rPr>
          <w:color w:val="000000" w:themeColor="text1"/>
          <w:lang w:val="lt-LT"/>
        </w:rPr>
        <w:t xml:space="preserve"> į </w:t>
      </w:r>
      <w:r w:rsidR="00AA17F8" w:rsidRPr="0023576D">
        <w:rPr>
          <w:color w:val="000000" w:themeColor="text1"/>
          <w:lang w:val="lt-LT"/>
        </w:rPr>
        <w:t xml:space="preserve">metodologines </w:t>
      </w:r>
      <w:r w:rsidR="00AF60A5" w:rsidRPr="0023576D">
        <w:rPr>
          <w:color w:val="000000" w:themeColor="text1"/>
          <w:lang w:val="lt-LT"/>
        </w:rPr>
        <w:t>pastabas</w:t>
      </w:r>
      <w:r w:rsidR="00B2699A" w:rsidRPr="0023576D">
        <w:rPr>
          <w:color w:val="000000" w:themeColor="text1"/>
          <w:lang w:val="lt-LT"/>
        </w:rPr>
        <w:t>, kai jos pateikiamos</w:t>
      </w:r>
      <w:r w:rsidR="00AF60A5" w:rsidRPr="0023576D">
        <w:rPr>
          <w:color w:val="000000" w:themeColor="text1"/>
          <w:lang w:val="lt-LT"/>
        </w:rPr>
        <w:t>.</w:t>
      </w:r>
    </w:p>
    <w:p w14:paraId="7A5E6C3E" w14:textId="77777777" w:rsidR="0087202C" w:rsidRPr="00AF60A5" w:rsidRDefault="0061785E" w:rsidP="000E0AE9">
      <w:pPr>
        <w:ind w:firstLine="720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Tobulinant valstybės valdomų įmonių strategijų įgyvendinimą, kaip gerąją praktiką </w:t>
      </w:r>
      <w:r w:rsidRPr="00216A02">
        <w:rPr>
          <w:color w:val="000000" w:themeColor="text1"/>
          <w:lang w:val="lt-LT"/>
        </w:rPr>
        <w:t xml:space="preserve">siūlytume </w:t>
      </w:r>
      <w:r w:rsidR="00CE042D" w:rsidRPr="00216A02">
        <w:rPr>
          <w:color w:val="000000" w:themeColor="text1"/>
          <w:lang w:val="lt-LT"/>
        </w:rPr>
        <w:t xml:space="preserve">plėtoti </w:t>
      </w:r>
      <w:r w:rsidR="002A637B" w:rsidRPr="00216A02">
        <w:rPr>
          <w:color w:val="000000" w:themeColor="text1"/>
          <w:lang w:val="lt-LT"/>
        </w:rPr>
        <w:t xml:space="preserve">su rezultatų pasiekimu susietas </w:t>
      </w:r>
      <w:r w:rsidR="003D34F5" w:rsidRPr="00216A02">
        <w:rPr>
          <w:color w:val="000000" w:themeColor="text1"/>
          <w:lang w:val="lt-LT"/>
        </w:rPr>
        <w:t xml:space="preserve">atlygio sistemas, </w:t>
      </w:r>
      <w:r w:rsidR="002A637B" w:rsidRPr="00216A02">
        <w:rPr>
          <w:color w:val="000000" w:themeColor="text1"/>
          <w:lang w:val="lt-LT"/>
        </w:rPr>
        <w:t xml:space="preserve">įvedant kintamąją atlygio dalį </w:t>
      </w:r>
      <w:r w:rsidR="003D34F5" w:rsidRPr="00216A02">
        <w:rPr>
          <w:color w:val="000000" w:themeColor="text1"/>
          <w:lang w:val="lt-LT"/>
        </w:rPr>
        <w:t>vis</w:t>
      </w:r>
      <w:r w:rsidR="002A637B" w:rsidRPr="00216A02">
        <w:rPr>
          <w:color w:val="000000" w:themeColor="text1"/>
          <w:lang w:val="lt-LT"/>
        </w:rPr>
        <w:t>ų</w:t>
      </w:r>
      <w:r w:rsidR="003D34F5" w:rsidRPr="00216A02">
        <w:rPr>
          <w:color w:val="000000" w:themeColor="text1"/>
          <w:lang w:val="lt-LT"/>
        </w:rPr>
        <w:t xml:space="preserve"> valstybės valdomų įmonių darbuotojams.</w:t>
      </w:r>
      <w:r w:rsidR="003D34F5">
        <w:rPr>
          <w:color w:val="000000" w:themeColor="text1"/>
          <w:lang w:val="lt-LT"/>
        </w:rPr>
        <w:t xml:space="preserve"> </w:t>
      </w:r>
      <w:r w:rsidR="00CE042D">
        <w:rPr>
          <w:color w:val="000000" w:themeColor="text1"/>
          <w:lang w:val="lt-LT"/>
        </w:rPr>
        <w:t>Tai papildomai motyvuotų</w:t>
      </w:r>
      <w:r w:rsidR="003D34F5">
        <w:rPr>
          <w:color w:val="000000" w:themeColor="text1"/>
          <w:lang w:val="lt-LT"/>
        </w:rPr>
        <w:t xml:space="preserve"> siekti strateginių tikslų, </w:t>
      </w:r>
      <w:r w:rsidR="00AA17F8">
        <w:rPr>
          <w:color w:val="000000" w:themeColor="text1"/>
          <w:lang w:val="lt-LT"/>
        </w:rPr>
        <w:t xml:space="preserve">darbuotojai </w:t>
      </w:r>
      <w:r w:rsidR="00ED74DD">
        <w:rPr>
          <w:color w:val="000000" w:themeColor="text1"/>
          <w:lang w:val="lt-LT"/>
        </w:rPr>
        <w:t xml:space="preserve">labiau </w:t>
      </w:r>
      <w:r w:rsidR="003D34F5">
        <w:rPr>
          <w:color w:val="000000" w:themeColor="text1"/>
          <w:lang w:val="lt-LT"/>
        </w:rPr>
        <w:t>prisidėt</w:t>
      </w:r>
      <w:r w:rsidR="00CE042D">
        <w:rPr>
          <w:color w:val="000000" w:themeColor="text1"/>
          <w:lang w:val="lt-LT"/>
        </w:rPr>
        <w:t>ų</w:t>
      </w:r>
      <w:r w:rsidR="003D34F5">
        <w:rPr>
          <w:color w:val="000000" w:themeColor="text1"/>
          <w:lang w:val="lt-LT"/>
        </w:rPr>
        <w:t xml:space="preserve"> prie įmonių tikslų įgyvendinimo, taip pat būtų </w:t>
      </w:r>
      <w:r w:rsidR="003D34F5" w:rsidRPr="003D34F5">
        <w:rPr>
          <w:color w:val="000000" w:themeColor="text1"/>
          <w:lang w:val="lt-LT"/>
        </w:rPr>
        <w:t xml:space="preserve">efektyviau valdomos darbo užmokesčio išlaidos. </w:t>
      </w:r>
      <w:r w:rsidR="00ED74DD">
        <w:rPr>
          <w:color w:val="000000" w:themeColor="text1"/>
          <w:lang w:val="lt-LT"/>
        </w:rPr>
        <w:t>O jeigu</w:t>
      </w:r>
      <w:r w:rsidR="003D34F5">
        <w:rPr>
          <w:color w:val="000000" w:themeColor="text1"/>
          <w:lang w:val="lt-LT"/>
        </w:rPr>
        <w:t xml:space="preserve"> strategini</w:t>
      </w:r>
      <w:r w:rsidR="00ED74DD">
        <w:rPr>
          <w:color w:val="000000" w:themeColor="text1"/>
          <w:lang w:val="lt-LT"/>
        </w:rPr>
        <w:t>ai</w:t>
      </w:r>
      <w:r w:rsidR="003D34F5">
        <w:rPr>
          <w:color w:val="000000" w:themeColor="text1"/>
          <w:lang w:val="lt-LT"/>
        </w:rPr>
        <w:t xml:space="preserve"> ir veiklos rezultat</w:t>
      </w:r>
      <w:r w:rsidR="00ED74DD">
        <w:rPr>
          <w:color w:val="000000" w:themeColor="text1"/>
          <w:lang w:val="lt-LT"/>
        </w:rPr>
        <w:t>ai nebūtų pasiekti</w:t>
      </w:r>
      <w:r w:rsidR="003D34F5">
        <w:rPr>
          <w:color w:val="000000" w:themeColor="text1"/>
          <w:lang w:val="lt-LT"/>
        </w:rPr>
        <w:t>, tokia sistema veiktų kaip riboja</w:t>
      </w:r>
      <w:r w:rsidR="00ED74DD">
        <w:rPr>
          <w:color w:val="000000" w:themeColor="text1"/>
          <w:lang w:val="lt-LT"/>
        </w:rPr>
        <w:t>moji</w:t>
      </w:r>
      <w:r w:rsidR="003D34F5">
        <w:rPr>
          <w:color w:val="000000" w:themeColor="text1"/>
          <w:lang w:val="lt-LT"/>
        </w:rPr>
        <w:t xml:space="preserve"> priemonė.</w:t>
      </w:r>
    </w:p>
    <w:p w14:paraId="7A5E6C3F" w14:textId="77777777" w:rsidR="0087202C" w:rsidRDefault="0087202C" w:rsidP="00F023BB">
      <w:pPr>
        <w:rPr>
          <w:lang w:val="lt-LT"/>
        </w:rPr>
      </w:pPr>
    </w:p>
    <w:p w14:paraId="7A5E6C40" w14:textId="77777777" w:rsidR="00CB3E73" w:rsidRPr="00D4321A" w:rsidRDefault="00CB3E73" w:rsidP="00F023BB">
      <w:pPr>
        <w:rPr>
          <w:lang w:val="lt-LT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95"/>
        <w:gridCol w:w="4803"/>
      </w:tblGrid>
      <w:tr w:rsidR="00A64954" w:rsidRPr="00D4321A" w14:paraId="7A5E6C43" w14:textId="77777777" w:rsidTr="00D6372A">
        <w:tc>
          <w:tcPr>
            <w:tcW w:w="4695" w:type="dxa"/>
          </w:tcPr>
          <w:p w14:paraId="7A5E6C41" w14:textId="77777777" w:rsidR="00A64954" w:rsidRPr="00D4321A" w:rsidRDefault="00A64954">
            <w:pPr>
              <w:rPr>
                <w:lang w:val="lt-LT"/>
              </w:rPr>
            </w:pPr>
            <w:r w:rsidRPr="00D4321A">
              <w:rPr>
                <w:lang w:val="lt-LT"/>
              </w:rPr>
              <w:fldChar w:fldCharType="begin"/>
            </w:r>
            <w:r w:rsidRPr="00D4321A">
              <w:rPr>
                <w:lang w:val="lt-LT"/>
              </w:rPr>
              <w:instrText xml:space="preserve"> DOCPROPERTY  "pas_pareigos" </w:instrText>
            </w:r>
            <w:r w:rsidRPr="00D4321A">
              <w:rPr>
                <w:lang w:val="lt-LT"/>
              </w:rPr>
              <w:fldChar w:fldCharType="separate"/>
            </w:r>
            <w:r w:rsidRPr="00D4321A">
              <w:rPr>
                <w:lang w:val="lt-LT"/>
              </w:rPr>
              <w:t>Pareigų pavadinimas</w:t>
            </w:r>
            <w:r w:rsidRPr="00D4321A">
              <w:rPr>
                <w:lang w:val="lt-LT"/>
              </w:rPr>
              <w:fldChar w:fldCharType="end"/>
            </w:r>
          </w:p>
        </w:tc>
        <w:tc>
          <w:tcPr>
            <w:tcW w:w="4803" w:type="dxa"/>
          </w:tcPr>
          <w:p w14:paraId="7A5E6C42" w14:textId="77777777" w:rsidR="00A64954" w:rsidRPr="00D4321A" w:rsidRDefault="00A64954">
            <w:pPr>
              <w:pStyle w:val="Heading3"/>
              <w:jc w:val="right"/>
              <w:rPr>
                <w:sz w:val="20"/>
              </w:rPr>
            </w:pPr>
            <w:r w:rsidRPr="00D4321A">
              <w:rPr>
                <w:sz w:val="20"/>
              </w:rPr>
              <w:fldChar w:fldCharType="begin"/>
            </w:r>
            <w:r w:rsidRPr="00D4321A">
              <w:rPr>
                <w:sz w:val="20"/>
              </w:rPr>
              <w:instrText xml:space="preserve"> DOCPROPERTY  "dok_pasirase" </w:instrText>
            </w:r>
            <w:r w:rsidRPr="00D4321A">
              <w:rPr>
                <w:sz w:val="20"/>
              </w:rPr>
              <w:fldChar w:fldCharType="separate"/>
            </w:r>
            <w:r w:rsidRPr="00D4321A">
              <w:rPr>
                <w:sz w:val="20"/>
              </w:rPr>
              <w:t xml:space="preserve">Vardas </w:t>
            </w:r>
            <w:r w:rsidR="00EB7BF2" w:rsidRPr="00D4321A">
              <w:rPr>
                <w:sz w:val="20"/>
              </w:rPr>
              <w:t>ir P</w:t>
            </w:r>
            <w:r w:rsidRPr="00D4321A">
              <w:rPr>
                <w:sz w:val="20"/>
              </w:rPr>
              <w:t>avardė</w:t>
            </w:r>
            <w:r w:rsidRPr="00D4321A">
              <w:rPr>
                <w:sz w:val="20"/>
              </w:rPr>
              <w:fldChar w:fldCharType="end"/>
            </w:r>
          </w:p>
        </w:tc>
      </w:tr>
    </w:tbl>
    <w:p w14:paraId="7A5E6C44" w14:textId="77777777" w:rsidR="0087202C" w:rsidRDefault="0087202C">
      <w:pPr>
        <w:rPr>
          <w:lang w:val="lt-LT"/>
        </w:rPr>
      </w:pPr>
    </w:p>
    <w:p w14:paraId="7A5E6C45" w14:textId="77777777" w:rsidR="00CB3E73" w:rsidRDefault="00CB3E73">
      <w:pPr>
        <w:rPr>
          <w:lang w:val="lt-LT"/>
        </w:rPr>
      </w:pPr>
    </w:p>
    <w:p w14:paraId="7A5E6C46" w14:textId="77777777" w:rsidR="002A637B" w:rsidRDefault="002A637B">
      <w:pPr>
        <w:rPr>
          <w:lang w:val="lt-LT"/>
        </w:rPr>
      </w:pPr>
    </w:p>
    <w:p w14:paraId="7A5E6C47" w14:textId="77777777" w:rsidR="002A637B" w:rsidRDefault="002A637B">
      <w:pPr>
        <w:rPr>
          <w:lang w:val="lt-LT"/>
        </w:rPr>
      </w:pPr>
    </w:p>
    <w:p w14:paraId="7A5E6C48" w14:textId="77777777" w:rsidR="00CB3E73" w:rsidRDefault="00CB3E73">
      <w:pPr>
        <w:rPr>
          <w:lang w:val="lt-LT"/>
        </w:rPr>
      </w:pPr>
    </w:p>
    <w:p w14:paraId="7A5E6C49" w14:textId="77777777" w:rsidR="00BB39AD" w:rsidRPr="00D4321A" w:rsidRDefault="002A289F" w:rsidP="002A289F">
      <w:pPr>
        <w:rPr>
          <w:lang w:val="lt-LT"/>
        </w:rPr>
      </w:pPr>
      <w:r w:rsidRPr="002A289F">
        <w:rPr>
          <w:lang w:val="lt-LT"/>
        </w:rPr>
        <w:t>Algirdas Neciunskas, tel. (8 5) 268 0</w:t>
      </w:r>
      <w:r w:rsidR="000A07E6">
        <w:rPr>
          <w:lang w:val="lt-LT"/>
        </w:rPr>
        <w:t>6</w:t>
      </w:r>
      <w:r w:rsidRPr="002A289F">
        <w:rPr>
          <w:lang w:val="lt-LT"/>
        </w:rPr>
        <w:t>07, el. p. aneciunskas@lb.lt</w:t>
      </w:r>
    </w:p>
    <w:sectPr w:rsidR="00BB39AD" w:rsidRPr="00D4321A" w:rsidSect="00A64954">
      <w:footerReference w:type="first" r:id="rId8"/>
      <w:type w:val="continuous"/>
      <w:pgSz w:w="11907" w:h="16840" w:code="9"/>
      <w:pgMar w:top="1134" w:right="680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E6C4E" w14:textId="77777777" w:rsidR="006E16BC" w:rsidRDefault="006E16BC">
      <w:r>
        <w:separator/>
      </w:r>
    </w:p>
  </w:endnote>
  <w:endnote w:type="continuationSeparator" w:id="0">
    <w:p w14:paraId="7A5E6C4F" w14:textId="77777777" w:rsidR="006E16BC" w:rsidRDefault="006E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E6C50" w14:textId="77777777" w:rsidR="00CC4D82" w:rsidRPr="00D4321A" w:rsidRDefault="00BA79B5" w:rsidP="00CC4D82">
    <w:pPr>
      <w:jc w:val="center"/>
      <w:rPr>
        <w:sz w:val="16"/>
        <w:lang w:val="lt-LT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5E6C52" wp14:editId="7A5E6C53">
              <wp:simplePos x="0" y="0"/>
              <wp:positionH relativeFrom="column">
                <wp:posOffset>-11430</wp:posOffset>
              </wp:positionH>
              <wp:positionV relativeFrom="paragraph">
                <wp:posOffset>-63500</wp:posOffset>
              </wp:positionV>
              <wp:extent cx="62179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B0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8DE65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-5pt" to="488.7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" strokecolor="#00b07d"/>
          </w:pict>
        </mc:Fallback>
      </mc:AlternateContent>
    </w:r>
    <w:r w:rsidR="00CC4D82" w:rsidRPr="00D4321A">
      <w:rPr>
        <w:sz w:val="16"/>
        <w:lang w:val="lt-LT"/>
      </w:rPr>
      <w:t xml:space="preserve">Centrinis bankas, Gedimino pr. 6, LT-01103 Vilnius, tel. (8 5) 268 0029, faks. (8 5) 268 0038, el. p. </w:t>
    </w:r>
    <w:hyperlink r:id="rId1" w:history="1">
      <w:r w:rsidR="00CC4D82" w:rsidRPr="00D4321A">
        <w:rPr>
          <w:rStyle w:val="Hyperlink"/>
          <w:sz w:val="16"/>
          <w:lang w:val="lt-LT"/>
        </w:rPr>
        <w:t>info@lb.lt</w:t>
      </w:r>
    </w:hyperlink>
  </w:p>
  <w:p w14:paraId="7A5E6C51" w14:textId="77777777" w:rsidR="00CC4D82" w:rsidRPr="00D4321A" w:rsidRDefault="00CC4D82" w:rsidP="00CC4D82">
    <w:pPr>
      <w:jc w:val="center"/>
      <w:rPr>
        <w:sz w:val="16"/>
        <w:lang w:val="lt-LT"/>
      </w:rPr>
    </w:pPr>
    <w:r w:rsidRPr="00D4321A">
      <w:rPr>
        <w:sz w:val="16"/>
        <w:lang w:val="lt-LT"/>
      </w:rPr>
      <w:t>Duomenys kaupiami ir saugomi Juridinių asmenų registre, kodas 188607684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E6C4C" w14:textId="77777777" w:rsidR="006E16BC" w:rsidRDefault="006E16BC">
      <w:r>
        <w:separator/>
      </w:r>
    </w:p>
  </w:footnote>
  <w:footnote w:type="continuationSeparator" w:id="0">
    <w:p w14:paraId="7A5E6C4D" w14:textId="77777777" w:rsidR="006E16BC" w:rsidRDefault="006E1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95"/>
    <w:rsid w:val="00000CB0"/>
    <w:rsid w:val="000060EA"/>
    <w:rsid w:val="000A07E6"/>
    <w:rsid w:val="000B74EA"/>
    <w:rsid w:val="000D07F2"/>
    <w:rsid w:val="000E0AE9"/>
    <w:rsid w:val="00142DFB"/>
    <w:rsid w:val="00152493"/>
    <w:rsid w:val="00152D50"/>
    <w:rsid w:val="00190F5D"/>
    <w:rsid w:val="001B2ABE"/>
    <w:rsid w:val="00216A02"/>
    <w:rsid w:val="0023576D"/>
    <w:rsid w:val="002461C0"/>
    <w:rsid w:val="00286D76"/>
    <w:rsid w:val="002956C7"/>
    <w:rsid w:val="002A289F"/>
    <w:rsid w:val="002A637B"/>
    <w:rsid w:val="002B5D93"/>
    <w:rsid w:val="00302E69"/>
    <w:rsid w:val="00314A65"/>
    <w:rsid w:val="003426CB"/>
    <w:rsid w:val="00351D85"/>
    <w:rsid w:val="00357B28"/>
    <w:rsid w:val="00361110"/>
    <w:rsid w:val="00364175"/>
    <w:rsid w:val="00370B11"/>
    <w:rsid w:val="003D264F"/>
    <w:rsid w:val="003D34F5"/>
    <w:rsid w:val="003D391C"/>
    <w:rsid w:val="004355CB"/>
    <w:rsid w:val="00457990"/>
    <w:rsid w:val="00466B7C"/>
    <w:rsid w:val="00477BAD"/>
    <w:rsid w:val="004F3DB1"/>
    <w:rsid w:val="005037DA"/>
    <w:rsid w:val="0050531E"/>
    <w:rsid w:val="00511A1B"/>
    <w:rsid w:val="00527FEE"/>
    <w:rsid w:val="005450BE"/>
    <w:rsid w:val="00581BB0"/>
    <w:rsid w:val="005976B9"/>
    <w:rsid w:val="005A634A"/>
    <w:rsid w:val="005C39E6"/>
    <w:rsid w:val="005F2C26"/>
    <w:rsid w:val="005F643B"/>
    <w:rsid w:val="005F6F1A"/>
    <w:rsid w:val="0061785E"/>
    <w:rsid w:val="00646255"/>
    <w:rsid w:val="0064659E"/>
    <w:rsid w:val="00664DBB"/>
    <w:rsid w:val="00672EDE"/>
    <w:rsid w:val="00683CCC"/>
    <w:rsid w:val="006A5576"/>
    <w:rsid w:val="006B63C5"/>
    <w:rsid w:val="006C074E"/>
    <w:rsid w:val="006E1610"/>
    <w:rsid w:val="006E16BC"/>
    <w:rsid w:val="006E41D9"/>
    <w:rsid w:val="0070266A"/>
    <w:rsid w:val="007071BD"/>
    <w:rsid w:val="00716C36"/>
    <w:rsid w:val="00733D2B"/>
    <w:rsid w:val="0076362B"/>
    <w:rsid w:val="00772888"/>
    <w:rsid w:val="00780FB6"/>
    <w:rsid w:val="00783E91"/>
    <w:rsid w:val="007A486F"/>
    <w:rsid w:val="007C3D20"/>
    <w:rsid w:val="007C5EC1"/>
    <w:rsid w:val="007C6E19"/>
    <w:rsid w:val="007D3EAB"/>
    <w:rsid w:val="007E29E3"/>
    <w:rsid w:val="007E6F95"/>
    <w:rsid w:val="0082554A"/>
    <w:rsid w:val="00852A50"/>
    <w:rsid w:val="00856C60"/>
    <w:rsid w:val="008640F4"/>
    <w:rsid w:val="00864EFC"/>
    <w:rsid w:val="00865557"/>
    <w:rsid w:val="0086612C"/>
    <w:rsid w:val="0087202C"/>
    <w:rsid w:val="00894E22"/>
    <w:rsid w:val="008B3B54"/>
    <w:rsid w:val="009075AB"/>
    <w:rsid w:val="009403F4"/>
    <w:rsid w:val="00967CD8"/>
    <w:rsid w:val="00973A9B"/>
    <w:rsid w:val="00977792"/>
    <w:rsid w:val="00983B90"/>
    <w:rsid w:val="009866D7"/>
    <w:rsid w:val="00994F1E"/>
    <w:rsid w:val="009C164D"/>
    <w:rsid w:val="009C7F4E"/>
    <w:rsid w:val="009D06D9"/>
    <w:rsid w:val="009E27AE"/>
    <w:rsid w:val="00A13CD0"/>
    <w:rsid w:val="00A64954"/>
    <w:rsid w:val="00A95993"/>
    <w:rsid w:val="00AA17F8"/>
    <w:rsid w:val="00AC0EC4"/>
    <w:rsid w:val="00AF0768"/>
    <w:rsid w:val="00AF30BA"/>
    <w:rsid w:val="00AF60A5"/>
    <w:rsid w:val="00B14567"/>
    <w:rsid w:val="00B25D70"/>
    <w:rsid w:val="00B2699A"/>
    <w:rsid w:val="00B60902"/>
    <w:rsid w:val="00B847C7"/>
    <w:rsid w:val="00BA79B5"/>
    <w:rsid w:val="00BB39AD"/>
    <w:rsid w:val="00BB60EA"/>
    <w:rsid w:val="00BD3BBD"/>
    <w:rsid w:val="00BD3CEF"/>
    <w:rsid w:val="00C16107"/>
    <w:rsid w:val="00C50A3C"/>
    <w:rsid w:val="00C81C19"/>
    <w:rsid w:val="00C871B6"/>
    <w:rsid w:val="00CB3E73"/>
    <w:rsid w:val="00CC4D82"/>
    <w:rsid w:val="00CC75A2"/>
    <w:rsid w:val="00CD5397"/>
    <w:rsid w:val="00CE042D"/>
    <w:rsid w:val="00D04235"/>
    <w:rsid w:val="00D31A69"/>
    <w:rsid w:val="00D401F2"/>
    <w:rsid w:val="00D4295B"/>
    <w:rsid w:val="00D4321A"/>
    <w:rsid w:val="00D43353"/>
    <w:rsid w:val="00D47E56"/>
    <w:rsid w:val="00D51C6D"/>
    <w:rsid w:val="00D6372A"/>
    <w:rsid w:val="00D74BF4"/>
    <w:rsid w:val="00D9737E"/>
    <w:rsid w:val="00D97600"/>
    <w:rsid w:val="00DD6215"/>
    <w:rsid w:val="00E322D2"/>
    <w:rsid w:val="00E3541D"/>
    <w:rsid w:val="00E609C4"/>
    <w:rsid w:val="00E94FA5"/>
    <w:rsid w:val="00EB7BF2"/>
    <w:rsid w:val="00EC30FB"/>
    <w:rsid w:val="00ED74DD"/>
    <w:rsid w:val="00EE786B"/>
    <w:rsid w:val="00F023BB"/>
    <w:rsid w:val="00F05D74"/>
    <w:rsid w:val="00F115C7"/>
    <w:rsid w:val="00F21B8B"/>
    <w:rsid w:val="00F2347B"/>
    <w:rsid w:val="00F5154B"/>
    <w:rsid w:val="00F52AC7"/>
    <w:rsid w:val="00F8015A"/>
    <w:rsid w:val="00F86288"/>
    <w:rsid w:val="00F918B6"/>
    <w:rsid w:val="00FA5895"/>
    <w:rsid w:val="00FA606C"/>
    <w:rsid w:val="00FB3054"/>
    <w:rsid w:val="00FC0AA0"/>
    <w:rsid w:val="00FC4BBE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5E6C1C"/>
  <w15:docId w15:val="{0CDC7300-43EF-4DEA-9A87-DFF1AB9B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B11"/>
    <w:pPr>
      <w:widowControl w:val="0"/>
      <w:autoSpaceDE w:val="0"/>
      <w:autoSpaceDN w:val="0"/>
      <w:adjustRightInd w:val="0"/>
    </w:pPr>
    <w:rPr>
      <w:rFonts w:ascii="Verdana" w:hAnsi="Verdana"/>
      <w:lang w:val="en-US" w:eastAsia="en-US"/>
    </w:rPr>
  </w:style>
  <w:style w:type="paragraph" w:styleId="Heading1">
    <w:name w:val="heading 1"/>
    <w:basedOn w:val="Normal"/>
    <w:next w:val="Normal"/>
    <w:qFormat/>
    <w:rsid w:val="00370B11"/>
    <w:pPr>
      <w:keepNext/>
      <w:jc w:val="center"/>
      <w:outlineLvl w:val="0"/>
    </w:pPr>
    <w:rPr>
      <w:b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lang w:val="en-GB"/>
    </w:rPr>
  </w:style>
  <w:style w:type="paragraph" w:customStyle="1" w:styleId="tekstas">
    <w:name w:val="tekstas"/>
    <w:basedOn w:val="Normal"/>
    <w:pPr>
      <w:widowControl/>
      <w:autoSpaceDE/>
      <w:autoSpaceDN/>
      <w:adjustRightInd/>
      <w:ind w:firstLine="1298"/>
    </w:pPr>
    <w:rPr>
      <w:sz w:val="24"/>
      <w:lang w:val="lt-LT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D3CE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1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b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1058A-B387-4390-8A0E-4D7073F5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1600</Words>
  <Characters>912</Characters>
  <Application>Microsoft Office Word</Application>
  <DocSecurity>4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Lietuvos bankas</Company>
  <LinksUpToDate>false</LinksUpToDate>
  <CharactersWithSpaces>2507</CharactersWithSpaces>
  <SharedDoc>false</SharedDoc>
  <HLinks>
    <vt:vector size="6" baseType="variant">
      <vt:variant>
        <vt:i4>2293769</vt:i4>
      </vt:variant>
      <vt:variant>
        <vt:i4>0</vt:i4>
      </vt:variant>
      <vt:variant>
        <vt:i4>0</vt:i4>
      </vt:variant>
      <vt:variant>
        <vt:i4>5</vt:i4>
      </vt:variant>
      <vt:variant>
        <vt:lpwstr>mailto:info@lb.lt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Bareišis</dc:creator>
  <cp:lastModifiedBy>Garbauskiene Laurentina</cp:lastModifiedBy>
  <cp:revision>2</cp:revision>
  <cp:lastPrinted>2014-07-22T14:03:00Z</cp:lastPrinted>
  <dcterms:created xsi:type="dcterms:W3CDTF">2019-10-01T13:08:00Z</dcterms:created>
  <dcterms:modified xsi:type="dcterms:W3CDTF">2019-10-01T13:08:00Z</dcterms:modified>
</cp:coreProperties>
</file>