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F9C" w:rsidRDefault="00914F9C">
      <w:pPr>
        <w:pStyle w:val="Standarduser"/>
        <w:tabs>
          <w:tab w:val="center" w:pos="4819"/>
          <w:tab w:val="right" w:pos="9638"/>
        </w:tabs>
        <w:spacing w:line="276" w:lineRule="auto"/>
        <w:rPr>
          <w:rFonts w:eastAsia="Calibri"/>
          <w:b/>
          <w:szCs w:val="24"/>
        </w:rPr>
      </w:pPr>
    </w:p>
    <w:p w:rsidR="00914F9C" w:rsidRDefault="00267979">
      <w:pPr>
        <w:pStyle w:val="Standarduser"/>
        <w:jc w:val="center"/>
      </w:pPr>
      <w:r>
        <w:rPr>
          <w:rFonts w:eastAsia="Calibri"/>
          <w:b/>
          <w:szCs w:val="24"/>
        </w:rPr>
        <w:t>LIETUVOS RESPUBLIKOS</w:t>
      </w:r>
    </w:p>
    <w:p w:rsidR="00914F9C" w:rsidRDefault="00267979">
      <w:pPr>
        <w:pStyle w:val="Standarduser"/>
        <w:jc w:val="center"/>
      </w:pPr>
      <w:r>
        <w:rPr>
          <w:rFonts w:eastAsia="Calibri"/>
          <w:b/>
          <w:szCs w:val="24"/>
        </w:rPr>
        <w:t>ADMINISTRACINIŲ NUSIŽENGIMŲ KODEKSO 12, 33, 416, 417, 610 ir 616 STRAIPSNIŲ PAKEITIMO</w:t>
      </w:r>
    </w:p>
    <w:p w:rsidR="00914F9C" w:rsidRDefault="00267979">
      <w:pPr>
        <w:pStyle w:val="Standarduser"/>
        <w:jc w:val="center"/>
      </w:pPr>
      <w:r>
        <w:rPr>
          <w:rFonts w:eastAsia="Calibri"/>
          <w:b/>
          <w:szCs w:val="24"/>
        </w:rPr>
        <w:t>ĮSTATYMAS</w:t>
      </w:r>
    </w:p>
    <w:p w:rsidR="00914F9C" w:rsidRDefault="00914F9C">
      <w:pPr>
        <w:pStyle w:val="Standarduser"/>
        <w:ind w:firstLine="851"/>
        <w:jc w:val="center"/>
        <w:rPr>
          <w:rFonts w:eastAsia="Calibri"/>
          <w:szCs w:val="24"/>
        </w:rPr>
      </w:pPr>
    </w:p>
    <w:p w:rsidR="00914F9C" w:rsidRDefault="00267979">
      <w:pPr>
        <w:pStyle w:val="Standarduser"/>
        <w:jc w:val="center"/>
      </w:pPr>
      <w:r>
        <w:rPr>
          <w:rFonts w:eastAsia="Calibri"/>
          <w:szCs w:val="24"/>
        </w:rPr>
        <w:t>Nr.</w:t>
      </w:r>
    </w:p>
    <w:p w:rsidR="00914F9C" w:rsidRDefault="00267979">
      <w:pPr>
        <w:pStyle w:val="Standarduser"/>
        <w:jc w:val="center"/>
      </w:pPr>
      <w:r>
        <w:rPr>
          <w:rFonts w:eastAsia="Calibri"/>
          <w:szCs w:val="24"/>
        </w:rPr>
        <w:t>Vilnius</w:t>
      </w:r>
    </w:p>
    <w:p w:rsidR="00914F9C" w:rsidRDefault="00914F9C">
      <w:pPr>
        <w:pStyle w:val="Standarduser"/>
        <w:ind w:firstLine="851"/>
        <w:rPr>
          <w:rFonts w:eastAsia="Calibri"/>
          <w:szCs w:val="24"/>
        </w:rPr>
      </w:pPr>
    </w:p>
    <w:p w:rsidR="00914F9C" w:rsidRDefault="00267979">
      <w:pPr>
        <w:pStyle w:val="Standarduser"/>
        <w:widowControl w:val="0"/>
        <w:tabs>
          <w:tab w:val="left" w:pos="1134"/>
        </w:tabs>
        <w:suppressAutoHyphens w:val="0"/>
        <w:ind w:firstLine="851"/>
        <w:jc w:val="both"/>
        <w:textAlignment w:val="auto"/>
      </w:pPr>
      <w:r>
        <w:rPr>
          <w:rFonts w:eastAsia="Calibri"/>
          <w:b/>
          <w:color w:val="000000"/>
          <w:szCs w:val="24"/>
          <w:lang w:eastAsia="lt-LT"/>
        </w:rPr>
        <w:t>1 straipsnis. 12 straipsnio pakeitimas</w:t>
      </w:r>
    </w:p>
    <w:p w:rsidR="00914F9C" w:rsidRDefault="00267979">
      <w:pPr>
        <w:pStyle w:val="Standard"/>
        <w:widowControl/>
        <w:suppressAutoHyphens w:val="0"/>
        <w:ind w:firstLine="851"/>
        <w:jc w:val="both"/>
        <w:textAlignment w:val="auto"/>
      </w:pPr>
      <w:r>
        <w:rPr>
          <w:rFonts w:eastAsia="Calibri"/>
          <w:color w:val="000000"/>
          <w:szCs w:val="24"/>
          <w:lang w:eastAsia="lt-LT"/>
        </w:rPr>
        <w:t>Pakeisti 12 straipsnio 1 dalį ir ją išdėstyti taip:</w:t>
      </w:r>
    </w:p>
    <w:p w:rsidR="00914F9C" w:rsidRDefault="00267979">
      <w:pPr>
        <w:pStyle w:val="Standard"/>
        <w:widowControl/>
        <w:suppressAutoHyphens w:val="0"/>
        <w:ind w:firstLine="851"/>
        <w:jc w:val="both"/>
        <w:textAlignment w:val="auto"/>
      </w:pPr>
      <w:r>
        <w:rPr>
          <w:bCs/>
          <w:color w:val="000000"/>
          <w:szCs w:val="24"/>
          <w:lang w:eastAsia="lt-LT"/>
        </w:rPr>
        <w:t>„</w:t>
      </w:r>
      <w:bookmarkStart w:id="0" w:name="part_69ac69fa19994ce792cc5183f6bc346a"/>
      <w:bookmarkEnd w:id="0"/>
      <w:r>
        <w:rPr>
          <w:color w:val="000000"/>
          <w:szCs w:val="24"/>
          <w:lang w:eastAsia="lt-LT"/>
        </w:rPr>
        <w:t xml:space="preserve">1. Jeigu padaryta mažai pavojinga administracinio nusižengimo požymių turinti veika ir šio kodekso 22 straipsnio 2 dalies 1 punkte nurodytą administracinės nuobaudos paskirtį galima įgyvendinti netraukiant asmens administracinėn atsakomybėn, teisę pradėti administracinio nusižengimo teiseną turintis pareigūnas gali jos nepradėti ir pareikšti asmeniui žodinę pastabą. Šio straipsnio nuostatos gali būti taikomos asmeniui padarius šio kodekso 79 straipsnio 5 dalyje, 108 straipsnyje, 124 straipsnio 1 dalyje, 146 straipsnio 1 dalyje, 152 straipsnio 1 dalyje, 153 straipsnio 1 dalyje, 154 straipsnio 1 dalyje, 155 straipsnio 1 dalyje, 161 straipsnio 1 dalyje, 164 straipsnio 1 dalyje, 187 straipsnio 1 ir 2 dalyse, 189 straipsnio 1 dalyje, 192 straipsnio 1 dalyje, 205 straipsnio 1 dalyje, 212 straipsnio 1 dalyje, 213 straipsnio 1 dalyje, 228 straipsnyje, 247 straipsnio 1 ir 2 dalyse, 278 straipsnyje, 279 straipsnio 1 dalyje, 283 straipsnyje, 284 straipsnio 1 dalyje, 287 straipsnyje, 294 straipsnio 1 ir 2 dalyse, 295 straipsnio 3 dalyje, 296 straipsnio 1 dalyje, 297 straipsnio 1 dalyje, 299 straipsnio 1 dalyje, 305 straipsnio 1 ir 4 dalyse, 340 straipsnyje, 346 straipsnio 1 dalyje, 366 straipsnio 1 dalyje, 368 straipsnio 1 dalyje, 373 straipsnio 1 dalyje, 375 straipsnio 1 dalyje, 402, 404 straipsniuose, 406 straipsnio 6 dalyje, 409 straipsnyje, 413 straipsnio 1 dalyje, </w:t>
      </w:r>
      <w:r>
        <w:rPr>
          <w:strike/>
          <w:color w:val="000000"/>
          <w:szCs w:val="24"/>
          <w:lang w:eastAsia="lt-LT"/>
        </w:rPr>
        <w:t>416 straipsnio 1 dalyje,</w:t>
      </w:r>
      <w:r>
        <w:rPr>
          <w:color w:val="000000"/>
          <w:szCs w:val="24"/>
          <w:lang w:eastAsia="lt-LT"/>
        </w:rPr>
        <w:t xml:space="preserve"> 417 straipsnio 7</w:t>
      </w:r>
      <w:r>
        <w:rPr>
          <w:b/>
          <w:bCs/>
          <w:color w:val="000000"/>
          <w:szCs w:val="24"/>
          <w:lang w:eastAsia="lt-LT"/>
        </w:rPr>
        <w:t> </w:t>
      </w:r>
      <w:r>
        <w:rPr>
          <w:color w:val="000000"/>
          <w:szCs w:val="24"/>
          <w:lang w:eastAsia="lt-LT"/>
        </w:rPr>
        <w:t>dalyje, 428 straipsnio 6 dalyje, 445 straipsnio 1 dalyje, 477 straipsnio 1, 3 ir 5 dalyse, 492 straipsnio 1 dalyje, 519 straipsnio 1 dalyje, 520 straipsnyje, 523 straipsnio 1 dalyje, 525 straipsnio 1 dalyje, 526 straipsnio 1 dalyje, 528 straipsnio 1 dalyje, 530 straipsnio 1 dalyje, 548 straipsnio 3 dalyje numatytų administracinių nusižengimų požymių turinčias veikas.“</w:t>
      </w:r>
    </w:p>
    <w:p w:rsidR="00914F9C" w:rsidRDefault="00914F9C">
      <w:pPr>
        <w:pStyle w:val="Standarduser"/>
        <w:ind w:firstLine="851"/>
        <w:rPr>
          <w:rFonts w:eastAsia="Calibri"/>
          <w:szCs w:val="24"/>
        </w:rPr>
      </w:pPr>
    </w:p>
    <w:p w:rsidR="00914F9C" w:rsidRDefault="00267979">
      <w:pPr>
        <w:pStyle w:val="Standarduser"/>
        <w:widowControl w:val="0"/>
        <w:tabs>
          <w:tab w:val="left" w:pos="1134"/>
        </w:tabs>
        <w:suppressAutoHyphens w:val="0"/>
        <w:ind w:firstLine="851"/>
        <w:jc w:val="both"/>
        <w:textAlignment w:val="auto"/>
      </w:pPr>
      <w:r>
        <w:rPr>
          <w:rFonts w:eastAsia="Calibri"/>
          <w:b/>
          <w:color w:val="000000"/>
          <w:szCs w:val="24"/>
          <w:lang w:eastAsia="lt-LT"/>
        </w:rPr>
        <w:t>2 straipsnis. 33 straipsnio pakeitimas</w:t>
      </w:r>
    </w:p>
    <w:p w:rsidR="00914F9C" w:rsidRDefault="00267979">
      <w:pPr>
        <w:pStyle w:val="Standarduser"/>
        <w:widowControl w:val="0"/>
        <w:tabs>
          <w:tab w:val="left" w:pos="1134"/>
        </w:tabs>
        <w:suppressAutoHyphens w:val="0"/>
        <w:ind w:firstLine="851"/>
        <w:jc w:val="both"/>
        <w:textAlignment w:val="auto"/>
      </w:pPr>
      <w:r>
        <w:rPr>
          <w:rFonts w:eastAsia="Calibri"/>
          <w:color w:val="000000"/>
          <w:szCs w:val="24"/>
          <w:lang w:eastAsia="lt-LT"/>
        </w:rPr>
        <w:t>1. Pakeisti 33 straipsnio 1 dalies 1 punktą ir jį išdėstyti taip:</w:t>
      </w:r>
    </w:p>
    <w:p w:rsidR="00914F9C" w:rsidRDefault="00267979">
      <w:pPr>
        <w:pStyle w:val="Standarduser"/>
        <w:widowControl w:val="0"/>
        <w:tabs>
          <w:tab w:val="left" w:pos="1134"/>
        </w:tabs>
        <w:suppressAutoHyphens w:val="0"/>
        <w:ind w:firstLine="851"/>
        <w:jc w:val="both"/>
        <w:textAlignment w:val="auto"/>
      </w:pPr>
      <w:r>
        <w:rPr>
          <w:rFonts w:eastAsia="Calibri"/>
          <w:color w:val="000000"/>
          <w:szCs w:val="24"/>
          <w:lang w:eastAsia="lt-LT"/>
        </w:rPr>
        <w:t xml:space="preserve">„1) asmeniui siūloma sumokėti pusę minimalios baudos, nustatytos šio kodekso specialiosios dalies straipsnyje (straipsnio dalyje), kuriame (kurioje) nustatyta atsakomybė už asmens padarytą administracinį nusižengimą, o jei asmuo padarė pakartotinį administracinį nusižengimą, numatytą šio kodekso 415 straipsnio 1, 2 ir 6 dalyse, 416 straipsnio </w:t>
      </w:r>
      <w:r>
        <w:rPr>
          <w:rFonts w:eastAsia="Calibri"/>
          <w:b/>
          <w:bCs/>
          <w:color w:val="000000"/>
          <w:szCs w:val="24"/>
          <w:lang w:eastAsia="lt-LT"/>
        </w:rPr>
        <w:t>1,</w:t>
      </w:r>
      <w:r>
        <w:rPr>
          <w:rFonts w:eastAsia="Calibri"/>
          <w:color w:val="000000"/>
          <w:szCs w:val="24"/>
          <w:lang w:eastAsia="lt-LT"/>
        </w:rPr>
        <w:t xml:space="preserve"> 2, 3, 4 ir 5 dalyse, 417, 418, 419 straipsniuose, 420 straipsnio 1 dalyje, 421 straipsnyje, 432 straipsnio 1 dalyje, 459 straipsnio 1, 4 ir 5 dalyse, 463 straipsnyje, – minimalią baudą, nustatytą šio kodekso specialiosios dalies straipsnyje (straipsnio dalyje), kuriame (kurioje) nustatyta atsakomybė už asmens padarytą administracinį nusižengimą;“.</w:t>
      </w:r>
    </w:p>
    <w:p w:rsidR="00914F9C" w:rsidRDefault="00267979">
      <w:pPr>
        <w:pStyle w:val="Standarduser"/>
        <w:widowControl w:val="0"/>
        <w:tabs>
          <w:tab w:val="left" w:pos="1134"/>
        </w:tabs>
        <w:suppressAutoHyphens w:val="0"/>
        <w:ind w:firstLine="851"/>
        <w:jc w:val="both"/>
        <w:textAlignment w:val="auto"/>
      </w:pPr>
      <w:r>
        <w:rPr>
          <w:rFonts w:eastAsia="Calibri"/>
          <w:color w:val="000000"/>
          <w:szCs w:val="24"/>
          <w:lang w:eastAsia="lt-LT"/>
        </w:rPr>
        <w:t>2. Pakeisti 33 straipsnio 2 dalį ir ją išdėstyti taip:</w:t>
      </w:r>
    </w:p>
    <w:p w:rsidR="00914F9C" w:rsidRDefault="00267979">
      <w:pPr>
        <w:pStyle w:val="Standarduser"/>
        <w:widowControl w:val="0"/>
        <w:tabs>
          <w:tab w:val="left" w:pos="1134"/>
        </w:tabs>
        <w:suppressAutoHyphens w:val="0"/>
        <w:ind w:firstLine="851"/>
        <w:jc w:val="both"/>
        <w:textAlignment w:val="auto"/>
      </w:pPr>
      <w:r>
        <w:rPr>
          <w:rFonts w:eastAsia="Calibri"/>
          <w:color w:val="000000"/>
          <w:szCs w:val="24"/>
          <w:lang w:eastAsia="lt-LT"/>
        </w:rPr>
        <w:t xml:space="preserve">„2. Šio kodekso 612 straipsnyje numatytais atvejais administraciniu nurodymu siūlomos baudos dydis lygus pusei didžiausios minimalios baudos, o kai asmuo padarė pakartotinį administracinį nusižengimą, numatytą šio kodekso 415 straipsnio 1, 2 ir 6 dalyse, 416 straipsnio </w:t>
      </w:r>
      <w:r>
        <w:rPr>
          <w:rFonts w:eastAsia="Calibri"/>
          <w:b/>
          <w:bCs/>
          <w:color w:val="000000"/>
          <w:szCs w:val="24"/>
          <w:lang w:eastAsia="lt-LT"/>
        </w:rPr>
        <w:t>1,</w:t>
      </w:r>
      <w:r>
        <w:rPr>
          <w:rFonts w:eastAsia="Calibri"/>
          <w:color w:val="000000"/>
          <w:szCs w:val="24"/>
          <w:lang w:eastAsia="lt-LT"/>
        </w:rPr>
        <w:t xml:space="preserve"> 2, 3, 4 ir 5 dalyse, 417, 418, 419 straipsniuose, 420 straipsnio 1 dalyje, 421 straipsnyje, 432 straipsnio 1 dalyje, 459 straipsnio 1, 4 ir 5 dalyse, 463 straipsnyje, – didžiausia minimali bauda, nustatyta šio kodekso straipsniuose, pagal kuriuos kvalifikuojama asmens veika. Jeigu šio kodekso straipsniuose, pagal kuriuos kvalifikuojama asmens veika, numatyta administracinio poveikio priemonė – privalomas asmeniui suteiktos specialiosios teisės atėmimas, specialiosios teisės atėmimo trukmė lygi ilgiausiam šiuose straipsniuose nustatytam minimaliam skiriamo specialiosios teisės atėmimo terminui.“</w:t>
      </w:r>
    </w:p>
    <w:p w:rsidR="00914F9C" w:rsidRDefault="00914F9C">
      <w:pPr>
        <w:pStyle w:val="Standarduser"/>
        <w:widowControl w:val="0"/>
        <w:tabs>
          <w:tab w:val="left" w:pos="1134"/>
        </w:tabs>
        <w:suppressAutoHyphens w:val="0"/>
        <w:ind w:firstLine="851"/>
        <w:jc w:val="both"/>
        <w:textAlignment w:val="auto"/>
        <w:rPr>
          <w:rFonts w:eastAsia="Calibri"/>
          <w:color w:val="000000"/>
          <w:szCs w:val="24"/>
          <w:lang w:eastAsia="lt-LT"/>
        </w:rPr>
      </w:pPr>
    </w:p>
    <w:p w:rsidR="00914F9C" w:rsidRDefault="00267979">
      <w:pPr>
        <w:pStyle w:val="Standarduser"/>
        <w:widowControl w:val="0"/>
        <w:tabs>
          <w:tab w:val="left" w:pos="1134"/>
        </w:tabs>
        <w:suppressAutoHyphens w:val="0"/>
        <w:ind w:firstLine="851"/>
        <w:jc w:val="both"/>
        <w:textAlignment w:val="auto"/>
      </w:pPr>
      <w:r>
        <w:rPr>
          <w:rFonts w:eastAsia="Calibri"/>
          <w:b/>
          <w:color w:val="000000"/>
          <w:szCs w:val="24"/>
          <w:lang w:eastAsia="lt-LT"/>
        </w:rPr>
        <w:t>3 straipsnis. 416 straipsnio pakeitimas</w:t>
      </w:r>
    </w:p>
    <w:p w:rsidR="00914F9C" w:rsidRDefault="00267979">
      <w:pPr>
        <w:pStyle w:val="Standarduser"/>
        <w:tabs>
          <w:tab w:val="left" w:pos="1134"/>
        </w:tabs>
        <w:ind w:firstLine="851"/>
        <w:jc w:val="both"/>
      </w:pPr>
      <w:r>
        <w:rPr>
          <w:szCs w:val="24"/>
        </w:rPr>
        <w:t>1. Pakeisti 416 straipsnio 1 dalį ir ją išdėstyti taip:</w:t>
      </w:r>
    </w:p>
    <w:p w:rsidR="00914F9C" w:rsidRDefault="00267979">
      <w:pPr>
        <w:pStyle w:val="Standarduser"/>
        <w:tabs>
          <w:tab w:val="left" w:pos="1134"/>
        </w:tabs>
        <w:ind w:firstLine="851"/>
        <w:jc w:val="both"/>
      </w:pPr>
      <w:r>
        <w:rPr>
          <w:szCs w:val="24"/>
        </w:rPr>
        <w:t>„1. Nustatyto greičio viršijimas iki dešimt kilometrų per valandą</w:t>
      </w:r>
    </w:p>
    <w:p w:rsidR="00914F9C" w:rsidRDefault="00267979">
      <w:pPr>
        <w:pStyle w:val="Standarduser"/>
        <w:tabs>
          <w:tab w:val="left" w:pos="1134"/>
        </w:tabs>
        <w:jc w:val="both"/>
      </w:pPr>
      <w:r>
        <w:rPr>
          <w:szCs w:val="24"/>
        </w:rPr>
        <w:t xml:space="preserve">              užtraukia </w:t>
      </w:r>
      <w:r>
        <w:rPr>
          <w:strike/>
          <w:szCs w:val="24"/>
        </w:rPr>
        <w:t>įspėjimą</w:t>
      </w:r>
      <w:r>
        <w:rPr>
          <w:szCs w:val="24"/>
        </w:rPr>
        <w:t xml:space="preserve"> </w:t>
      </w:r>
      <w:r>
        <w:rPr>
          <w:b/>
          <w:bCs/>
          <w:szCs w:val="24"/>
        </w:rPr>
        <w:t xml:space="preserve">baudą </w:t>
      </w:r>
      <w:r>
        <w:rPr>
          <w:szCs w:val="24"/>
        </w:rPr>
        <w:t xml:space="preserve">vairuotojams </w:t>
      </w:r>
      <w:r>
        <w:rPr>
          <w:b/>
          <w:bCs/>
          <w:szCs w:val="24"/>
        </w:rPr>
        <w:t>nuo dešimt iki dvidešimt eurų</w:t>
      </w:r>
      <w:r>
        <w:rPr>
          <w:szCs w:val="24"/>
        </w:rPr>
        <w:t>.“</w:t>
      </w:r>
    </w:p>
    <w:p w:rsidR="00914F9C" w:rsidRDefault="00267979">
      <w:pPr>
        <w:pStyle w:val="Standarduser"/>
        <w:tabs>
          <w:tab w:val="left" w:pos="1134"/>
        </w:tabs>
        <w:ind w:firstLine="851"/>
        <w:jc w:val="both"/>
      </w:pPr>
      <w:r>
        <w:rPr>
          <w:szCs w:val="24"/>
        </w:rPr>
        <w:t>2. Pakeisti 416 straipsnio 2 dalį ir ją išdėstyti taip:</w:t>
      </w:r>
    </w:p>
    <w:p w:rsidR="00914F9C" w:rsidRDefault="00267979">
      <w:pPr>
        <w:pStyle w:val="Textbodyuser"/>
        <w:tabs>
          <w:tab w:val="left" w:pos="1134"/>
        </w:tabs>
        <w:spacing w:after="0" w:line="240" w:lineRule="auto"/>
        <w:ind w:firstLine="851"/>
        <w:jc w:val="both"/>
      </w:pPr>
      <w:r>
        <w:rPr>
          <w:szCs w:val="24"/>
        </w:rPr>
        <w:t>„2. Nustatyto greičio viršijimas daugiau kaip dešimt, bet ne daugiau kaip dvidešimt kilometrų per valandą</w:t>
      </w:r>
    </w:p>
    <w:p w:rsidR="00914F9C" w:rsidRDefault="00267979">
      <w:pPr>
        <w:pStyle w:val="Textbodyuser"/>
        <w:tabs>
          <w:tab w:val="left" w:pos="1134"/>
        </w:tabs>
        <w:spacing w:after="0" w:line="240" w:lineRule="auto"/>
        <w:ind w:firstLine="851"/>
        <w:jc w:val="both"/>
      </w:pPr>
      <w:r>
        <w:rPr>
          <w:szCs w:val="24"/>
        </w:rPr>
        <w:t xml:space="preserve">užtraukia baudą vairuotojams nuo </w:t>
      </w:r>
      <w:r>
        <w:rPr>
          <w:strike/>
          <w:szCs w:val="24"/>
        </w:rPr>
        <w:t>dvylikos</w:t>
      </w:r>
      <w:r>
        <w:rPr>
          <w:szCs w:val="24"/>
        </w:rPr>
        <w:t xml:space="preserve"> </w:t>
      </w:r>
      <w:r>
        <w:rPr>
          <w:b/>
          <w:bCs/>
          <w:szCs w:val="24"/>
        </w:rPr>
        <w:t xml:space="preserve">dvidešimt </w:t>
      </w:r>
      <w:r>
        <w:rPr>
          <w:szCs w:val="24"/>
        </w:rPr>
        <w:t>iki trisdešimt eurų.“</w:t>
      </w:r>
    </w:p>
    <w:p w:rsidR="00914F9C" w:rsidRDefault="00914F9C">
      <w:pPr>
        <w:pStyle w:val="Textbodyuser"/>
        <w:tabs>
          <w:tab w:val="left" w:pos="1134"/>
        </w:tabs>
        <w:spacing w:after="0" w:line="240" w:lineRule="auto"/>
        <w:ind w:firstLine="851"/>
        <w:jc w:val="both"/>
        <w:rPr>
          <w:szCs w:val="24"/>
        </w:rPr>
      </w:pPr>
    </w:p>
    <w:p w:rsidR="005B3DF8" w:rsidRPr="005B3DF8" w:rsidRDefault="005B3DF8">
      <w:pPr>
        <w:pStyle w:val="Textbodyuser"/>
        <w:tabs>
          <w:tab w:val="left" w:pos="1134"/>
        </w:tabs>
        <w:spacing w:after="0" w:line="240" w:lineRule="auto"/>
        <w:ind w:firstLine="851"/>
        <w:jc w:val="both"/>
        <w:rPr>
          <w:b/>
          <w:szCs w:val="24"/>
        </w:rPr>
      </w:pPr>
      <w:r w:rsidRPr="005B3DF8">
        <w:rPr>
          <w:b/>
          <w:szCs w:val="24"/>
        </w:rPr>
        <w:t xml:space="preserve">4 straipsnis. 417 straipsnio pakeitimas </w:t>
      </w:r>
    </w:p>
    <w:p w:rsidR="00914F9C" w:rsidRDefault="00267979">
      <w:pPr>
        <w:pStyle w:val="Standarduser"/>
        <w:tabs>
          <w:tab w:val="left" w:pos="1134"/>
        </w:tabs>
        <w:ind w:firstLine="851"/>
        <w:jc w:val="both"/>
      </w:pPr>
      <w:r>
        <w:rPr>
          <w:szCs w:val="24"/>
        </w:rPr>
        <w:t>Pakeisti 417 straipsnio 3 dalį ir ją išdėstyti taip:</w:t>
      </w:r>
    </w:p>
    <w:p w:rsidR="00914F9C" w:rsidRDefault="00267979">
      <w:pPr>
        <w:pStyle w:val="Sraopastraipa"/>
        <w:tabs>
          <w:tab w:val="left" w:pos="1134"/>
        </w:tabs>
        <w:ind w:left="0" w:firstLine="851"/>
        <w:jc w:val="both"/>
      </w:pPr>
      <w:r>
        <w:rPr>
          <w:szCs w:val="24"/>
        </w:rPr>
        <w:t xml:space="preserve">„3. Reikalavimo duoti kelią pradedant važiuoti, įvažiuojant į kelią, persirikiuojant ir kitaip keičiant važiavimo kryptį nevykdymas, įvažiavimas į priešpriešinio eismo juostą pažeidžiant Kelių eismo taisyklių reikalavimus, apsisukimas geležinkelio pervažose, vietose, kur kelio </w:t>
      </w:r>
      <w:r w:rsidRPr="00D3101D">
        <w:rPr>
          <w:szCs w:val="24"/>
        </w:rPr>
        <w:t xml:space="preserve">matomumas bent viena kryptimi mažesnis kaip 100 metrų, draudimo vairuotojams </w:t>
      </w:r>
      <w:r w:rsidRPr="00D3101D">
        <w:rPr>
          <w:b/>
          <w:bCs/>
          <w:szCs w:val="24"/>
        </w:rPr>
        <w:t>vairuojant</w:t>
      </w:r>
      <w:r w:rsidR="004F5B4A" w:rsidRPr="00D3101D">
        <w:rPr>
          <w:b/>
          <w:bCs/>
          <w:szCs w:val="24"/>
        </w:rPr>
        <w:t xml:space="preserve"> transporto priemonę</w:t>
      </w:r>
      <w:r w:rsidRPr="00D3101D">
        <w:rPr>
          <w:szCs w:val="24"/>
        </w:rPr>
        <w:t xml:space="preserve"> naudotis mobiliojo ryšio priemonėmis, kai jomis naudojamasi rankomis </w:t>
      </w:r>
      <w:r w:rsidRPr="00D3101D">
        <w:rPr>
          <w:strike/>
          <w:szCs w:val="24"/>
        </w:rPr>
        <w:t>(išskyrus atvejus,</w:t>
      </w:r>
      <w:r>
        <w:rPr>
          <w:strike/>
          <w:szCs w:val="24"/>
        </w:rPr>
        <w:t xml:space="preserve"> kai stovinčios transporto priemonės variklis išjungtas)</w:t>
      </w:r>
      <w:r>
        <w:rPr>
          <w:szCs w:val="24"/>
        </w:rPr>
        <w:t>, nesilaikymas</w:t>
      </w:r>
    </w:p>
    <w:p w:rsidR="00914F9C" w:rsidRDefault="00267979">
      <w:pPr>
        <w:pStyle w:val="Textbodyuser"/>
        <w:tabs>
          <w:tab w:val="left" w:pos="1134"/>
        </w:tabs>
        <w:spacing w:after="0" w:line="240" w:lineRule="auto"/>
        <w:ind w:firstLine="851"/>
        <w:jc w:val="both"/>
      </w:pPr>
      <w:r>
        <w:rPr>
          <w:szCs w:val="24"/>
        </w:rPr>
        <w:t>užtraukia baudą vairuotojams nuo šešiasdešimt iki devyniasdešimt eurų.“</w:t>
      </w:r>
    </w:p>
    <w:p w:rsidR="00914F9C" w:rsidRDefault="00914F9C">
      <w:pPr>
        <w:pStyle w:val="Textbodyuser"/>
        <w:tabs>
          <w:tab w:val="left" w:pos="1134"/>
        </w:tabs>
        <w:spacing w:after="0" w:line="240" w:lineRule="auto"/>
        <w:ind w:firstLine="851"/>
        <w:jc w:val="both"/>
        <w:rPr>
          <w:szCs w:val="24"/>
        </w:rPr>
      </w:pPr>
      <w:bookmarkStart w:id="1" w:name="_GoBack"/>
      <w:bookmarkEnd w:id="1"/>
    </w:p>
    <w:p w:rsidR="00914F9C" w:rsidRDefault="00267979">
      <w:pPr>
        <w:pStyle w:val="Standarduser"/>
        <w:widowControl w:val="0"/>
        <w:tabs>
          <w:tab w:val="left" w:pos="1134"/>
        </w:tabs>
        <w:suppressAutoHyphens w:val="0"/>
        <w:ind w:firstLine="851"/>
        <w:jc w:val="both"/>
        <w:textAlignment w:val="auto"/>
      </w:pPr>
      <w:r>
        <w:rPr>
          <w:rFonts w:eastAsia="Calibri"/>
          <w:b/>
          <w:color w:val="000000"/>
          <w:szCs w:val="24"/>
          <w:lang w:eastAsia="lt-LT"/>
        </w:rPr>
        <w:t>5 straipsnis. 610 straipsnio pakeitimas</w:t>
      </w:r>
    </w:p>
    <w:p w:rsidR="00914F9C" w:rsidRDefault="00267979">
      <w:pPr>
        <w:pStyle w:val="Standarduser"/>
        <w:widowControl w:val="0"/>
        <w:tabs>
          <w:tab w:val="left" w:pos="1134"/>
        </w:tabs>
        <w:suppressAutoHyphens w:val="0"/>
        <w:ind w:firstLine="851"/>
        <w:jc w:val="both"/>
        <w:textAlignment w:val="auto"/>
      </w:pPr>
      <w:r>
        <w:rPr>
          <w:rFonts w:eastAsia="Calibri"/>
          <w:color w:val="000000"/>
          <w:szCs w:val="24"/>
          <w:lang w:eastAsia="lt-LT"/>
        </w:rPr>
        <w:t>1. Pakeisti 610 straipsnio 1 dalį ir ją išdėstyti taip:</w:t>
      </w:r>
    </w:p>
    <w:p w:rsidR="00914F9C" w:rsidRDefault="00267979">
      <w:pPr>
        <w:pStyle w:val="Standarduser"/>
        <w:widowControl w:val="0"/>
        <w:tabs>
          <w:tab w:val="left" w:pos="1134"/>
        </w:tabs>
        <w:suppressAutoHyphens w:val="0"/>
        <w:ind w:firstLine="851"/>
        <w:jc w:val="both"/>
        <w:textAlignment w:val="auto"/>
      </w:pPr>
      <w:r>
        <w:rPr>
          <w:rFonts w:eastAsia="Calibri"/>
          <w:color w:val="000000"/>
          <w:szCs w:val="24"/>
          <w:lang w:eastAsia="lt-LT"/>
        </w:rPr>
        <w:t xml:space="preserve">„1. Administracinis nurodymas – į administracinio nusižengimo protokolą įrašomas pasiūlymas asmeniui per penkiolika kalendorinių dienų nuo administracinio nusižengimo protokolo įteikimo dienos, o kai administracinio nusižengimo protokolas su administraciniu nurodymu surašomas administracinėn atsakomybėn traukiamam asmeniui nedalyvaujant, – per trisdešimt kalendorinių dienų nuo administracinio nusižengimo protokolo su administraciniu nurodymu išsiuntimo dienos savo noru sumokėti baudą, lygią pusei minimalios baudos, o jei asmuo padarė pakartotinį administracinį nusižengimą, numatytą šio kodekso 415 straipsnio 1, 2 ir 6 dalyse, 416 straipsnio </w:t>
      </w:r>
      <w:r>
        <w:rPr>
          <w:rFonts w:eastAsia="Calibri"/>
          <w:b/>
          <w:bCs/>
          <w:color w:val="000000"/>
          <w:szCs w:val="24"/>
          <w:lang w:eastAsia="lt-LT"/>
        </w:rPr>
        <w:t>1,</w:t>
      </w:r>
      <w:r>
        <w:rPr>
          <w:rFonts w:eastAsia="Calibri"/>
          <w:color w:val="000000"/>
          <w:szCs w:val="24"/>
          <w:lang w:eastAsia="lt-LT"/>
        </w:rPr>
        <w:t xml:space="preserve"> 2, 3, 4 ir 5 dalyse, 417, 418, 419 straipsniuose, 420 straipsnio 1 dalyje, 421 straipsnyje, 432 straipsnio 1 dalyje, 459 straipsnio 1, 4 ir 5 dalyse, 463 straipsnyje, – minimalią baudą, nustatytą šio kodekso specialiosios dalies straipsnyje (straipsnio dalyje), kuriame (kurioje) nustatyta atsakomybė už asmens padarytą administracinį nusižengimą. Kai šio kodekso specialiosios dalies straipsnyje, kuriame nustatyta atsakomybė už asmens padarytą administracinį nusižengimą, nustatytas privalomas asmeniui suteiktos teisės vairuoti transporto priemones atėmimas, į administracinio nusižengimo protokolą įrašomas pasiūlymas sutikti su teisės vairuoti transporto priemones atėmimu šio kodekso 33 straipsnio 1 dalies 3 punkte nustatytam terminui. Kai šio kodekso specialiosios dalies straipsnyje, kuriame nustatyta atsakomybė už asmens padarytą administracinį nusižengimą, nustatytas privalomas asmeniui suteiktos specialiosios teisės, išskyrus teisę vairuoti transporto priemones, atėmimas, į administracinio nusižengimo protokolą įrašomas pasiūlymas per penkiolika kalendorinių dienų nuo administracinio nusižengimo protokolo įteikimo dienos, o kai administracinio nusižengimo protokolas su administraciniu nurodymu surašomas administracinėn atsakomybėn traukiamam asmeniui nedalyvaujant, – per trisdešimt kalendorinių dienų nuo administracinio nusižengimo protokolo su administraciniu nurodymu išsiuntimo dienos grąžinti specialiąją teisę patvirtinančius dokumentus atitinkamai institucijai (sutikti su specialiosios teisės atėmimu šio kodekso 33 straipsnio 1 dalies 3 punkte nustatytam terminui).“</w:t>
      </w:r>
    </w:p>
    <w:p w:rsidR="00914F9C" w:rsidRDefault="00267979">
      <w:pPr>
        <w:pStyle w:val="Standarduser"/>
        <w:widowControl w:val="0"/>
        <w:tabs>
          <w:tab w:val="left" w:pos="1134"/>
        </w:tabs>
        <w:suppressAutoHyphens w:val="0"/>
        <w:ind w:firstLine="851"/>
        <w:jc w:val="both"/>
        <w:textAlignment w:val="auto"/>
      </w:pPr>
      <w:r>
        <w:rPr>
          <w:rFonts w:eastAsia="Calibri"/>
          <w:color w:val="000000"/>
          <w:szCs w:val="24"/>
          <w:lang w:eastAsia="lt-LT"/>
        </w:rPr>
        <w:t>2. Pakeisti 610 straipsnio 2 dalies 2 punktą ir jį išdėstyti taip:</w:t>
      </w:r>
    </w:p>
    <w:p w:rsidR="00914F9C" w:rsidRDefault="00267979">
      <w:pPr>
        <w:pStyle w:val="Standarduser"/>
        <w:widowControl w:val="0"/>
        <w:tabs>
          <w:tab w:val="left" w:pos="1134"/>
        </w:tabs>
        <w:suppressAutoHyphens w:val="0"/>
        <w:ind w:firstLine="851"/>
        <w:jc w:val="both"/>
        <w:textAlignment w:val="auto"/>
      </w:pPr>
      <w:r>
        <w:rPr>
          <w:rFonts w:eastAsia="Calibri"/>
          <w:color w:val="000000"/>
          <w:szCs w:val="24"/>
          <w:lang w:eastAsia="lt-LT"/>
        </w:rPr>
        <w:t xml:space="preserve">„2) asmuo per metus padarė pakartotinį administracinį nusižengimą, išskyrus šio kodekso 415 straipsnio 1, 2 ir 6 dalyse, 416 straipsnio </w:t>
      </w:r>
      <w:r>
        <w:rPr>
          <w:rFonts w:eastAsia="Calibri"/>
          <w:b/>
          <w:bCs/>
          <w:color w:val="000000"/>
          <w:szCs w:val="24"/>
          <w:lang w:eastAsia="lt-LT"/>
        </w:rPr>
        <w:t>1,</w:t>
      </w:r>
      <w:r>
        <w:rPr>
          <w:rFonts w:eastAsia="Calibri"/>
          <w:color w:val="000000"/>
          <w:szCs w:val="24"/>
          <w:lang w:eastAsia="lt-LT"/>
        </w:rPr>
        <w:t xml:space="preserve"> 2, 3, 4 ir 5 dalyse, 417, 418, 419 straipsniuose, 420 straipsnio 1 dalyje, 421 straipsnyje, 432 straipsnio 1 dalyje, 459 straipsnio 1, 4 ir 5 dalyse, 463 straipsnyje numatytus administracinius nusižengimus;“.</w:t>
      </w:r>
    </w:p>
    <w:p w:rsidR="00914F9C" w:rsidRDefault="00914F9C">
      <w:pPr>
        <w:pStyle w:val="Standarduser"/>
        <w:widowControl w:val="0"/>
        <w:tabs>
          <w:tab w:val="left" w:pos="1134"/>
        </w:tabs>
        <w:suppressAutoHyphens w:val="0"/>
        <w:ind w:firstLine="851"/>
        <w:jc w:val="both"/>
        <w:textAlignment w:val="auto"/>
        <w:rPr>
          <w:rFonts w:eastAsia="Calibri"/>
          <w:color w:val="000000"/>
          <w:szCs w:val="24"/>
          <w:lang w:eastAsia="lt-LT"/>
        </w:rPr>
      </w:pPr>
    </w:p>
    <w:p w:rsidR="00914F9C" w:rsidRDefault="00267979">
      <w:pPr>
        <w:pStyle w:val="Standarduser"/>
        <w:widowControl w:val="0"/>
        <w:tabs>
          <w:tab w:val="left" w:pos="1134"/>
        </w:tabs>
        <w:suppressAutoHyphens w:val="0"/>
        <w:ind w:firstLine="851"/>
        <w:jc w:val="both"/>
        <w:textAlignment w:val="auto"/>
      </w:pPr>
      <w:r>
        <w:rPr>
          <w:b/>
          <w:bCs/>
          <w:kern w:val="3"/>
          <w:szCs w:val="24"/>
          <w:lang w:eastAsia="zh-CN"/>
        </w:rPr>
        <w:lastRenderedPageBreak/>
        <w:t xml:space="preserve">6 </w:t>
      </w:r>
      <w:r>
        <w:rPr>
          <w:rFonts w:eastAsia="Calibri"/>
          <w:b/>
          <w:color w:val="000000"/>
          <w:kern w:val="3"/>
          <w:szCs w:val="24"/>
          <w:lang w:eastAsia="lt-LT"/>
        </w:rPr>
        <w:t>straipsnis. 616 straipsnio pakeitimas</w:t>
      </w:r>
    </w:p>
    <w:p w:rsidR="00914F9C" w:rsidRDefault="00267979">
      <w:pPr>
        <w:pStyle w:val="Standard"/>
        <w:widowControl/>
        <w:ind w:firstLine="851"/>
        <w:jc w:val="both"/>
      </w:pPr>
      <w:r>
        <w:rPr>
          <w:rFonts w:eastAsia="Calibri"/>
          <w:color w:val="000000"/>
          <w:kern w:val="3"/>
          <w:szCs w:val="24"/>
          <w:lang w:eastAsia="lt-LT"/>
        </w:rPr>
        <w:t>Pakeisti 616 straipsnio 1 dalį ir ją išdėstyti taip:</w:t>
      </w:r>
    </w:p>
    <w:p w:rsidR="00914F9C" w:rsidRDefault="00267979">
      <w:pPr>
        <w:pStyle w:val="Standard"/>
        <w:widowControl/>
        <w:ind w:firstLine="851"/>
        <w:jc w:val="both"/>
      </w:pPr>
      <w:r>
        <w:rPr>
          <w:kern w:val="3"/>
          <w:lang w:eastAsia="zh-CN"/>
        </w:rPr>
        <w:t xml:space="preserve">„1. Administracinių nusižengimų bylos ne teismo tvarka nagrinėjamos rašytinio proceso tvarka, nekviečiant administracinių bylų teisenoje dalyvaujančių asmenų į bylos nagrinėjimą </w:t>
      </w:r>
      <w:r>
        <w:rPr>
          <w:strike/>
          <w:kern w:val="3"/>
          <w:lang w:eastAsia="zh-CN"/>
        </w:rPr>
        <w:t>pagal administracinio nusižengimo padarymo vietą. Kai administracinis nusižengimas užfiksuotas stacionariomis ar mobiliosiomis teisės pažeidimų fiksavimo sistemomis, byla gali būti nagrinėjama pagal administracinio nusižengimo padarymu įtariamo asmens gyvenamąją vietą (transporto priemonės registracijos vietą)</w:t>
      </w:r>
      <w:r>
        <w:rPr>
          <w:kern w:val="3"/>
          <w:lang w:eastAsia="zh-CN"/>
        </w:rPr>
        <w:t>.“</w:t>
      </w:r>
    </w:p>
    <w:p w:rsidR="00914F9C" w:rsidRDefault="00914F9C">
      <w:pPr>
        <w:pStyle w:val="Textbodyuser"/>
        <w:tabs>
          <w:tab w:val="left" w:pos="1134"/>
        </w:tabs>
        <w:spacing w:after="0" w:line="240" w:lineRule="auto"/>
        <w:ind w:firstLine="851"/>
        <w:jc w:val="both"/>
        <w:rPr>
          <w:szCs w:val="24"/>
        </w:rPr>
      </w:pPr>
    </w:p>
    <w:p w:rsidR="00914F9C" w:rsidRDefault="00267979">
      <w:pPr>
        <w:pStyle w:val="Standarduser"/>
        <w:tabs>
          <w:tab w:val="left" w:pos="1134"/>
        </w:tabs>
        <w:ind w:firstLine="851"/>
        <w:jc w:val="both"/>
      </w:pPr>
      <w:r>
        <w:rPr>
          <w:b/>
          <w:bCs/>
          <w:szCs w:val="24"/>
          <w:lang w:eastAsia="lt-LT"/>
        </w:rPr>
        <w:t>7 straipsnis. Įstatymo įsigaliojimas</w:t>
      </w:r>
    </w:p>
    <w:p w:rsidR="00914F9C" w:rsidRDefault="00267979">
      <w:pPr>
        <w:pStyle w:val="Standarduser"/>
        <w:numPr>
          <w:ilvl w:val="0"/>
          <w:numId w:val="5"/>
        </w:numPr>
        <w:tabs>
          <w:tab w:val="left" w:pos="1134"/>
        </w:tabs>
        <w:ind w:left="0" w:firstLine="851"/>
        <w:jc w:val="both"/>
      </w:pPr>
      <w:r>
        <w:rPr>
          <w:szCs w:val="24"/>
          <w:lang w:eastAsia="lt-LT"/>
        </w:rPr>
        <w:t>Šio įstatymo 4 straipsnis įsigalioja 2020 m. gruodžio 1 d.</w:t>
      </w:r>
    </w:p>
    <w:p w:rsidR="00914F9C" w:rsidRDefault="00267979">
      <w:pPr>
        <w:pStyle w:val="Standarduser"/>
        <w:numPr>
          <w:ilvl w:val="0"/>
          <w:numId w:val="4"/>
        </w:numPr>
        <w:tabs>
          <w:tab w:val="left" w:pos="1134"/>
        </w:tabs>
        <w:ind w:left="0" w:firstLine="851"/>
        <w:jc w:val="both"/>
      </w:pPr>
      <w:r>
        <w:rPr>
          <w:szCs w:val="24"/>
          <w:lang w:eastAsia="lt-LT"/>
        </w:rPr>
        <w:t>Šio įstatymo 1, 2, 3, 5 ir 6 straipsniai įsigalioja 2021 m. gruodžio 1 d.</w:t>
      </w:r>
    </w:p>
    <w:p w:rsidR="00914F9C" w:rsidRDefault="00914F9C">
      <w:pPr>
        <w:pStyle w:val="Standarduser"/>
        <w:jc w:val="both"/>
      </w:pPr>
    </w:p>
    <w:p w:rsidR="00914F9C" w:rsidRDefault="00914F9C">
      <w:pPr>
        <w:pStyle w:val="Standarduser"/>
        <w:jc w:val="both"/>
      </w:pPr>
    </w:p>
    <w:p w:rsidR="00914F9C" w:rsidRDefault="00267979">
      <w:pPr>
        <w:pStyle w:val="Standarduser"/>
        <w:jc w:val="both"/>
      </w:pPr>
      <w:r>
        <w:rPr>
          <w:rFonts w:eastAsia="Calibri"/>
          <w:i/>
          <w:szCs w:val="24"/>
        </w:rPr>
        <w:t>Skelbiu šį Lietuvos Respublikos Seimo priimtą įstatymą.</w:t>
      </w:r>
    </w:p>
    <w:p w:rsidR="00914F9C" w:rsidRDefault="00914F9C">
      <w:pPr>
        <w:pStyle w:val="Standarduser"/>
        <w:ind w:firstLine="851"/>
        <w:jc w:val="both"/>
        <w:rPr>
          <w:rFonts w:eastAsia="Calibri"/>
          <w:szCs w:val="24"/>
        </w:rPr>
      </w:pPr>
    </w:p>
    <w:p w:rsidR="00914F9C" w:rsidRDefault="00267979">
      <w:pPr>
        <w:pStyle w:val="Standarduser"/>
        <w:jc w:val="both"/>
      </w:pPr>
      <w:r>
        <w:rPr>
          <w:rFonts w:eastAsia="Calibri"/>
          <w:szCs w:val="24"/>
        </w:rPr>
        <w:t>Respublikos Prezidentas</w:t>
      </w:r>
    </w:p>
    <w:p w:rsidR="00914F9C" w:rsidRDefault="00914F9C">
      <w:pPr>
        <w:pStyle w:val="Standarduser"/>
        <w:jc w:val="both"/>
      </w:pPr>
    </w:p>
    <w:sectPr w:rsidR="00914F9C">
      <w:headerReference w:type="default" r:id="rId7"/>
      <w:footerReference w:type="default" r:id="rId8"/>
      <w:headerReference w:type="first" r:id="rId9"/>
      <w:footerReference w:type="first" r:id="rId10"/>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EB8" w:rsidRDefault="00B22EB8">
      <w:r>
        <w:separator/>
      </w:r>
    </w:p>
  </w:endnote>
  <w:endnote w:type="continuationSeparator" w:id="0">
    <w:p w:rsidR="00B22EB8" w:rsidRDefault="00B22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6E" w:rsidRDefault="00B22EB8">
    <w:pPr>
      <w:pStyle w:val="Standarduser"/>
      <w:tabs>
        <w:tab w:val="center" w:pos="4819"/>
        <w:tab w:val="right" w:pos="9638"/>
      </w:tabs>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6E" w:rsidRDefault="00B22EB8">
    <w:pPr>
      <w:pStyle w:val="Standarduser"/>
      <w:tabs>
        <w:tab w:val="center" w:pos="4819"/>
        <w:tab w:val="right" w:pos="9638"/>
      </w:tabs>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EB8" w:rsidRDefault="00B22EB8">
      <w:r>
        <w:rPr>
          <w:color w:val="000000"/>
        </w:rPr>
        <w:separator/>
      </w:r>
    </w:p>
  </w:footnote>
  <w:footnote w:type="continuationSeparator" w:id="0">
    <w:p w:rsidR="00B22EB8" w:rsidRDefault="00B22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6E" w:rsidRDefault="00267979">
    <w:pPr>
      <w:pStyle w:val="Standarduser"/>
      <w:tabs>
        <w:tab w:val="center" w:pos="4819"/>
        <w:tab w:val="right" w:pos="9638"/>
      </w:tabs>
      <w:jc w:val="center"/>
    </w:pPr>
    <w:r>
      <w:rPr>
        <w:rFonts w:eastAsia="Calibri"/>
        <w:szCs w:val="24"/>
      </w:rPr>
      <w:fldChar w:fldCharType="begin"/>
    </w:r>
    <w:r>
      <w:rPr>
        <w:rFonts w:eastAsia="Calibri"/>
        <w:szCs w:val="24"/>
      </w:rPr>
      <w:instrText xml:space="preserve"> PAGE </w:instrText>
    </w:r>
    <w:r>
      <w:rPr>
        <w:rFonts w:eastAsia="Calibri"/>
        <w:szCs w:val="24"/>
      </w:rPr>
      <w:fldChar w:fldCharType="separate"/>
    </w:r>
    <w:r w:rsidR="00D3101D">
      <w:rPr>
        <w:rFonts w:eastAsia="Calibri"/>
        <w:noProof/>
        <w:szCs w:val="24"/>
      </w:rPr>
      <w:t>2</w:t>
    </w:r>
    <w:r>
      <w:rPr>
        <w:rFonts w:eastAsia="Calibri"/>
        <w:szCs w:val="24"/>
      </w:rPr>
      <w:fldChar w:fldCharType="end"/>
    </w:r>
  </w:p>
  <w:p w:rsidR="0002266E" w:rsidRDefault="00B22EB8">
    <w:pPr>
      <w:pStyle w:val="Standarduser"/>
      <w:tabs>
        <w:tab w:val="center" w:pos="4819"/>
        <w:tab w:val="right" w:pos="9638"/>
      </w:tabs>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6E" w:rsidRDefault="00267979">
    <w:pPr>
      <w:pStyle w:val="Standarduser"/>
      <w:tabs>
        <w:tab w:val="center" w:pos="4819"/>
        <w:tab w:val="right" w:pos="9638"/>
      </w:tabs>
    </w:pPr>
    <w:r>
      <w:rPr>
        <w:rFonts w:eastAsia="Calibri"/>
        <w:b/>
        <w:szCs w:val="24"/>
      </w:rPr>
      <w:tab/>
      <w:t xml:space="preserve">                                                                                                    Projekto</w:t>
    </w:r>
  </w:p>
  <w:p w:rsidR="0002266E" w:rsidRDefault="00267979">
    <w:pPr>
      <w:pStyle w:val="Standarduser"/>
      <w:tabs>
        <w:tab w:val="center" w:pos="4819"/>
        <w:tab w:val="right" w:pos="9638"/>
      </w:tabs>
    </w:pPr>
    <w:r>
      <w:rPr>
        <w:rFonts w:eastAsia="Calibri"/>
        <w:b/>
        <w:szCs w:val="24"/>
      </w:rPr>
      <w:t xml:space="preserve">                                                                                                                           lyginamasis variantas</w:t>
    </w:r>
  </w:p>
  <w:p w:rsidR="0002266E" w:rsidRDefault="00B22EB8">
    <w:pPr>
      <w:pStyle w:val="Standarduser"/>
      <w:tabs>
        <w:tab w:val="center" w:pos="4819"/>
        <w:tab w:val="right" w:pos="9638"/>
      </w:tabs>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85D8A"/>
    <w:multiLevelType w:val="multilevel"/>
    <w:tmpl w:val="A00A4EF4"/>
    <w:styleLink w:val="Sraonra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34EC0668"/>
    <w:multiLevelType w:val="multilevel"/>
    <w:tmpl w:val="D22EBEA8"/>
    <w:styleLink w:val="WW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nsid w:val="64A02C79"/>
    <w:multiLevelType w:val="multilevel"/>
    <w:tmpl w:val="9B6AC64A"/>
    <w:styleLink w:val="WWNum2"/>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nsid w:val="6FBE2C83"/>
    <w:multiLevelType w:val="multilevel"/>
    <w:tmpl w:val="BF72ECCE"/>
    <w:styleLink w:val="Sraonra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3"/>
  </w:num>
  <w:num w:numId="2">
    <w:abstractNumId w:val="0"/>
  </w:num>
  <w:num w:numId="3">
    <w:abstractNumId w:val="1"/>
  </w:num>
  <w:num w:numId="4">
    <w:abstractNumId w:val="2"/>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F9C"/>
    <w:rsid w:val="001423FB"/>
    <w:rsid w:val="0021145B"/>
    <w:rsid w:val="00267979"/>
    <w:rsid w:val="004F5B4A"/>
    <w:rsid w:val="005B3DF8"/>
    <w:rsid w:val="00914F9C"/>
    <w:rsid w:val="00B22EB8"/>
    <w:rsid w:val="00D3101D"/>
    <w:rsid w:val="00E17CC9"/>
    <w:rsid w:val="00E5771F"/>
    <w:rsid w:val="00FC75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968791-A21E-4952-8C8B-CE090BC9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user"/>
    <w:next w:val="Textbodyuser"/>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Sraas">
    <w:name w:val="List"/>
    <w:basedOn w:val="Textbodyuser"/>
    <w:rPr>
      <w:rFonts w:cs="Arial"/>
    </w:rPr>
  </w:style>
  <w:style w:type="paragraph" w:styleId="Antrat">
    <w:name w:val="caption"/>
    <w:basedOn w:val="Standarduser"/>
    <w:pPr>
      <w:suppressLineNumbers/>
      <w:spacing w:before="120" w:after="120"/>
    </w:pPr>
    <w:rPr>
      <w:rFonts w:cs="Arial"/>
      <w:i/>
      <w:iCs/>
      <w:szCs w:val="24"/>
    </w:rPr>
  </w:style>
  <w:style w:type="paragraph" w:customStyle="1" w:styleId="Index">
    <w:name w:val="Index"/>
    <w:basedOn w:val="Standarduser"/>
    <w:pPr>
      <w:suppressLineNumbers/>
    </w:pPr>
    <w:rPr>
      <w:rFonts w:cs="Arial"/>
    </w:rPr>
  </w:style>
  <w:style w:type="paragraph" w:customStyle="1" w:styleId="Standarduser">
    <w:name w:val="Standard (user)"/>
    <w:pPr>
      <w:widowControl/>
    </w:pPr>
  </w:style>
  <w:style w:type="paragraph" w:customStyle="1" w:styleId="Textbodyuser">
    <w:name w:val="Text body (user)"/>
    <w:basedOn w:val="Standarduser"/>
    <w:pPr>
      <w:spacing w:after="283" w:line="288" w:lineRule="auto"/>
    </w:pPr>
  </w:style>
  <w:style w:type="paragraph" w:customStyle="1" w:styleId="HeaderandFooter">
    <w:name w:val="Header and Footer"/>
    <w:basedOn w:val="Standard"/>
  </w:style>
  <w:style w:type="paragraph" w:styleId="Antrats">
    <w:name w:val="header"/>
    <w:basedOn w:val="Standarduser"/>
    <w:pPr>
      <w:suppressLineNumbers/>
      <w:tabs>
        <w:tab w:val="center" w:pos="4819"/>
        <w:tab w:val="right" w:pos="9638"/>
      </w:tabs>
    </w:pPr>
  </w:style>
  <w:style w:type="paragraph" w:styleId="Porat">
    <w:name w:val="footer"/>
    <w:basedOn w:val="Standarduser"/>
    <w:pPr>
      <w:suppressLineNumbers/>
      <w:tabs>
        <w:tab w:val="center" w:pos="4819"/>
        <w:tab w:val="right" w:pos="9638"/>
      </w:tabs>
    </w:pPr>
  </w:style>
  <w:style w:type="paragraph" w:styleId="Debesliotekstas">
    <w:name w:val="Balloon Text"/>
    <w:basedOn w:val="Standarduser"/>
    <w:rPr>
      <w:rFonts w:ascii="Segoe UI" w:eastAsia="Segoe UI" w:hAnsi="Segoe UI" w:cs="Segoe UI"/>
      <w:sz w:val="18"/>
      <w:szCs w:val="18"/>
    </w:rPr>
  </w:style>
  <w:style w:type="paragraph" w:styleId="Sraopastraipa">
    <w:name w:val="List Paragraph"/>
    <w:basedOn w:val="Standarduser"/>
    <w:pPr>
      <w:ind w:left="720"/>
    </w:pPr>
  </w:style>
  <w:style w:type="paragraph" w:styleId="Komentarotekstas">
    <w:name w:val="annotation text"/>
    <w:basedOn w:val="Standarduser"/>
    <w:rPr>
      <w:sz w:val="20"/>
    </w:rPr>
  </w:style>
  <w:style w:type="paragraph" w:styleId="Komentarotema">
    <w:name w:val="annotation subject"/>
    <w:basedOn w:val="Komentarotekstas"/>
    <w:rPr>
      <w:b/>
      <w:bCs/>
    </w:rPr>
  </w:style>
  <w:style w:type="character" w:customStyle="1" w:styleId="DebesliotekstasDiagrama">
    <w:name w:val="Debesėlio tekstas Diagrama"/>
    <w:basedOn w:val="Numatytasispastraiposriftas"/>
    <w:rPr>
      <w:rFonts w:ascii="Segoe UI" w:eastAsia="Segoe UI" w:hAnsi="Segoe UI" w:cs="Segoe UI"/>
      <w:sz w:val="18"/>
      <w:szCs w:val="18"/>
    </w:rPr>
  </w:style>
  <w:style w:type="character" w:styleId="Komentaronuoroda">
    <w:name w:val="annotation reference"/>
    <w:basedOn w:val="Numatytasispastraiposriftas"/>
    <w:rPr>
      <w:sz w:val="16"/>
      <w:szCs w:val="16"/>
    </w:rPr>
  </w:style>
  <w:style w:type="character" w:customStyle="1" w:styleId="KomentarotekstasDiagrama">
    <w:name w:val="Komentaro tekstas Diagrama"/>
    <w:basedOn w:val="Numatytasispastraiposriftas"/>
    <w:rPr>
      <w:sz w:val="20"/>
    </w:rPr>
  </w:style>
  <w:style w:type="character" w:customStyle="1" w:styleId="KomentarotemaDiagrama">
    <w:name w:val="Komentaro tema Diagrama"/>
    <w:basedOn w:val="KomentarotekstasDiagrama"/>
    <w:rPr>
      <w:b/>
      <w:bCs/>
      <w:sz w:val="20"/>
    </w:rPr>
  </w:style>
  <w:style w:type="numbering" w:customStyle="1" w:styleId="Sraonra10">
    <w:name w:val="Sąrašo nėra1"/>
    <w:basedOn w:val="Sraonra"/>
    <w:pPr>
      <w:numPr>
        <w:numId w:val="1"/>
      </w:numPr>
    </w:pPr>
  </w:style>
  <w:style w:type="numbering" w:customStyle="1" w:styleId="Sraonra1">
    <w:name w:val="Sąrašo nėra1"/>
    <w:basedOn w:val="Sraonra"/>
    <w:pPr>
      <w:numPr>
        <w:numId w:val="2"/>
      </w:numPr>
    </w:pPr>
  </w:style>
  <w:style w:type="numbering" w:customStyle="1" w:styleId="WWNum1">
    <w:name w:val="WWNum1"/>
    <w:basedOn w:val="Sraonra"/>
    <w:pPr>
      <w:numPr>
        <w:numId w:val="3"/>
      </w:numPr>
    </w:pPr>
  </w:style>
  <w:style w:type="numbering" w:customStyle="1" w:styleId="WWNum2">
    <w:name w:val="WWNum2"/>
    <w:basedOn w:val="Sraonr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5444</Words>
  <Characters>3104</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8531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2020-08-18T11:13:00Z</dcterms:created>
  <dc:creator>Germanas Politika</dc:creator>
  <cp:lastModifiedBy>Jurgita Laskevičiūtė</cp:lastModifiedBy>
  <cp:lastPrinted>2020-04-02T11:34:00Z</cp:lastPrinted>
  <dcterms:modified xsi:type="dcterms:W3CDTF">2020-09-09T06:36:00Z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