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CDF7E" w14:textId="58C507F9" w:rsidR="009C3097" w:rsidRPr="009C3097" w:rsidRDefault="009C3097" w:rsidP="009C3097">
      <w:pPr>
        <w:jc w:val="center"/>
        <w:rPr>
          <w:b/>
          <w:color w:val="000000" w:themeColor="text1"/>
          <w:sz w:val="22"/>
          <w:szCs w:val="22"/>
          <w:lang w:val="lt-LT"/>
        </w:rPr>
      </w:pPr>
      <w:r w:rsidRPr="009C3097">
        <w:rPr>
          <w:b/>
          <w:color w:val="000000" w:themeColor="text1"/>
          <w:sz w:val="22"/>
          <w:szCs w:val="22"/>
          <w:lang w:val="lt-LT"/>
        </w:rPr>
        <w:t>LIETUVOS RESPUBLIKOS VYRIAUSYBĖ</w:t>
      </w:r>
      <w:r w:rsidRPr="004C7B56">
        <w:rPr>
          <w:b/>
          <w:color w:val="000000" w:themeColor="text1"/>
          <w:sz w:val="22"/>
          <w:szCs w:val="22"/>
          <w:lang w:val="lt-LT"/>
        </w:rPr>
        <w:t xml:space="preserve"> </w:t>
      </w:r>
      <w:r w:rsidRPr="009C3097">
        <w:rPr>
          <w:b/>
          <w:color w:val="000000" w:themeColor="text1"/>
          <w:sz w:val="22"/>
          <w:szCs w:val="22"/>
          <w:lang w:val="lt-LT"/>
        </w:rPr>
        <w:t>NUTARIM</w:t>
      </w:r>
      <w:r w:rsidRPr="004C7B56">
        <w:rPr>
          <w:b/>
          <w:color w:val="000000" w:themeColor="text1"/>
          <w:sz w:val="22"/>
          <w:szCs w:val="22"/>
          <w:lang w:val="lt-LT"/>
        </w:rPr>
        <w:t>O</w:t>
      </w:r>
    </w:p>
    <w:p w14:paraId="4F36D889" w14:textId="1931B506" w:rsidR="009C3097" w:rsidRPr="009C3097" w:rsidRDefault="009C3097" w:rsidP="009C3097">
      <w:pPr>
        <w:jc w:val="center"/>
        <w:rPr>
          <w:b/>
          <w:color w:val="000000" w:themeColor="text1"/>
          <w:sz w:val="22"/>
          <w:szCs w:val="22"/>
          <w:lang w:val="lt-LT"/>
        </w:rPr>
      </w:pPr>
      <w:r w:rsidRPr="009C3097">
        <w:rPr>
          <w:b/>
          <w:color w:val="000000" w:themeColor="text1"/>
          <w:sz w:val="22"/>
          <w:szCs w:val="22"/>
          <w:lang w:val="lt-LT"/>
        </w:rPr>
        <w:t>DĖL LIETUVOS RESPUBLIKOS VYRIAUSYBĖS 2006 M. GRUODŽIO 6 D. NUTARIMO NR. 1212 „DĖL LIETUVOS RESPUBLIKOS JŪRININKŲ REGISTRO“ PAKEITIMO</w:t>
      </w:r>
      <w:r w:rsidRPr="004C7B56">
        <w:rPr>
          <w:b/>
          <w:color w:val="000000" w:themeColor="text1"/>
          <w:sz w:val="22"/>
          <w:szCs w:val="22"/>
          <w:lang w:val="lt-LT"/>
        </w:rPr>
        <w:t xml:space="preserve"> PROJEKTO</w:t>
      </w:r>
    </w:p>
    <w:p w14:paraId="2F507FB2" w14:textId="77777777" w:rsidR="00356A2F" w:rsidRPr="004C7B56" w:rsidRDefault="0098256B" w:rsidP="000C1F99">
      <w:pPr>
        <w:ind w:right="-55"/>
        <w:jc w:val="center"/>
        <w:rPr>
          <w:b/>
          <w:color w:val="000000" w:themeColor="text1"/>
          <w:sz w:val="22"/>
          <w:szCs w:val="22"/>
          <w:lang w:val="lt-LT"/>
        </w:rPr>
      </w:pPr>
      <w:r w:rsidRPr="004C7B56">
        <w:rPr>
          <w:b/>
          <w:color w:val="000000" w:themeColor="text1"/>
          <w:sz w:val="22"/>
          <w:szCs w:val="22"/>
          <w:lang w:val="lt-LT"/>
        </w:rPr>
        <w:t xml:space="preserve">DERINIMO </w:t>
      </w:r>
      <w:r w:rsidR="00356A2F" w:rsidRPr="004C7B56">
        <w:rPr>
          <w:b/>
          <w:color w:val="000000" w:themeColor="text1"/>
          <w:sz w:val="22"/>
          <w:szCs w:val="22"/>
          <w:lang w:val="lt-LT"/>
        </w:rPr>
        <w:t>PAŽYMA</w:t>
      </w:r>
    </w:p>
    <w:p w14:paraId="3E3FABC0" w14:textId="77777777" w:rsidR="00356A2F" w:rsidRPr="004C7B56" w:rsidRDefault="00356A2F" w:rsidP="00EB392F">
      <w:pPr>
        <w:jc w:val="both"/>
        <w:rPr>
          <w:color w:val="000000" w:themeColor="text1"/>
          <w:sz w:val="22"/>
          <w:szCs w:val="22"/>
          <w:lang w:val="lt-LT"/>
        </w:rPr>
      </w:pPr>
    </w:p>
    <w:p w14:paraId="2BACC7A8" w14:textId="7BFFAADA" w:rsidR="00867186" w:rsidRPr="004C7B56" w:rsidRDefault="00A41E69" w:rsidP="00EB392F">
      <w:pPr>
        <w:jc w:val="both"/>
        <w:rPr>
          <w:color w:val="000000" w:themeColor="text1"/>
          <w:sz w:val="22"/>
          <w:szCs w:val="22"/>
          <w:lang w:val="lt-LT"/>
        </w:rPr>
      </w:pPr>
      <w:r w:rsidRPr="004C7B56">
        <w:rPr>
          <w:color w:val="000000" w:themeColor="text1"/>
          <w:sz w:val="22"/>
          <w:szCs w:val="22"/>
          <w:lang w:val="lt-LT"/>
        </w:rPr>
        <w:t xml:space="preserve">Neatsižvelgta </w:t>
      </w:r>
      <w:r w:rsidR="000C1F99" w:rsidRPr="004C7B56">
        <w:rPr>
          <w:color w:val="000000" w:themeColor="text1"/>
          <w:sz w:val="22"/>
          <w:szCs w:val="22"/>
          <w:lang w:val="lt-LT"/>
        </w:rPr>
        <w:t>į ši</w:t>
      </w:r>
      <w:r w:rsidR="009C3097" w:rsidRPr="004C7B56">
        <w:rPr>
          <w:color w:val="000000" w:themeColor="text1"/>
          <w:sz w:val="22"/>
          <w:szCs w:val="22"/>
          <w:lang w:val="lt-LT"/>
        </w:rPr>
        <w:t>as</w:t>
      </w:r>
      <w:r w:rsidR="00A62D62" w:rsidRPr="004C7B56">
        <w:rPr>
          <w:color w:val="000000" w:themeColor="text1"/>
          <w:sz w:val="22"/>
          <w:szCs w:val="22"/>
          <w:lang w:val="lt-LT"/>
        </w:rPr>
        <w:t xml:space="preserve"> pasta</w:t>
      </w:r>
      <w:r w:rsidR="000D4AA9" w:rsidRPr="004C7B56">
        <w:rPr>
          <w:color w:val="000000" w:themeColor="text1"/>
          <w:sz w:val="22"/>
          <w:szCs w:val="22"/>
          <w:lang w:val="lt-LT"/>
        </w:rPr>
        <w:t>bas</w:t>
      </w:r>
      <w:r w:rsidR="00A62D62" w:rsidRPr="004C7B56">
        <w:rPr>
          <w:color w:val="000000" w:themeColor="text1"/>
          <w:sz w:val="22"/>
          <w:szCs w:val="22"/>
          <w:lang w:val="lt-LT"/>
        </w:rPr>
        <w:t>:</w:t>
      </w:r>
    </w:p>
    <w:p w14:paraId="1E7448E2" w14:textId="77777777" w:rsidR="00DF5DB1" w:rsidRPr="004C7B56" w:rsidRDefault="00DF5DB1" w:rsidP="00EB392F">
      <w:pPr>
        <w:ind w:firstLine="720"/>
        <w:jc w:val="both"/>
        <w:rPr>
          <w:color w:val="000000" w:themeColor="text1"/>
          <w:sz w:val="22"/>
          <w:szCs w:val="22"/>
          <w:lang w:val="lt-LT"/>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274"/>
        <w:gridCol w:w="6775"/>
      </w:tblGrid>
      <w:tr w:rsidR="004C7B56" w:rsidRPr="004C7B56" w14:paraId="4239CA59" w14:textId="77777777" w:rsidTr="00B15C82">
        <w:tc>
          <w:tcPr>
            <w:tcW w:w="3686" w:type="dxa"/>
            <w:shd w:val="clear" w:color="auto" w:fill="auto"/>
          </w:tcPr>
          <w:p w14:paraId="6E1CB933" w14:textId="77777777" w:rsidR="0098256B" w:rsidRPr="004C7B56" w:rsidRDefault="0098256B" w:rsidP="00EB392F">
            <w:pPr>
              <w:jc w:val="center"/>
              <w:rPr>
                <w:color w:val="000000" w:themeColor="text1"/>
                <w:sz w:val="22"/>
                <w:szCs w:val="22"/>
                <w:lang w:val="lt-LT"/>
              </w:rPr>
            </w:pPr>
            <w:r w:rsidRPr="004C7B56">
              <w:rPr>
                <w:color w:val="000000" w:themeColor="text1"/>
                <w:sz w:val="22"/>
                <w:szCs w:val="22"/>
                <w:lang w:val="lt-LT"/>
              </w:rPr>
              <w:t>Institucijos pavadinimas, pastabų pateikimo data</w:t>
            </w:r>
          </w:p>
        </w:tc>
        <w:tc>
          <w:tcPr>
            <w:tcW w:w="5274" w:type="dxa"/>
            <w:shd w:val="clear" w:color="auto" w:fill="auto"/>
          </w:tcPr>
          <w:p w14:paraId="5EF9D515" w14:textId="77777777" w:rsidR="0098256B" w:rsidRPr="004C7B56" w:rsidRDefault="0098256B" w:rsidP="00EB392F">
            <w:pPr>
              <w:jc w:val="center"/>
              <w:rPr>
                <w:color w:val="000000" w:themeColor="text1"/>
                <w:sz w:val="22"/>
                <w:szCs w:val="22"/>
                <w:lang w:val="lt-LT"/>
              </w:rPr>
            </w:pPr>
            <w:r w:rsidRPr="004C7B56">
              <w:rPr>
                <w:color w:val="000000" w:themeColor="text1"/>
                <w:sz w:val="22"/>
                <w:szCs w:val="22"/>
                <w:lang w:val="lt-LT"/>
              </w:rPr>
              <w:t>Pastabos ir pasiūlymai</w:t>
            </w:r>
          </w:p>
        </w:tc>
        <w:tc>
          <w:tcPr>
            <w:tcW w:w="6775" w:type="dxa"/>
            <w:shd w:val="clear" w:color="auto" w:fill="auto"/>
          </w:tcPr>
          <w:p w14:paraId="317074B3" w14:textId="19E44D88" w:rsidR="0098256B" w:rsidRPr="004C7B56" w:rsidRDefault="00A1173A" w:rsidP="00EB392F">
            <w:pPr>
              <w:jc w:val="center"/>
              <w:rPr>
                <w:color w:val="000000" w:themeColor="text1"/>
                <w:sz w:val="22"/>
                <w:szCs w:val="22"/>
                <w:lang w:val="lt-LT"/>
              </w:rPr>
            </w:pPr>
            <w:r>
              <w:rPr>
                <w:color w:val="000000" w:themeColor="text1"/>
                <w:sz w:val="22"/>
                <w:szCs w:val="22"/>
                <w:lang w:val="lt-LT"/>
              </w:rPr>
              <w:t>Argumentai</w:t>
            </w:r>
          </w:p>
        </w:tc>
      </w:tr>
      <w:tr w:rsidR="004C7B56" w:rsidRPr="004C7B56" w14:paraId="3FFE11E2" w14:textId="77777777" w:rsidTr="00B15C82">
        <w:tc>
          <w:tcPr>
            <w:tcW w:w="3686" w:type="dxa"/>
            <w:shd w:val="clear" w:color="auto" w:fill="auto"/>
          </w:tcPr>
          <w:p w14:paraId="4F98B2E8" w14:textId="22311BB5" w:rsidR="00A62D62" w:rsidRPr="004C7B56" w:rsidRDefault="008977BC" w:rsidP="00A62D62">
            <w:pPr>
              <w:spacing w:line="276" w:lineRule="auto"/>
              <w:jc w:val="both"/>
              <w:rPr>
                <w:color w:val="000000" w:themeColor="text1"/>
                <w:sz w:val="22"/>
                <w:szCs w:val="22"/>
                <w:lang w:val="lt-LT"/>
              </w:rPr>
            </w:pPr>
            <w:r w:rsidRPr="004C7B56">
              <w:rPr>
                <w:color w:val="000000" w:themeColor="text1"/>
                <w:sz w:val="22"/>
                <w:szCs w:val="22"/>
                <w:lang w:val="lt-LT"/>
              </w:rPr>
              <w:t>Valstybinės duomenų apsaugos inspekcijos</w:t>
            </w:r>
            <w:r w:rsidR="00A62D62" w:rsidRPr="004C7B56">
              <w:rPr>
                <w:color w:val="000000" w:themeColor="text1"/>
                <w:sz w:val="22"/>
                <w:szCs w:val="22"/>
                <w:lang w:val="lt-LT"/>
              </w:rPr>
              <w:t xml:space="preserve"> </w:t>
            </w:r>
            <w:r w:rsidR="001122D4" w:rsidRPr="004C7B56">
              <w:rPr>
                <w:color w:val="000000" w:themeColor="text1"/>
                <w:sz w:val="22"/>
                <w:szCs w:val="22"/>
                <w:lang w:val="lt-LT"/>
              </w:rPr>
              <w:t>2018-10-24</w:t>
            </w:r>
            <w:r w:rsidR="00A62D62" w:rsidRPr="004C7B56">
              <w:rPr>
                <w:color w:val="000000" w:themeColor="text1"/>
                <w:sz w:val="22"/>
                <w:szCs w:val="22"/>
                <w:lang w:val="lt-LT"/>
              </w:rPr>
              <w:t xml:space="preserve"> raštas Nr. </w:t>
            </w:r>
            <w:r w:rsidR="001122D4" w:rsidRPr="004C7B56">
              <w:rPr>
                <w:color w:val="000000" w:themeColor="text1"/>
                <w:sz w:val="22"/>
                <w:szCs w:val="22"/>
              </w:rPr>
              <w:t>2R-5728 (3.33.E</w:t>
            </w:r>
            <w:r w:rsidR="000561F0" w:rsidRPr="004C7B56">
              <w:rPr>
                <w:color w:val="000000" w:themeColor="text1"/>
                <w:sz w:val="22"/>
                <w:szCs w:val="22"/>
              </w:rPr>
              <w:t>)</w:t>
            </w:r>
          </w:p>
          <w:p w14:paraId="4AF9705B" w14:textId="77777777" w:rsidR="008B3BD8" w:rsidRPr="004C7B56" w:rsidRDefault="008B3BD8" w:rsidP="00AE54F0">
            <w:pPr>
              <w:spacing w:line="276" w:lineRule="auto"/>
              <w:jc w:val="both"/>
              <w:rPr>
                <w:color w:val="000000" w:themeColor="text1"/>
                <w:sz w:val="22"/>
                <w:szCs w:val="22"/>
                <w:lang w:val="lt-LT"/>
              </w:rPr>
            </w:pPr>
          </w:p>
        </w:tc>
        <w:tc>
          <w:tcPr>
            <w:tcW w:w="5274" w:type="dxa"/>
            <w:shd w:val="clear" w:color="auto" w:fill="auto"/>
          </w:tcPr>
          <w:p w14:paraId="130BB0E3" w14:textId="77777777" w:rsidR="00A16F31" w:rsidRPr="00A16F31" w:rsidRDefault="00A16F31" w:rsidP="00A16F31">
            <w:pPr>
              <w:jc w:val="both"/>
              <w:rPr>
                <w:color w:val="000000" w:themeColor="text1"/>
                <w:sz w:val="22"/>
                <w:szCs w:val="22"/>
                <w:lang w:val="en-US" w:eastAsia="en-US"/>
              </w:rPr>
            </w:pPr>
            <w:r w:rsidRPr="00A16F31">
              <w:rPr>
                <w:color w:val="000000" w:themeColor="text1"/>
                <w:sz w:val="22"/>
                <w:szCs w:val="22"/>
                <w:lang w:val="lt-LT" w:eastAsia="en-US"/>
              </w:rPr>
              <w:t>Pažymėtina, kad kai valstybės registruose yra tvarkomas asmens kodas, kurio tvarkymas reglamentuojamas Lietuvos Respublikos asmens duomenų teisinės apsaugos įstatymu (toliau – ADTAĮ), nurodant, kuo vadovaujamasi tvarkant registrą, turėtų būti pateikiamos nuorodos ir į ADTAĮ, ir į 2016 m. balandžio 27 d. Europos Parlamento ir Tarybos reglamentą (ES) 2016/679 dėl fizinių asmenų apsaugos tvarkant asmens duomenis ir dėl laisvo tokių duomenų judėjimo ir kuriuo panaikinama Direktyva 95/46/EB (Bendrasis duomenų apsaugos reglamentas) (OL 2016 L 119, p. 1) (toliau – </w:t>
            </w:r>
            <w:r w:rsidRPr="00A16F31">
              <w:rPr>
                <w:color w:val="000000" w:themeColor="text1"/>
                <w:sz w:val="22"/>
                <w:szCs w:val="22"/>
                <w:shd w:val="clear" w:color="auto" w:fill="FFFFFF"/>
                <w:lang w:val="lt-LT" w:eastAsia="en-US"/>
              </w:rPr>
              <w:t>Reglamentas </w:t>
            </w:r>
            <w:r w:rsidRPr="00A16F31">
              <w:rPr>
                <w:color w:val="000000" w:themeColor="text1"/>
                <w:sz w:val="22"/>
                <w:szCs w:val="22"/>
                <w:lang w:val="lt-LT" w:eastAsia="en-US"/>
              </w:rPr>
              <w:t>(ES) 2016/679</w:t>
            </w:r>
            <w:r w:rsidRPr="00A16F31">
              <w:rPr>
                <w:color w:val="000000" w:themeColor="text1"/>
                <w:sz w:val="22"/>
                <w:szCs w:val="22"/>
                <w:shd w:val="clear" w:color="auto" w:fill="FFFFFF"/>
                <w:lang w:val="lt-LT" w:eastAsia="en-US"/>
              </w:rPr>
              <w:t>).</w:t>
            </w:r>
            <w:r w:rsidRPr="00A16F31">
              <w:rPr>
                <w:color w:val="000000" w:themeColor="text1"/>
                <w:sz w:val="22"/>
                <w:szCs w:val="22"/>
                <w:lang w:val="lt-LT" w:eastAsia="en-US"/>
              </w:rPr>
              <w:t> Atsižvelgiant į tai, kas išdėstyta, siūlytina tikslinti Nuostatų 9 punktą ir jį išdėstyti taip:</w:t>
            </w:r>
          </w:p>
          <w:p w14:paraId="428DC324" w14:textId="50863061" w:rsidR="00A16F31" w:rsidRPr="00A16F31" w:rsidRDefault="00A16F31" w:rsidP="00A16F31">
            <w:pPr>
              <w:jc w:val="both"/>
              <w:rPr>
                <w:color w:val="000000" w:themeColor="text1"/>
                <w:sz w:val="22"/>
                <w:szCs w:val="22"/>
                <w:lang w:val="lt-LT" w:eastAsia="en-US"/>
              </w:rPr>
            </w:pPr>
            <w:r w:rsidRPr="00A16F31">
              <w:rPr>
                <w:color w:val="000000" w:themeColor="text1"/>
                <w:sz w:val="22"/>
                <w:szCs w:val="22"/>
                <w:lang w:val="lt-LT" w:eastAsia="en-US"/>
              </w:rPr>
              <w:t>,,9. Registro tvarkytojas atlieka </w:t>
            </w:r>
            <w:r w:rsidRPr="00A16F31">
              <w:rPr>
                <w:color w:val="000000" w:themeColor="text1"/>
                <w:sz w:val="22"/>
                <w:szCs w:val="22"/>
                <w:shd w:val="clear" w:color="auto" w:fill="FFFFFF"/>
                <w:lang w:val="lt-LT" w:eastAsia="en-US"/>
              </w:rPr>
              <w:t>Reglamento </w:t>
            </w:r>
            <w:r w:rsidRPr="00A16F31">
              <w:rPr>
                <w:color w:val="000000" w:themeColor="text1"/>
                <w:sz w:val="22"/>
                <w:szCs w:val="22"/>
                <w:lang w:val="lt-LT" w:eastAsia="en-US"/>
              </w:rPr>
              <w:t>(ES) 2016/679, Valstybės informacinių išteklių valdymo įstatymo nustatytas funkcijas, turi šiame įstatyme, Reglamente (ES) 2016/679 ir ADTAĮ nustatytas teises ir pareigas.“.</w:t>
            </w:r>
          </w:p>
          <w:p w14:paraId="53840B47" w14:textId="77777777" w:rsidR="00A16F31" w:rsidRPr="00A16F31" w:rsidRDefault="00A16F31" w:rsidP="00A16F31">
            <w:pPr>
              <w:jc w:val="both"/>
              <w:rPr>
                <w:color w:val="000000" w:themeColor="text1"/>
                <w:sz w:val="22"/>
                <w:szCs w:val="22"/>
                <w:lang w:val="lt-LT" w:eastAsia="en-US"/>
              </w:rPr>
            </w:pPr>
            <w:r w:rsidRPr="00A16F31">
              <w:rPr>
                <w:rFonts w:eastAsia="Calibri"/>
                <w:color w:val="000000" w:themeColor="text1"/>
                <w:sz w:val="22"/>
                <w:szCs w:val="22"/>
                <w:lang w:val="lt-LT" w:eastAsia="en-US"/>
              </w:rPr>
              <w:t>  Atitinkamai siūlytina koreguoti ir Nuostatų 10 punktą, 10.1 ir 10.2 papunkčius.</w:t>
            </w:r>
          </w:p>
          <w:p w14:paraId="5E583AD5" w14:textId="057F32F7" w:rsidR="008B3BD8" w:rsidRPr="004C7B56" w:rsidRDefault="008B3BD8" w:rsidP="00D357FC">
            <w:pPr>
              <w:rPr>
                <w:color w:val="000000" w:themeColor="text1"/>
                <w:sz w:val="22"/>
                <w:szCs w:val="22"/>
                <w:lang w:val="lt-LT"/>
              </w:rPr>
            </w:pPr>
          </w:p>
        </w:tc>
        <w:tc>
          <w:tcPr>
            <w:tcW w:w="6775" w:type="dxa"/>
            <w:shd w:val="clear" w:color="auto" w:fill="auto"/>
          </w:tcPr>
          <w:p w14:paraId="79D5ED2B" w14:textId="77777777" w:rsidR="008B3BD8" w:rsidRPr="004C7B56" w:rsidRDefault="008B3BD8" w:rsidP="008B3BD8">
            <w:pPr>
              <w:pStyle w:val="prastasiniatinklio"/>
              <w:spacing w:before="0" w:beforeAutospacing="0" w:after="0" w:afterAutospacing="0" w:line="276" w:lineRule="auto"/>
              <w:jc w:val="both"/>
              <w:rPr>
                <w:b/>
                <w:color w:val="000000" w:themeColor="text1"/>
                <w:sz w:val="22"/>
                <w:szCs w:val="22"/>
              </w:rPr>
            </w:pPr>
            <w:r w:rsidRPr="004C7B56">
              <w:rPr>
                <w:b/>
                <w:color w:val="000000" w:themeColor="text1"/>
                <w:sz w:val="22"/>
                <w:szCs w:val="22"/>
              </w:rPr>
              <w:t>Neatsižvelgta.</w:t>
            </w:r>
          </w:p>
          <w:p w14:paraId="4EFF0DF9" w14:textId="77777777" w:rsidR="005A230C" w:rsidRPr="004C7B56" w:rsidRDefault="005A230C" w:rsidP="005A230C">
            <w:pPr>
              <w:jc w:val="both"/>
              <w:rPr>
                <w:color w:val="000000" w:themeColor="text1"/>
                <w:sz w:val="22"/>
                <w:szCs w:val="22"/>
                <w:lang w:val="lt-LT"/>
              </w:rPr>
            </w:pPr>
          </w:p>
          <w:p w14:paraId="5C977B48" w14:textId="5284E2D6" w:rsidR="00A16F31" w:rsidRPr="004C7B56" w:rsidRDefault="00A16F31" w:rsidP="005A230C">
            <w:pPr>
              <w:jc w:val="both"/>
              <w:rPr>
                <w:color w:val="000000" w:themeColor="text1"/>
                <w:sz w:val="22"/>
                <w:szCs w:val="22"/>
                <w:shd w:val="clear" w:color="auto" w:fill="FFFFFF"/>
                <w:lang w:val="lt-LT"/>
              </w:rPr>
            </w:pPr>
            <w:r w:rsidRPr="004C7B56">
              <w:rPr>
                <w:color w:val="000000" w:themeColor="text1"/>
                <w:sz w:val="22"/>
                <w:szCs w:val="22"/>
                <w:lang w:val="lt-LT"/>
              </w:rPr>
              <w:t>Lietuvos Respublikos asmens duomenų teisinės apsaugos įstatymo (toliau – ADTAĮ) 1 straipsnio 2 dalis numato, kad šis įstatymas nustato asmens duomenų tvarkymo ypatumus, Valstybinės duomenų apsaugos inspekcijos teisinį statusą ir įgaliojimus, žurnalistų etikos inspektoriaus įgaliojimus, Valstybinės duomenų apsaugos inspekcijos ir žurnalistų etikos inspektoriaus atliekamo asmens duomenų ir (ar) privatumo apsaugą reglamentuojančių teisės aktų pažeidimų nagrinėjimo ir administracinių baudų skyrimo tvarką. Atsižvelgiant į šią dalį, darytina išvada, kad ADTAĮ nenustato konkrečių duomenų valdytojo ar duomenų tvarkytojo teisių ir pareigų, o tuo labiau duomenų valdytojo pareigų, susijusių su duomenų subjekto teisių įgyvendinimu ir kurios yra detalizuojamos tik 2016 m. balandžio 27 d. Europos Parlamento ir Tarybos reglamento (ES) 2016/679 dėl fizinių asmenų apsaugos tvarkant asmens duomenis ir dėl laisvo tokių duomenų judėjimo ir kuriuo panaikinama Direktyva 95/46/EB (Bendrasis duomenų apsaugos reglamentas) (toliau – </w:t>
            </w:r>
            <w:r w:rsidRPr="004C7B56">
              <w:rPr>
                <w:color w:val="000000" w:themeColor="text1"/>
                <w:sz w:val="22"/>
                <w:szCs w:val="22"/>
                <w:shd w:val="clear" w:color="auto" w:fill="FFFFFF"/>
                <w:lang w:val="lt-LT"/>
              </w:rPr>
              <w:t>Reglamentas </w:t>
            </w:r>
            <w:r w:rsidRPr="004C7B56">
              <w:rPr>
                <w:color w:val="000000" w:themeColor="text1"/>
                <w:sz w:val="22"/>
                <w:szCs w:val="22"/>
                <w:lang w:val="lt-LT"/>
              </w:rPr>
              <w:t>(ES) 2016/679</w:t>
            </w:r>
            <w:r w:rsidRPr="004C7B56">
              <w:rPr>
                <w:color w:val="000000" w:themeColor="text1"/>
                <w:sz w:val="22"/>
                <w:szCs w:val="22"/>
                <w:shd w:val="clear" w:color="auto" w:fill="FFFFFF"/>
                <w:lang w:val="lt-LT"/>
              </w:rPr>
              <w:t>) III skyriuje.</w:t>
            </w:r>
            <w:r w:rsidRPr="004C7B56">
              <w:rPr>
                <w:color w:val="000000" w:themeColor="text1"/>
                <w:sz w:val="22"/>
                <w:szCs w:val="22"/>
                <w:lang w:val="lt-LT"/>
              </w:rPr>
              <w:t xml:space="preserve"> </w:t>
            </w:r>
          </w:p>
          <w:p w14:paraId="3A616AAC" w14:textId="77777777" w:rsidR="00A16F31" w:rsidRPr="004C7B56" w:rsidRDefault="00A16F31" w:rsidP="005A230C">
            <w:pPr>
              <w:tabs>
                <w:tab w:val="left" w:pos="0"/>
              </w:tabs>
              <w:jc w:val="both"/>
              <w:rPr>
                <w:color w:val="000000" w:themeColor="text1"/>
                <w:sz w:val="22"/>
                <w:szCs w:val="22"/>
                <w:lang w:val="lt-LT"/>
              </w:rPr>
            </w:pPr>
            <w:r w:rsidRPr="004C7B56">
              <w:rPr>
                <w:color w:val="000000" w:themeColor="text1"/>
                <w:sz w:val="22"/>
                <w:szCs w:val="22"/>
                <w:lang w:val="lt-LT"/>
              </w:rPr>
              <w:t>Nutarimo projektu keičiamų Lietuvos Respublikos jūrininkų registro nuostatų (toliau – Nuostatų projektas) 4 p. nurodyta, kad „Registras tvarkomas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(toliau – Reglamentas (ES) 2016/679), &lt;...&gt;</w:t>
            </w:r>
            <w:r w:rsidRPr="004C7B56">
              <w:rPr>
                <w:bCs/>
                <w:color w:val="000000" w:themeColor="text1"/>
                <w:sz w:val="22"/>
                <w:szCs w:val="22"/>
                <w:lang w:val="lt-LT"/>
              </w:rPr>
              <w:t xml:space="preserve">, </w:t>
            </w:r>
            <w:r w:rsidRPr="004C7B56">
              <w:rPr>
                <w:color w:val="000000" w:themeColor="text1"/>
                <w:sz w:val="22"/>
                <w:szCs w:val="22"/>
                <w:lang w:val="lt-LT"/>
              </w:rPr>
              <w:t xml:space="preserve">Lietuvos Respublikos asmens duomenų teisinės apsaugos įstatymu, &lt;...&gt;“; 50 p. „Fizinių asmenų asmens duomenys susijusiems registrams ir valstybės informacinėms sistemoms perduodami ir Registro duomenų </w:t>
            </w:r>
            <w:r w:rsidRPr="004C7B56">
              <w:rPr>
                <w:color w:val="000000" w:themeColor="text1"/>
                <w:sz w:val="22"/>
                <w:szCs w:val="22"/>
                <w:lang w:val="lt-LT"/>
              </w:rPr>
              <w:lastRenderedPageBreak/>
              <w:t>gavėjams teikiami vadovaujantis Reglamentu (ES) 2016/679 ir Asmens duomenų teisinės apsaugos įstatymu.“. Kadangi VDAI siūlymas įtraukti nuorodą į ADTAĮ siejamas su asmens kodo tvarkymu, o Nuostatų projekto 4, 50 p. yra pateikiamos nuorodos į ADTAĮ, taip pat atsižvelgiant į tai, kad ADTAĮ nenustato konkrečių duomenų valdytojo ar duomenų tvarkytojo teisių ir pareigų, o tuo labiau duomenų valdytojo pareigų, susijusių su duomenų subjekto teisių įgyvendinimu, į pastabą neatsižvelgta.</w:t>
            </w:r>
          </w:p>
          <w:p w14:paraId="1EF88B20" w14:textId="4EFD0AE3" w:rsidR="008B3BD8" w:rsidRPr="004C7B56" w:rsidRDefault="008B3BD8" w:rsidP="00A62D62">
            <w:pPr>
              <w:pStyle w:val="prastasiniatinklio"/>
              <w:spacing w:before="0" w:beforeAutospacing="0" w:after="0" w:afterAutospacing="0" w:line="276" w:lineRule="auto"/>
              <w:jc w:val="both"/>
              <w:rPr>
                <w:b/>
                <w:color w:val="000000" w:themeColor="text1"/>
                <w:sz w:val="22"/>
                <w:szCs w:val="22"/>
              </w:rPr>
            </w:pPr>
          </w:p>
        </w:tc>
      </w:tr>
      <w:tr w:rsidR="004C7B56" w:rsidRPr="004C7B56" w14:paraId="453B60D6" w14:textId="77777777" w:rsidTr="00B15C82">
        <w:tc>
          <w:tcPr>
            <w:tcW w:w="3686" w:type="dxa"/>
            <w:shd w:val="clear" w:color="auto" w:fill="auto"/>
          </w:tcPr>
          <w:p w14:paraId="5559B071" w14:textId="513E5CED" w:rsidR="002233BC" w:rsidRPr="004C7B56" w:rsidRDefault="002233BC" w:rsidP="00A62D62">
            <w:pPr>
              <w:spacing w:line="276" w:lineRule="auto"/>
              <w:jc w:val="both"/>
              <w:rPr>
                <w:color w:val="000000" w:themeColor="text1"/>
                <w:sz w:val="22"/>
                <w:szCs w:val="22"/>
                <w:lang w:val="lt-LT"/>
              </w:rPr>
            </w:pPr>
          </w:p>
        </w:tc>
        <w:tc>
          <w:tcPr>
            <w:tcW w:w="5274" w:type="dxa"/>
            <w:shd w:val="clear" w:color="auto" w:fill="auto"/>
          </w:tcPr>
          <w:p w14:paraId="6CD2CF97" w14:textId="05DBB85D" w:rsidR="002233BC" w:rsidRPr="004C7B56" w:rsidRDefault="00A16F31" w:rsidP="00D357FC">
            <w:pPr>
              <w:rPr>
                <w:color w:val="000000" w:themeColor="text1"/>
                <w:sz w:val="22"/>
                <w:szCs w:val="22"/>
                <w:lang w:val="lt-LT"/>
              </w:rPr>
            </w:pPr>
            <w:r w:rsidRPr="004C7B56">
              <w:rPr>
                <w:color w:val="000000" w:themeColor="text1"/>
                <w:sz w:val="22"/>
                <w:szCs w:val="22"/>
                <w:lang w:val="lt-LT"/>
              </w:rPr>
              <w:t>Siūlytina įvertinti, ar Nuostatų 22.6 papunktis nėra perteklinis, kadangi jis dubliuojasi su Nuostatų 46 punktu.</w:t>
            </w:r>
          </w:p>
        </w:tc>
        <w:tc>
          <w:tcPr>
            <w:tcW w:w="6775" w:type="dxa"/>
            <w:shd w:val="clear" w:color="auto" w:fill="auto"/>
          </w:tcPr>
          <w:p w14:paraId="133C5D4C" w14:textId="77777777" w:rsidR="00DA00CA" w:rsidRPr="004C7B56" w:rsidRDefault="00DA00CA" w:rsidP="00DA00CA">
            <w:pPr>
              <w:jc w:val="both"/>
              <w:rPr>
                <w:b/>
                <w:color w:val="000000" w:themeColor="text1"/>
                <w:sz w:val="22"/>
                <w:szCs w:val="22"/>
                <w:lang w:val="lt-LT"/>
              </w:rPr>
            </w:pPr>
            <w:r w:rsidRPr="004C7B56">
              <w:rPr>
                <w:b/>
                <w:color w:val="000000" w:themeColor="text1"/>
                <w:sz w:val="22"/>
                <w:szCs w:val="22"/>
                <w:lang w:val="lt-LT"/>
              </w:rPr>
              <w:t xml:space="preserve">Neatsižvelgta. </w:t>
            </w:r>
          </w:p>
          <w:p w14:paraId="4785645C" w14:textId="77777777" w:rsidR="005A230C" w:rsidRPr="004C7B56" w:rsidRDefault="005A230C" w:rsidP="005A230C">
            <w:pPr>
              <w:jc w:val="both"/>
              <w:rPr>
                <w:color w:val="000000" w:themeColor="text1"/>
                <w:sz w:val="22"/>
                <w:szCs w:val="22"/>
                <w:lang w:val="lt-LT"/>
              </w:rPr>
            </w:pPr>
          </w:p>
          <w:p w14:paraId="0A560308" w14:textId="0F19837C" w:rsidR="00A16F31" w:rsidRPr="004C7B56" w:rsidRDefault="00A16F31" w:rsidP="005A230C">
            <w:pPr>
              <w:jc w:val="both"/>
              <w:rPr>
                <w:color w:val="000000" w:themeColor="text1"/>
                <w:sz w:val="22"/>
                <w:szCs w:val="22"/>
                <w:lang w:val="lt-LT"/>
              </w:rPr>
            </w:pPr>
            <w:r w:rsidRPr="004C7B56">
              <w:rPr>
                <w:color w:val="000000" w:themeColor="text1"/>
                <w:sz w:val="22"/>
                <w:szCs w:val="22"/>
                <w:lang w:val="lt-LT"/>
              </w:rPr>
              <w:t xml:space="preserve">Nuostatų </w:t>
            </w:r>
            <w:r w:rsidR="00C50F88">
              <w:rPr>
                <w:color w:val="000000" w:themeColor="text1"/>
                <w:sz w:val="22"/>
                <w:szCs w:val="22"/>
                <w:lang w:val="lt-LT"/>
              </w:rPr>
              <w:t xml:space="preserve"> </w:t>
            </w:r>
            <w:r w:rsidRPr="004C7B56">
              <w:rPr>
                <w:color w:val="000000" w:themeColor="text1"/>
                <w:sz w:val="22"/>
                <w:szCs w:val="22"/>
                <w:lang w:val="lt-LT"/>
              </w:rPr>
              <w:t xml:space="preserve">projekto 19 p. numato, kad registro duomenų teikėjai yra ne tik fiziniai asmenys, bet ir juridiniai asmenys, kuriems Nuostatų projekto 46 p. nėra taikomas, nes juridiniai asmenys nėra ir negali būti duomenų subjektais pagal </w:t>
            </w:r>
            <w:r w:rsidRPr="004C7B56">
              <w:rPr>
                <w:color w:val="000000" w:themeColor="text1"/>
                <w:sz w:val="22"/>
                <w:szCs w:val="22"/>
                <w:shd w:val="clear" w:color="auto" w:fill="FFFFFF"/>
                <w:lang w:val="lt-LT"/>
              </w:rPr>
              <w:t>Reglamento </w:t>
            </w:r>
            <w:r w:rsidRPr="004C7B56">
              <w:rPr>
                <w:color w:val="000000" w:themeColor="text1"/>
                <w:sz w:val="22"/>
                <w:szCs w:val="22"/>
                <w:lang w:val="lt-LT"/>
              </w:rPr>
              <w:t>(ES) 2016/679 4 straipsnio 1 punktą. Atsižvelgiant į tai, Nuostatų projekto 21.6 p. registro duomenų teikėjams – juridiniams asmenims suteikiama teisė susipažinti su savo pateiktais duomenimis, juos ištaisyti, ištrinti ir pan</w:t>
            </w:r>
            <w:r w:rsidR="00750827" w:rsidRPr="004C7B56">
              <w:rPr>
                <w:color w:val="000000" w:themeColor="text1"/>
                <w:sz w:val="22"/>
                <w:szCs w:val="22"/>
                <w:lang w:val="lt-LT"/>
              </w:rPr>
              <w:t>.</w:t>
            </w:r>
          </w:p>
          <w:p w14:paraId="6E72CD50" w14:textId="77777777" w:rsidR="002233BC" w:rsidRPr="004C7B56" w:rsidRDefault="002233BC" w:rsidP="008B3BD8">
            <w:pPr>
              <w:pStyle w:val="prastasiniatinklio"/>
              <w:spacing w:before="0" w:beforeAutospacing="0" w:after="0" w:afterAutospacing="0" w:line="276" w:lineRule="auto"/>
              <w:jc w:val="both"/>
              <w:rPr>
                <w:b/>
                <w:color w:val="000000" w:themeColor="text1"/>
                <w:sz w:val="22"/>
                <w:szCs w:val="22"/>
              </w:rPr>
            </w:pPr>
          </w:p>
        </w:tc>
      </w:tr>
      <w:tr w:rsidR="004C7B56" w:rsidRPr="004C7B56" w14:paraId="716F910A" w14:textId="77777777" w:rsidTr="00B15C82">
        <w:tc>
          <w:tcPr>
            <w:tcW w:w="3686" w:type="dxa"/>
            <w:shd w:val="clear" w:color="auto" w:fill="auto"/>
          </w:tcPr>
          <w:p w14:paraId="0834231C" w14:textId="77777777" w:rsidR="00F905BB" w:rsidRPr="004C7B56" w:rsidRDefault="00F905BB" w:rsidP="00A62D62">
            <w:pPr>
              <w:spacing w:line="276" w:lineRule="auto"/>
              <w:jc w:val="both"/>
              <w:rPr>
                <w:color w:val="000000" w:themeColor="text1"/>
                <w:sz w:val="22"/>
                <w:szCs w:val="22"/>
                <w:lang w:val="lt-LT"/>
              </w:rPr>
            </w:pPr>
          </w:p>
        </w:tc>
        <w:tc>
          <w:tcPr>
            <w:tcW w:w="5274" w:type="dxa"/>
            <w:shd w:val="clear" w:color="auto" w:fill="auto"/>
          </w:tcPr>
          <w:p w14:paraId="263AA8D1" w14:textId="77777777" w:rsidR="008D6B9C" w:rsidRPr="004C7B56" w:rsidRDefault="008D6B9C" w:rsidP="008D6B9C">
            <w:pPr>
              <w:tabs>
                <w:tab w:val="left" w:pos="1134"/>
              </w:tabs>
              <w:jc w:val="both"/>
              <w:rPr>
                <w:color w:val="000000" w:themeColor="text1"/>
                <w:sz w:val="22"/>
                <w:szCs w:val="22"/>
              </w:rPr>
            </w:pPr>
            <w:r w:rsidRPr="004C7B56">
              <w:rPr>
                <w:color w:val="000000" w:themeColor="text1"/>
                <w:sz w:val="22"/>
                <w:szCs w:val="22"/>
                <w:lang w:val="lt-LT"/>
              </w:rPr>
              <w:t>Taip pat atkreipiame dėmesį, kad vadovaujantis Aprašo 9 punktu, Nuostatų projektas taip pat turi būti suderintas su Lietuvos Respublikos teisingumo ministerija, krašto apsaugos ministro įgaliota institucija, įgyvendinančia valstybės informacinių išteklių saugos politiką ir Lietuvos statistikos departamentu</w:t>
            </w:r>
            <w:r w:rsidRPr="004C7B56">
              <w:rPr>
                <w:color w:val="000000" w:themeColor="text1"/>
                <w:sz w:val="22"/>
                <w:szCs w:val="22"/>
              </w:rPr>
              <w:t>.</w:t>
            </w:r>
          </w:p>
          <w:p w14:paraId="336B332B" w14:textId="77777777" w:rsidR="008D6B9C" w:rsidRPr="004C7B56" w:rsidRDefault="008D6B9C" w:rsidP="008D6B9C">
            <w:pPr>
              <w:ind w:firstLine="720"/>
              <w:rPr>
                <w:color w:val="000000" w:themeColor="text1"/>
                <w:sz w:val="22"/>
                <w:szCs w:val="22"/>
              </w:rPr>
            </w:pPr>
          </w:p>
          <w:p w14:paraId="5333A39D" w14:textId="77777777" w:rsidR="00F905BB" w:rsidRPr="004C7B56" w:rsidRDefault="00F905BB" w:rsidP="00D357FC">
            <w:pPr>
              <w:rPr>
                <w:color w:val="000000" w:themeColor="text1"/>
                <w:sz w:val="22"/>
                <w:szCs w:val="22"/>
                <w:lang w:val="lt-LT"/>
              </w:rPr>
            </w:pPr>
          </w:p>
        </w:tc>
        <w:tc>
          <w:tcPr>
            <w:tcW w:w="6775" w:type="dxa"/>
            <w:shd w:val="clear" w:color="auto" w:fill="auto"/>
          </w:tcPr>
          <w:p w14:paraId="439A66E7" w14:textId="66413E74" w:rsidR="00F905BB" w:rsidRPr="004C7B56" w:rsidRDefault="008D6B9C" w:rsidP="002764AF">
            <w:pPr>
              <w:pStyle w:val="prastasiniatinklio"/>
              <w:spacing w:before="0" w:beforeAutospacing="0" w:after="0" w:afterAutospacing="0"/>
              <w:jc w:val="both"/>
              <w:rPr>
                <w:b/>
                <w:color w:val="000000" w:themeColor="text1"/>
                <w:sz w:val="22"/>
                <w:szCs w:val="22"/>
              </w:rPr>
            </w:pPr>
            <w:r w:rsidRPr="004C7B56">
              <w:rPr>
                <w:b/>
                <w:color w:val="000000" w:themeColor="text1"/>
                <w:sz w:val="22"/>
                <w:szCs w:val="22"/>
              </w:rPr>
              <w:t>Neatsižvelgta.</w:t>
            </w:r>
          </w:p>
          <w:p w14:paraId="25F8BD5A" w14:textId="77777777" w:rsidR="005A230C" w:rsidRPr="004C7B56" w:rsidRDefault="005A230C" w:rsidP="002764AF">
            <w:pPr>
              <w:pStyle w:val="prastasiniatinklio"/>
              <w:spacing w:before="0" w:beforeAutospacing="0" w:after="0" w:afterAutospacing="0"/>
              <w:jc w:val="both"/>
              <w:rPr>
                <w:color w:val="000000" w:themeColor="text1"/>
                <w:sz w:val="22"/>
                <w:szCs w:val="22"/>
              </w:rPr>
            </w:pPr>
          </w:p>
          <w:p w14:paraId="28290945" w14:textId="77777777" w:rsidR="008D6B9C" w:rsidRPr="004C7B56" w:rsidRDefault="008D6B9C" w:rsidP="002764AF">
            <w:pPr>
              <w:pStyle w:val="prastasiniatinklio"/>
              <w:spacing w:before="0" w:beforeAutospacing="0" w:after="0" w:afterAutospacing="0"/>
              <w:jc w:val="both"/>
              <w:rPr>
                <w:color w:val="000000" w:themeColor="text1"/>
                <w:sz w:val="22"/>
                <w:szCs w:val="22"/>
                <w:lang w:val="en-GB"/>
              </w:rPr>
            </w:pPr>
            <w:r w:rsidRPr="004C7B56">
              <w:rPr>
                <w:color w:val="000000" w:themeColor="text1"/>
                <w:sz w:val="22"/>
                <w:szCs w:val="22"/>
              </w:rPr>
              <w:t>Vadovaujantis LR valstybės informacinių išteklių valdymo įstatymo 6 str. 4 d. 2 p.</w:t>
            </w:r>
            <w:r w:rsidR="003B30CA" w:rsidRPr="004C7B56">
              <w:rPr>
                <w:color w:val="000000" w:themeColor="text1"/>
                <w:sz w:val="22"/>
                <w:szCs w:val="22"/>
              </w:rPr>
              <w:t xml:space="preserve"> </w:t>
            </w:r>
            <w:r w:rsidR="00F6241D" w:rsidRPr="004C7B56">
              <w:rPr>
                <w:color w:val="000000" w:themeColor="text1"/>
                <w:sz w:val="22"/>
                <w:szCs w:val="22"/>
              </w:rPr>
              <w:t xml:space="preserve">krašto apsaugos ministro įgaliota institucija </w:t>
            </w:r>
            <w:r w:rsidR="00F6241D" w:rsidRPr="004C7B56">
              <w:rPr>
                <w:color w:val="000000" w:themeColor="text1"/>
                <w:sz w:val="22"/>
                <w:szCs w:val="22"/>
                <w:lang w:val="en-GB"/>
              </w:rPr>
              <w:t> </w:t>
            </w:r>
            <w:r w:rsidR="00F6241D" w:rsidRPr="004C7B56">
              <w:rPr>
                <w:color w:val="000000" w:themeColor="text1"/>
                <w:sz w:val="22"/>
                <w:szCs w:val="22"/>
              </w:rPr>
              <w:t xml:space="preserve">derina su valstybės informacinių išteklių sauga susijusių teisės aktų, saugos dokumentų projektus. Atkreipiame dėmesį, jog Susisiekimo ministerijos rengiamas nutarimo projektas nėra susijęs su valstybės informacinių išteklių sauga. </w:t>
            </w:r>
            <w:r w:rsidR="00EE5005" w:rsidRPr="004C7B56">
              <w:rPr>
                <w:color w:val="000000" w:themeColor="text1"/>
                <w:sz w:val="22"/>
                <w:szCs w:val="22"/>
              </w:rPr>
              <w:t>Taip pat LR valstybės informacinių išteklių įstatyme nėra nustatyta, jog atitin</w:t>
            </w:r>
            <w:r w:rsidR="00657855" w:rsidRPr="004C7B56">
              <w:rPr>
                <w:color w:val="000000" w:themeColor="text1"/>
                <w:sz w:val="22"/>
                <w:szCs w:val="22"/>
              </w:rPr>
              <w:t>k</w:t>
            </w:r>
            <w:r w:rsidR="00EE5005" w:rsidRPr="004C7B56">
              <w:rPr>
                <w:color w:val="000000" w:themeColor="text1"/>
                <w:sz w:val="22"/>
                <w:szCs w:val="22"/>
              </w:rPr>
              <w:t>ami teisės aktų projektai turi būti suderinami su</w:t>
            </w:r>
            <w:r w:rsidR="00EE5005" w:rsidRPr="004C7B56">
              <w:rPr>
                <w:color w:val="000000" w:themeColor="text1"/>
                <w:sz w:val="22"/>
                <w:szCs w:val="22"/>
                <w:lang w:val="en-GB"/>
              </w:rPr>
              <w:t xml:space="preserve"> </w:t>
            </w:r>
            <w:r w:rsidR="005B7632" w:rsidRPr="004C7B56">
              <w:rPr>
                <w:color w:val="000000" w:themeColor="text1"/>
                <w:sz w:val="22"/>
                <w:szCs w:val="22"/>
                <w:lang w:val="en-GB"/>
              </w:rPr>
              <w:t>Lietuvos statistikos departamentu.</w:t>
            </w:r>
          </w:p>
          <w:p w14:paraId="7F18B1F2" w14:textId="61102F08" w:rsidR="00B02E37" w:rsidRPr="004C7B56" w:rsidRDefault="00B02E37" w:rsidP="002764AF">
            <w:pPr>
              <w:pStyle w:val="prastasiniatinklio"/>
              <w:spacing w:before="0" w:beforeAutospacing="0" w:after="0" w:afterAutospacing="0"/>
              <w:jc w:val="both"/>
              <w:rPr>
                <w:color w:val="000000" w:themeColor="text1"/>
                <w:sz w:val="22"/>
                <w:szCs w:val="22"/>
              </w:rPr>
            </w:pPr>
            <w:r w:rsidRPr="004C7B56">
              <w:rPr>
                <w:color w:val="000000" w:themeColor="text1"/>
                <w:sz w:val="22"/>
                <w:szCs w:val="22"/>
              </w:rPr>
              <w:t>Su Lietuvos Respublikos teisingumo ministerija teisės akto projektas suderintas (2018-11-12 raštu Nr. (18E)2T-854).</w:t>
            </w:r>
          </w:p>
        </w:tc>
      </w:tr>
      <w:tr w:rsidR="009E3752" w:rsidRPr="004C7B56" w14:paraId="7B662F6F" w14:textId="77777777" w:rsidTr="00B15C82">
        <w:tc>
          <w:tcPr>
            <w:tcW w:w="3686" w:type="dxa"/>
            <w:shd w:val="clear" w:color="auto" w:fill="auto"/>
          </w:tcPr>
          <w:p w14:paraId="4FFBE3DC" w14:textId="4FE2C1DB" w:rsidR="009E3752" w:rsidRPr="004C7B56" w:rsidRDefault="0046200D" w:rsidP="00C50F88">
            <w:pPr>
              <w:spacing w:line="276" w:lineRule="auto"/>
              <w:jc w:val="both"/>
              <w:rPr>
                <w:color w:val="000000" w:themeColor="text1"/>
                <w:sz w:val="22"/>
                <w:szCs w:val="22"/>
                <w:lang w:val="lt-LT"/>
              </w:rPr>
            </w:pPr>
            <w:r w:rsidRPr="004C7B56">
              <w:rPr>
                <w:color w:val="000000" w:themeColor="text1"/>
                <w:sz w:val="22"/>
                <w:szCs w:val="22"/>
                <w:lang w:val="lt-LT"/>
              </w:rPr>
              <w:t xml:space="preserve">Lietuvos Respublikos vidaus reikalų ministerijos </w:t>
            </w:r>
            <w:r w:rsidR="00937408" w:rsidRPr="004C7B56">
              <w:rPr>
                <w:color w:val="000000" w:themeColor="text1"/>
                <w:sz w:val="22"/>
                <w:szCs w:val="22"/>
                <w:lang w:val="lt-LT"/>
              </w:rPr>
              <w:t>2018-10-30 raštas Nr. ID-5357</w:t>
            </w:r>
          </w:p>
        </w:tc>
        <w:tc>
          <w:tcPr>
            <w:tcW w:w="5274" w:type="dxa"/>
            <w:shd w:val="clear" w:color="auto" w:fill="auto"/>
          </w:tcPr>
          <w:p w14:paraId="5516EC95" w14:textId="7471D25E" w:rsidR="009E3752" w:rsidRPr="004C7B56" w:rsidRDefault="009E3752" w:rsidP="009E3752">
            <w:pPr>
              <w:pStyle w:val="Sraopastraipa"/>
              <w:tabs>
                <w:tab w:val="left" w:pos="142"/>
              </w:tabs>
              <w:suppressAutoHyphens/>
              <w:autoSpaceDN w:val="0"/>
              <w:ind w:left="0"/>
              <w:contextualSpacing w:val="0"/>
              <w:jc w:val="both"/>
              <w:textAlignment w:val="baseline"/>
              <w:rPr>
                <w:color w:val="000000" w:themeColor="text1"/>
                <w:sz w:val="22"/>
                <w:szCs w:val="22"/>
                <w:lang w:val="lt-LT"/>
              </w:rPr>
            </w:pPr>
            <w:r w:rsidRPr="004C7B56">
              <w:rPr>
                <w:color w:val="000000" w:themeColor="text1"/>
                <w:sz w:val="22"/>
                <w:szCs w:val="22"/>
                <w:lang w:val="lt-LT"/>
              </w:rPr>
              <w:t>Siūlome papildyti Lietuvos Respublikos jūrininkų registro nuostatų projekto (toliau – Nuostatai) 4 punktą Registrų steigimo, kūrimo, reorganizavimo ir likvidavimo tvarkos aprašu, patvirtintu Lietuvos Respublikos Vyriausybės 2012 m. liepos 18 d. nutarimu Nr. 881 „Dėl Registrų steigimo, kūrimo, reorganizavimo ir likvidavimo tvarkos aprašo patvirtinimo“.</w:t>
            </w:r>
          </w:p>
          <w:p w14:paraId="0D614DEF" w14:textId="77777777" w:rsidR="009E3752" w:rsidRPr="004C7B56" w:rsidRDefault="009E3752" w:rsidP="008D6B9C">
            <w:pPr>
              <w:tabs>
                <w:tab w:val="left" w:pos="1134"/>
              </w:tabs>
              <w:jc w:val="both"/>
              <w:rPr>
                <w:color w:val="000000" w:themeColor="text1"/>
                <w:sz w:val="22"/>
                <w:szCs w:val="22"/>
                <w:lang w:val="lt-LT"/>
              </w:rPr>
            </w:pPr>
          </w:p>
        </w:tc>
        <w:tc>
          <w:tcPr>
            <w:tcW w:w="6775" w:type="dxa"/>
            <w:shd w:val="clear" w:color="auto" w:fill="auto"/>
          </w:tcPr>
          <w:p w14:paraId="4183D958" w14:textId="77777777" w:rsidR="006C67DA" w:rsidRPr="006C67DA" w:rsidRDefault="006C67DA" w:rsidP="00C27CD3">
            <w:pPr>
              <w:jc w:val="both"/>
              <w:rPr>
                <w:b/>
                <w:color w:val="000000" w:themeColor="text1"/>
                <w:sz w:val="22"/>
                <w:szCs w:val="22"/>
                <w:lang w:val="lt-LT"/>
              </w:rPr>
            </w:pPr>
            <w:r w:rsidRPr="006C67DA">
              <w:rPr>
                <w:b/>
                <w:color w:val="000000" w:themeColor="text1"/>
                <w:sz w:val="22"/>
                <w:szCs w:val="22"/>
                <w:lang w:val="lt-LT"/>
              </w:rPr>
              <w:lastRenderedPageBreak/>
              <w:t>Neatsižvelgta.</w:t>
            </w:r>
          </w:p>
          <w:p w14:paraId="04F1CDB3" w14:textId="77777777" w:rsidR="00861E91" w:rsidRDefault="00861E91" w:rsidP="00C27CD3">
            <w:pPr>
              <w:jc w:val="both"/>
              <w:rPr>
                <w:color w:val="000000" w:themeColor="text1"/>
                <w:sz w:val="22"/>
                <w:szCs w:val="22"/>
                <w:lang w:val="lt-LT"/>
              </w:rPr>
            </w:pPr>
          </w:p>
          <w:p w14:paraId="26CB4A39" w14:textId="7E971446" w:rsidR="00C27CD3" w:rsidRPr="004C7B56" w:rsidRDefault="00C27CD3" w:rsidP="00C27CD3">
            <w:pPr>
              <w:jc w:val="both"/>
              <w:rPr>
                <w:color w:val="000000" w:themeColor="text1"/>
                <w:sz w:val="22"/>
                <w:szCs w:val="22"/>
                <w:lang w:val="lt-LT"/>
              </w:rPr>
            </w:pPr>
            <w:bookmarkStart w:id="0" w:name="_GoBack"/>
            <w:bookmarkEnd w:id="0"/>
            <w:r w:rsidRPr="004C7B56">
              <w:rPr>
                <w:color w:val="000000" w:themeColor="text1"/>
                <w:sz w:val="22"/>
                <w:szCs w:val="22"/>
                <w:lang w:val="lt-LT"/>
              </w:rPr>
              <w:t>Nutarimo projekto 4 punkte įtvirtintas teisės aktų, reglamentuojančių registrų tvarkymą, sąrašas</w:t>
            </w:r>
            <w:r w:rsidR="00A643CE" w:rsidRPr="004C7B56">
              <w:rPr>
                <w:color w:val="000000" w:themeColor="text1"/>
                <w:sz w:val="22"/>
                <w:szCs w:val="22"/>
                <w:lang w:val="lt-LT"/>
              </w:rPr>
              <w:t xml:space="preserve"> nėra baigtinis</w:t>
            </w:r>
            <w:r w:rsidRPr="004C7B56">
              <w:rPr>
                <w:color w:val="000000" w:themeColor="text1"/>
                <w:sz w:val="22"/>
                <w:szCs w:val="22"/>
                <w:lang w:val="lt-LT"/>
              </w:rPr>
              <w:t xml:space="preserve"> (</w:t>
            </w:r>
            <w:r w:rsidR="00C50F88">
              <w:rPr>
                <w:color w:val="000000" w:themeColor="text1"/>
                <w:sz w:val="22"/>
                <w:szCs w:val="22"/>
                <w:lang w:val="lt-LT"/>
              </w:rPr>
              <w:t>„</w:t>
            </w:r>
            <w:r w:rsidRPr="004C7B56">
              <w:rPr>
                <w:color w:val="000000" w:themeColor="text1"/>
                <w:sz w:val="22"/>
                <w:szCs w:val="22"/>
                <w:lang w:val="lt-LT"/>
              </w:rPr>
              <w:t>ir kitais teisės aktais, reglamentuojančiais jūrininkų registravimą ir valstybės registrų veiklą</w:t>
            </w:r>
            <w:r w:rsidR="00C50F88">
              <w:rPr>
                <w:color w:val="000000" w:themeColor="text1"/>
                <w:sz w:val="22"/>
                <w:szCs w:val="22"/>
                <w:lang w:val="lt-LT"/>
              </w:rPr>
              <w:t>“</w:t>
            </w:r>
            <w:r w:rsidRPr="004C7B56">
              <w:rPr>
                <w:color w:val="000000" w:themeColor="text1"/>
                <w:sz w:val="22"/>
                <w:szCs w:val="22"/>
                <w:lang w:val="lt-LT"/>
              </w:rPr>
              <w:t>). Susisiekimo ministerijos nuomone, nėra būtinybės konkretizuoti.</w:t>
            </w:r>
          </w:p>
          <w:p w14:paraId="68F78996" w14:textId="77777777" w:rsidR="009E3752" w:rsidRPr="004C7B56" w:rsidRDefault="009E3752" w:rsidP="008B3BD8">
            <w:pPr>
              <w:pStyle w:val="prastasiniatinklio"/>
              <w:spacing w:before="0" w:beforeAutospacing="0" w:after="0" w:afterAutospacing="0" w:line="276" w:lineRule="auto"/>
              <w:jc w:val="both"/>
              <w:rPr>
                <w:b/>
                <w:color w:val="000000" w:themeColor="text1"/>
                <w:sz w:val="22"/>
                <w:szCs w:val="22"/>
              </w:rPr>
            </w:pPr>
          </w:p>
        </w:tc>
      </w:tr>
      <w:tr w:rsidR="004C7B56" w:rsidRPr="004C7B56" w14:paraId="0A18039B" w14:textId="77777777" w:rsidTr="00B15C82">
        <w:tc>
          <w:tcPr>
            <w:tcW w:w="3686" w:type="dxa"/>
            <w:shd w:val="clear" w:color="auto" w:fill="auto"/>
          </w:tcPr>
          <w:p w14:paraId="519EC7D6" w14:textId="77777777" w:rsidR="009E3752" w:rsidRPr="004C7B56" w:rsidRDefault="009E3752" w:rsidP="00A62D62">
            <w:pPr>
              <w:spacing w:line="276" w:lineRule="auto"/>
              <w:jc w:val="both"/>
              <w:rPr>
                <w:color w:val="000000" w:themeColor="text1"/>
                <w:sz w:val="22"/>
                <w:szCs w:val="22"/>
                <w:lang w:val="lt-LT"/>
              </w:rPr>
            </w:pPr>
          </w:p>
        </w:tc>
        <w:tc>
          <w:tcPr>
            <w:tcW w:w="5274" w:type="dxa"/>
            <w:shd w:val="clear" w:color="auto" w:fill="auto"/>
          </w:tcPr>
          <w:p w14:paraId="51DD66C2" w14:textId="77777777" w:rsidR="008B5917" w:rsidRPr="004C7B56" w:rsidRDefault="008B5917" w:rsidP="008B5917">
            <w:pPr>
              <w:pStyle w:val="Sraopastraipa"/>
              <w:tabs>
                <w:tab w:val="left" w:pos="142"/>
              </w:tabs>
              <w:suppressAutoHyphens/>
              <w:autoSpaceDN w:val="0"/>
              <w:ind w:left="0"/>
              <w:contextualSpacing w:val="0"/>
              <w:jc w:val="both"/>
              <w:textAlignment w:val="baseline"/>
              <w:rPr>
                <w:color w:val="000000" w:themeColor="text1"/>
                <w:sz w:val="22"/>
                <w:szCs w:val="22"/>
                <w:lang w:val="lt-LT"/>
              </w:rPr>
            </w:pPr>
            <w:r w:rsidRPr="004C7B56">
              <w:rPr>
                <w:color w:val="000000" w:themeColor="text1"/>
                <w:sz w:val="22"/>
                <w:szCs w:val="22"/>
                <w:lang w:val="lt-LT"/>
              </w:rPr>
              <w:t xml:space="preserve">Siūlome </w:t>
            </w:r>
            <w:r w:rsidRPr="004C7B56">
              <w:rPr>
                <w:color w:val="000000" w:themeColor="text1"/>
                <w:spacing w:val="-4"/>
                <w:sz w:val="22"/>
                <w:szCs w:val="22"/>
                <w:lang w:val="lt-LT"/>
              </w:rPr>
              <w:t xml:space="preserve">tikslinti </w:t>
            </w:r>
            <w:r w:rsidRPr="004C7B56">
              <w:rPr>
                <w:color w:val="000000" w:themeColor="text1"/>
                <w:sz w:val="22"/>
                <w:szCs w:val="22"/>
                <w:lang w:val="lt-LT"/>
              </w:rPr>
              <w:t xml:space="preserve">Nuostatų 48.2 papunktyje pateiktą nuorodą į Nuostatų 12.6–12.8 papunkčius. Manome, kad vietoj 12.6 papunkčio turėtų būti įrašytas 12.2 papunktis. </w:t>
            </w:r>
          </w:p>
          <w:p w14:paraId="60F2CEFC" w14:textId="77777777" w:rsidR="007373A3" w:rsidRPr="004C7B56" w:rsidRDefault="008B5917" w:rsidP="008B5917">
            <w:pPr>
              <w:pStyle w:val="Sraopastraipa"/>
              <w:tabs>
                <w:tab w:val="left" w:pos="142"/>
              </w:tabs>
              <w:suppressAutoHyphens/>
              <w:autoSpaceDN w:val="0"/>
              <w:ind w:left="0"/>
              <w:contextualSpacing w:val="0"/>
              <w:jc w:val="both"/>
              <w:textAlignment w:val="baseline"/>
              <w:rPr>
                <w:color w:val="000000" w:themeColor="text1"/>
                <w:sz w:val="22"/>
                <w:szCs w:val="22"/>
                <w:lang w:val="lt-LT"/>
              </w:rPr>
            </w:pPr>
            <w:r w:rsidRPr="004C7B56">
              <w:rPr>
                <w:color w:val="000000" w:themeColor="text1"/>
                <w:sz w:val="22"/>
                <w:szCs w:val="22"/>
                <w:lang w:val="lt-LT"/>
              </w:rPr>
              <w:t xml:space="preserve">Be to, atsižvelgus į tai, kad tai asmens duomenys, siūlome vietoj žodžių „registro objekto“ šiuose papunkčiuose naudoti žodį „asmens“. </w:t>
            </w:r>
          </w:p>
          <w:p w14:paraId="22F55B8D" w14:textId="772BA8AC" w:rsidR="008B5917" w:rsidRPr="004C7B56" w:rsidRDefault="008B5917" w:rsidP="008B5917">
            <w:pPr>
              <w:pStyle w:val="Sraopastraipa"/>
              <w:tabs>
                <w:tab w:val="left" w:pos="142"/>
              </w:tabs>
              <w:suppressAutoHyphens/>
              <w:autoSpaceDN w:val="0"/>
              <w:ind w:left="0"/>
              <w:contextualSpacing w:val="0"/>
              <w:jc w:val="both"/>
              <w:textAlignment w:val="baseline"/>
              <w:rPr>
                <w:color w:val="000000" w:themeColor="text1"/>
                <w:sz w:val="22"/>
                <w:szCs w:val="22"/>
                <w:lang w:val="lt-LT"/>
              </w:rPr>
            </w:pPr>
            <w:r w:rsidRPr="004C7B56">
              <w:rPr>
                <w:color w:val="000000" w:themeColor="text1"/>
                <w:sz w:val="22"/>
                <w:szCs w:val="22"/>
                <w:lang w:val="lt-LT"/>
              </w:rPr>
              <w:t>Siūlome tikslinti Nuostatų projekto 48.2 papunktį ir nurodyti konkrečius duomenis, gaunamus iš Užsieniečių registro.</w:t>
            </w:r>
          </w:p>
          <w:p w14:paraId="53653E4C" w14:textId="77777777" w:rsidR="009E3752" w:rsidRPr="004C7B56" w:rsidRDefault="009E3752" w:rsidP="008D6B9C">
            <w:pPr>
              <w:tabs>
                <w:tab w:val="left" w:pos="1134"/>
              </w:tabs>
              <w:jc w:val="both"/>
              <w:rPr>
                <w:color w:val="000000" w:themeColor="text1"/>
                <w:sz w:val="22"/>
                <w:szCs w:val="22"/>
                <w:lang w:val="lt-LT"/>
              </w:rPr>
            </w:pPr>
          </w:p>
        </w:tc>
        <w:tc>
          <w:tcPr>
            <w:tcW w:w="6775" w:type="dxa"/>
            <w:shd w:val="clear" w:color="auto" w:fill="auto"/>
          </w:tcPr>
          <w:p w14:paraId="0B525DE3" w14:textId="241AE05B" w:rsidR="009E3752" w:rsidRPr="004C7B56" w:rsidRDefault="008B5917" w:rsidP="002764AF">
            <w:pPr>
              <w:pStyle w:val="prastasiniatinklio"/>
              <w:spacing w:before="0" w:beforeAutospacing="0" w:after="0" w:afterAutospacing="0"/>
              <w:jc w:val="both"/>
              <w:rPr>
                <w:b/>
                <w:color w:val="000000" w:themeColor="text1"/>
                <w:sz w:val="22"/>
                <w:szCs w:val="22"/>
              </w:rPr>
            </w:pPr>
            <w:r w:rsidRPr="004C7B56">
              <w:rPr>
                <w:b/>
                <w:color w:val="000000" w:themeColor="text1"/>
                <w:sz w:val="22"/>
                <w:szCs w:val="22"/>
              </w:rPr>
              <w:t>Atsižvelgta į pirmąją išvados punkto dalį.</w:t>
            </w:r>
          </w:p>
          <w:p w14:paraId="53EDDC9C" w14:textId="77777777" w:rsidR="008B5917" w:rsidRPr="004C7B56" w:rsidRDefault="008B5917" w:rsidP="002764AF">
            <w:pPr>
              <w:pStyle w:val="prastasiniatinklio"/>
              <w:spacing w:before="0" w:beforeAutospacing="0" w:after="0" w:afterAutospacing="0"/>
              <w:jc w:val="both"/>
              <w:rPr>
                <w:b/>
                <w:color w:val="000000" w:themeColor="text1"/>
                <w:sz w:val="22"/>
                <w:szCs w:val="22"/>
              </w:rPr>
            </w:pPr>
            <w:r w:rsidRPr="004C7B56">
              <w:rPr>
                <w:b/>
                <w:color w:val="000000" w:themeColor="text1"/>
                <w:sz w:val="22"/>
                <w:szCs w:val="22"/>
              </w:rPr>
              <w:t>Neatsižvelgta į antrąją išvados punkto dalį:</w:t>
            </w:r>
          </w:p>
          <w:p w14:paraId="157D4C7F" w14:textId="77777777" w:rsidR="008B5917" w:rsidRPr="004C7B56" w:rsidRDefault="008B5917" w:rsidP="002764AF">
            <w:pPr>
              <w:pStyle w:val="prastasiniatinklio"/>
              <w:spacing w:before="0" w:beforeAutospacing="0" w:after="0" w:afterAutospacing="0"/>
              <w:jc w:val="both"/>
              <w:rPr>
                <w:color w:val="000000" w:themeColor="text1"/>
                <w:sz w:val="22"/>
                <w:szCs w:val="22"/>
              </w:rPr>
            </w:pPr>
            <w:r w:rsidRPr="004C7B56">
              <w:rPr>
                <w:color w:val="000000" w:themeColor="text1"/>
                <w:sz w:val="22"/>
                <w:szCs w:val="22"/>
              </w:rPr>
              <w:t>Atsižvelgiant į tai, kad visur tekste minimas „registro objektas“, siekiant teisės akto aiškumo, paliktina „registro objektas“.</w:t>
            </w:r>
          </w:p>
          <w:p w14:paraId="6E13D67A" w14:textId="4DBF8450" w:rsidR="007373A3" w:rsidRPr="004C7B56" w:rsidRDefault="007373A3" w:rsidP="002764AF">
            <w:pPr>
              <w:pStyle w:val="prastasiniatinklio"/>
              <w:spacing w:before="0" w:beforeAutospacing="0" w:after="0" w:afterAutospacing="0"/>
              <w:jc w:val="both"/>
              <w:rPr>
                <w:color w:val="000000" w:themeColor="text1"/>
                <w:sz w:val="22"/>
                <w:szCs w:val="22"/>
              </w:rPr>
            </w:pPr>
            <w:r w:rsidRPr="004C7B56">
              <w:rPr>
                <w:color w:val="000000" w:themeColor="text1"/>
                <w:sz w:val="22"/>
                <w:szCs w:val="22"/>
              </w:rPr>
              <w:t>Atkreiptinas dėmesys, kad minimame papunktyje duodama nuoroda į kitus papunkčius, kuriuose pateikiama informacija, kokie konkrečiai duomenys yra gaunami iš Užsieniečių registro.</w:t>
            </w:r>
          </w:p>
        </w:tc>
      </w:tr>
      <w:tr w:rsidR="004C7B56" w:rsidRPr="004C7B56" w14:paraId="6188B865" w14:textId="77777777" w:rsidTr="00B15C82">
        <w:tc>
          <w:tcPr>
            <w:tcW w:w="3686" w:type="dxa"/>
            <w:shd w:val="clear" w:color="auto" w:fill="auto"/>
          </w:tcPr>
          <w:p w14:paraId="29D0BCB5" w14:textId="4C784259" w:rsidR="009E3752" w:rsidRPr="004C7B56" w:rsidRDefault="003A021D" w:rsidP="00A62D62">
            <w:pPr>
              <w:spacing w:line="276" w:lineRule="auto"/>
              <w:jc w:val="both"/>
              <w:rPr>
                <w:color w:val="000000" w:themeColor="text1"/>
                <w:sz w:val="22"/>
                <w:szCs w:val="22"/>
                <w:lang w:val="lt-LT"/>
              </w:rPr>
            </w:pPr>
            <w:r w:rsidRPr="004C7B56">
              <w:rPr>
                <w:color w:val="000000" w:themeColor="text1"/>
                <w:sz w:val="22"/>
                <w:szCs w:val="22"/>
                <w:lang w:val="lt-LT"/>
              </w:rPr>
              <w:t xml:space="preserve">Lietuvos Respublikos teisingumo ministerijos 2018-11-12 raštas </w:t>
            </w:r>
            <w:r w:rsidR="00C50F88">
              <w:rPr>
                <w:color w:val="000000" w:themeColor="text1"/>
                <w:sz w:val="22"/>
                <w:szCs w:val="22"/>
                <w:lang w:val="lt-LT"/>
              </w:rPr>
              <w:br/>
            </w:r>
            <w:r w:rsidRPr="004C7B56">
              <w:rPr>
                <w:color w:val="000000" w:themeColor="text1"/>
                <w:sz w:val="22"/>
                <w:szCs w:val="22"/>
                <w:lang w:val="lt-LT"/>
              </w:rPr>
              <w:t>Nr. (18E)2T-854</w:t>
            </w:r>
          </w:p>
        </w:tc>
        <w:tc>
          <w:tcPr>
            <w:tcW w:w="5274" w:type="dxa"/>
            <w:shd w:val="clear" w:color="auto" w:fill="auto"/>
          </w:tcPr>
          <w:p w14:paraId="487B048D" w14:textId="77777777" w:rsidR="003A021D" w:rsidRPr="003A021D" w:rsidRDefault="003A021D" w:rsidP="003A021D">
            <w:pPr>
              <w:tabs>
                <w:tab w:val="left" w:pos="1134"/>
              </w:tabs>
              <w:jc w:val="both"/>
              <w:rPr>
                <w:color w:val="000000" w:themeColor="text1"/>
                <w:sz w:val="22"/>
                <w:szCs w:val="22"/>
                <w:lang w:val="lt-LT"/>
              </w:rPr>
            </w:pPr>
            <w:r w:rsidRPr="003A021D">
              <w:rPr>
                <w:color w:val="000000" w:themeColor="text1"/>
                <w:sz w:val="22"/>
                <w:szCs w:val="22"/>
                <w:lang w:val="lt-LT"/>
              </w:rPr>
              <w:t>Vertinant Nuostatų 32 punktą, pastebėtina, kad formalus termino nesilaikymas neturėtų</w:t>
            </w:r>
          </w:p>
          <w:p w14:paraId="326A83BE" w14:textId="77777777" w:rsidR="003A021D" w:rsidRPr="003A021D" w:rsidRDefault="003A021D" w:rsidP="003A021D">
            <w:pPr>
              <w:tabs>
                <w:tab w:val="left" w:pos="1134"/>
              </w:tabs>
              <w:jc w:val="both"/>
              <w:rPr>
                <w:color w:val="000000" w:themeColor="text1"/>
                <w:sz w:val="22"/>
                <w:szCs w:val="22"/>
                <w:lang w:val="lt-LT"/>
              </w:rPr>
            </w:pPr>
            <w:r w:rsidRPr="003A021D">
              <w:rPr>
                <w:color w:val="000000" w:themeColor="text1"/>
                <w:sz w:val="22"/>
                <w:szCs w:val="22"/>
                <w:lang w:val="lt-LT"/>
              </w:rPr>
              <w:t>nulemti šiame punkte nurodytų pasekmių, tai yra, iš šio punkto nuostatų galima suprasti, jog nepateikus</w:t>
            </w:r>
          </w:p>
          <w:p w14:paraId="3B4CE6CA" w14:textId="77777777" w:rsidR="003A021D" w:rsidRPr="003A021D" w:rsidRDefault="003A021D" w:rsidP="003A021D">
            <w:pPr>
              <w:tabs>
                <w:tab w:val="left" w:pos="1134"/>
              </w:tabs>
              <w:jc w:val="both"/>
              <w:rPr>
                <w:color w:val="000000" w:themeColor="text1"/>
                <w:sz w:val="22"/>
                <w:szCs w:val="22"/>
                <w:lang w:val="lt-LT"/>
              </w:rPr>
            </w:pPr>
            <w:r w:rsidRPr="003A021D">
              <w:rPr>
                <w:color w:val="000000" w:themeColor="text1"/>
                <w:sz w:val="22"/>
                <w:szCs w:val="22"/>
                <w:lang w:val="lt-LT"/>
              </w:rPr>
              <w:t>šiame punkte nurodytų duomenų apie registro objektą registro tvarkytojui per 5 darbo dienas</w:t>
            </w:r>
          </w:p>
          <w:p w14:paraId="103EBA43" w14:textId="77777777" w:rsidR="003A021D" w:rsidRPr="003A021D" w:rsidRDefault="003A021D" w:rsidP="003A021D">
            <w:pPr>
              <w:tabs>
                <w:tab w:val="left" w:pos="1134"/>
              </w:tabs>
              <w:jc w:val="both"/>
              <w:rPr>
                <w:color w:val="000000" w:themeColor="text1"/>
                <w:sz w:val="22"/>
                <w:szCs w:val="22"/>
                <w:lang w:val="lt-LT"/>
              </w:rPr>
            </w:pPr>
            <w:r w:rsidRPr="003A021D">
              <w:rPr>
                <w:color w:val="000000" w:themeColor="text1"/>
                <w:sz w:val="22"/>
                <w:szCs w:val="22"/>
                <w:lang w:val="lt-LT"/>
              </w:rPr>
              <w:t>po atitinkamų dokumentų išdavimo, Nuostatų 16 ir 17 punktuose nurodyti duomenys nebus keičiami.</w:t>
            </w:r>
          </w:p>
          <w:p w14:paraId="517C5EE0" w14:textId="77777777" w:rsidR="003A021D" w:rsidRPr="003A021D" w:rsidRDefault="003A021D" w:rsidP="003A021D">
            <w:pPr>
              <w:tabs>
                <w:tab w:val="left" w:pos="1134"/>
              </w:tabs>
              <w:jc w:val="both"/>
              <w:rPr>
                <w:color w:val="000000" w:themeColor="text1"/>
                <w:sz w:val="22"/>
                <w:szCs w:val="22"/>
                <w:lang w:val="lt-LT"/>
              </w:rPr>
            </w:pPr>
            <w:r w:rsidRPr="003A021D">
              <w:rPr>
                <w:color w:val="000000" w:themeColor="text1"/>
                <w:sz w:val="22"/>
                <w:szCs w:val="22"/>
                <w:lang w:val="lt-LT"/>
              </w:rPr>
              <w:t>Siūlytina šiuo aspektu įvertinti Nuostatų 32 punktą bei atitinkamai ir kitus Nuostatų punktus,</w:t>
            </w:r>
          </w:p>
          <w:p w14:paraId="47E435B5" w14:textId="2B509C9B" w:rsidR="009E3752" w:rsidRPr="004C7B56" w:rsidRDefault="003A021D" w:rsidP="003A021D">
            <w:pPr>
              <w:tabs>
                <w:tab w:val="left" w:pos="1134"/>
              </w:tabs>
              <w:jc w:val="both"/>
              <w:rPr>
                <w:color w:val="000000" w:themeColor="text1"/>
                <w:sz w:val="22"/>
                <w:szCs w:val="22"/>
                <w:lang w:val="lt-LT"/>
              </w:rPr>
            </w:pPr>
            <w:r w:rsidRPr="004C7B56">
              <w:rPr>
                <w:color w:val="000000" w:themeColor="text1"/>
                <w:sz w:val="22"/>
                <w:szCs w:val="22"/>
                <w:lang w:val="lt-LT"/>
              </w:rPr>
              <w:t>kuriuose nustatomi konkretūs terminai.</w:t>
            </w:r>
          </w:p>
        </w:tc>
        <w:tc>
          <w:tcPr>
            <w:tcW w:w="6775" w:type="dxa"/>
            <w:shd w:val="clear" w:color="auto" w:fill="auto"/>
          </w:tcPr>
          <w:p w14:paraId="781A402A" w14:textId="77777777" w:rsidR="009E3752" w:rsidRPr="004C7B56" w:rsidRDefault="003A021D" w:rsidP="002764AF">
            <w:pPr>
              <w:pStyle w:val="prastasiniatinklio"/>
              <w:spacing w:before="0" w:beforeAutospacing="0" w:after="0" w:afterAutospacing="0"/>
              <w:jc w:val="both"/>
              <w:rPr>
                <w:b/>
                <w:color w:val="000000" w:themeColor="text1"/>
                <w:sz w:val="22"/>
                <w:szCs w:val="22"/>
              </w:rPr>
            </w:pPr>
            <w:r w:rsidRPr="004C7B56">
              <w:rPr>
                <w:b/>
                <w:color w:val="000000" w:themeColor="text1"/>
                <w:sz w:val="22"/>
                <w:szCs w:val="22"/>
              </w:rPr>
              <w:t xml:space="preserve">Neatsižvelgta. </w:t>
            </w:r>
          </w:p>
          <w:p w14:paraId="6FDDCE59" w14:textId="77777777" w:rsidR="003A021D" w:rsidRPr="004C7B56" w:rsidRDefault="003A021D" w:rsidP="002764AF">
            <w:pPr>
              <w:pStyle w:val="prastasiniatinklio"/>
              <w:spacing w:before="0" w:beforeAutospacing="0" w:after="0" w:afterAutospacing="0"/>
              <w:jc w:val="both"/>
              <w:rPr>
                <w:color w:val="000000" w:themeColor="text1"/>
                <w:sz w:val="22"/>
                <w:szCs w:val="22"/>
              </w:rPr>
            </w:pPr>
          </w:p>
          <w:p w14:paraId="18ED454F" w14:textId="4584BD6A" w:rsidR="003A021D" w:rsidRPr="004C7B56" w:rsidRDefault="003A021D" w:rsidP="002764AF">
            <w:pPr>
              <w:pStyle w:val="prastasiniatinklio"/>
              <w:spacing w:before="0" w:beforeAutospacing="0" w:after="0" w:afterAutospacing="0"/>
              <w:jc w:val="both"/>
              <w:rPr>
                <w:b/>
                <w:color w:val="000000" w:themeColor="text1"/>
                <w:sz w:val="22"/>
                <w:szCs w:val="22"/>
              </w:rPr>
            </w:pPr>
            <w:r w:rsidRPr="004C7B56">
              <w:rPr>
                <w:color w:val="000000" w:themeColor="text1"/>
                <w:sz w:val="22"/>
                <w:szCs w:val="22"/>
              </w:rPr>
              <w:t xml:space="preserve">Tuo atveju, jei nebus nustatytas terminas, įpareigojantis mokymo įstaigą pateikti atitinkamą informaciją apie jūrininką, tokia informacija nebus teikiama, dėl </w:t>
            </w:r>
            <w:r w:rsidR="00C50F88">
              <w:rPr>
                <w:color w:val="000000" w:themeColor="text1"/>
                <w:sz w:val="22"/>
                <w:szCs w:val="22"/>
              </w:rPr>
              <w:t>t</w:t>
            </w:r>
            <w:r w:rsidRPr="004C7B56">
              <w:rPr>
                <w:color w:val="000000" w:themeColor="text1"/>
                <w:sz w:val="22"/>
                <w:szCs w:val="22"/>
              </w:rPr>
              <w:t>o jūrininkas gali turėti keblumų dėl dokumentų išdavimo.</w:t>
            </w:r>
          </w:p>
        </w:tc>
      </w:tr>
    </w:tbl>
    <w:p w14:paraId="1A5A5F3E" w14:textId="77777777" w:rsidR="00960059" w:rsidRPr="004C7B56" w:rsidRDefault="00960059" w:rsidP="00960059">
      <w:pPr>
        <w:jc w:val="both"/>
        <w:rPr>
          <w:color w:val="000000" w:themeColor="text1"/>
          <w:sz w:val="22"/>
          <w:szCs w:val="22"/>
          <w:lang w:val="lt-LT"/>
        </w:rPr>
      </w:pPr>
    </w:p>
    <w:p w14:paraId="18047D68" w14:textId="46DC7765" w:rsidR="00356A2F" w:rsidRPr="004C7B56" w:rsidRDefault="0087799E" w:rsidP="00C07886">
      <w:pPr>
        <w:jc w:val="center"/>
        <w:rPr>
          <w:color w:val="000000" w:themeColor="text1"/>
          <w:sz w:val="22"/>
          <w:szCs w:val="22"/>
          <w:lang w:val="lt-LT"/>
        </w:rPr>
      </w:pPr>
      <w:r w:rsidRPr="004C7B56">
        <w:rPr>
          <w:color w:val="000000" w:themeColor="text1"/>
          <w:sz w:val="22"/>
          <w:szCs w:val="22"/>
          <w:lang w:val="lt-LT"/>
        </w:rPr>
        <w:t>____________________</w:t>
      </w:r>
    </w:p>
    <w:p w14:paraId="7F4BB4E0" w14:textId="77777777" w:rsidR="00356A2F" w:rsidRPr="004C7B56" w:rsidRDefault="00356A2F" w:rsidP="00EB392F">
      <w:pPr>
        <w:jc w:val="both"/>
        <w:rPr>
          <w:color w:val="000000" w:themeColor="text1"/>
          <w:sz w:val="22"/>
          <w:szCs w:val="22"/>
          <w:lang w:val="lt-LT"/>
        </w:rPr>
      </w:pPr>
    </w:p>
    <w:p w14:paraId="1666FB20" w14:textId="77777777" w:rsidR="00356A2F" w:rsidRPr="004C7B56" w:rsidRDefault="00356A2F" w:rsidP="00EB392F">
      <w:pPr>
        <w:rPr>
          <w:color w:val="000000" w:themeColor="text1"/>
          <w:sz w:val="22"/>
          <w:szCs w:val="22"/>
          <w:lang w:val="lt-LT"/>
        </w:rPr>
      </w:pPr>
    </w:p>
    <w:sectPr w:rsidR="00356A2F" w:rsidRPr="004C7B56" w:rsidSect="00EF3734">
      <w:headerReference w:type="even" r:id="rId8"/>
      <w:headerReference w:type="default" r:id="rId9"/>
      <w:pgSz w:w="16840" w:h="11907" w:orient="landscape" w:code="9"/>
      <w:pgMar w:top="1135" w:right="1000" w:bottom="1134" w:left="144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39373" w14:textId="77777777" w:rsidR="00AC08C5" w:rsidRDefault="00AC08C5">
      <w:r>
        <w:separator/>
      </w:r>
    </w:p>
  </w:endnote>
  <w:endnote w:type="continuationSeparator" w:id="0">
    <w:p w14:paraId="4C1AD2AF" w14:textId="77777777" w:rsidR="00AC08C5" w:rsidRDefault="00AC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6ED12" w14:textId="77777777" w:rsidR="00AC08C5" w:rsidRDefault="00AC08C5">
      <w:r>
        <w:separator/>
      </w:r>
    </w:p>
  </w:footnote>
  <w:footnote w:type="continuationSeparator" w:id="0">
    <w:p w14:paraId="1857A5FB" w14:textId="77777777" w:rsidR="00AC08C5" w:rsidRDefault="00AC0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BD944" w14:textId="77777777" w:rsidR="00AE0BC4" w:rsidRDefault="00AE0BC4" w:rsidP="0034565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7AEDEE" w14:textId="77777777" w:rsidR="00AE0BC4" w:rsidRDefault="00AE0BC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EFAE4" w14:textId="7C726457" w:rsidR="00AE0BC4" w:rsidRDefault="00AE0BC4" w:rsidP="0034565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50F88">
      <w:rPr>
        <w:rStyle w:val="Puslapionumeris"/>
        <w:noProof/>
      </w:rPr>
      <w:t>3</w:t>
    </w:r>
    <w:r>
      <w:rPr>
        <w:rStyle w:val="Puslapionumeris"/>
      </w:rPr>
      <w:fldChar w:fldCharType="end"/>
    </w:r>
  </w:p>
  <w:p w14:paraId="754BC222" w14:textId="77777777" w:rsidR="00AE0BC4" w:rsidRDefault="00AE0B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96F1C73"/>
    <w:multiLevelType w:val="hybridMultilevel"/>
    <w:tmpl w:val="612EB668"/>
    <w:lvl w:ilvl="0" w:tplc="3D4043EC">
      <w:start w:val="1"/>
      <w:numFmt w:val="decimal"/>
      <w:lvlText w:val="%1."/>
      <w:lvlJc w:val="left"/>
      <w:pPr>
        <w:tabs>
          <w:tab w:val="num" w:pos="375"/>
        </w:tabs>
        <w:ind w:left="375" w:hanging="375"/>
      </w:pPr>
      <w:rPr>
        <w:rFonts w:ascii="Times New Roman" w:eastAsia="Times New Roman" w:hAnsi="Times New Roman" w:cs="Times New Roman"/>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16556C9F"/>
    <w:multiLevelType w:val="hybridMultilevel"/>
    <w:tmpl w:val="F2707618"/>
    <w:lvl w:ilvl="0" w:tplc="197860E8">
      <w:start w:val="1"/>
      <w:numFmt w:val="decimal"/>
      <w:lvlText w:val="%1."/>
      <w:lvlJc w:val="left"/>
      <w:pPr>
        <w:ind w:left="1211" w:hanging="360"/>
      </w:pPr>
      <w:rPr>
        <w:rFonts w:ascii="Times New Roman" w:eastAsia="Times New Roman"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BD004BC"/>
    <w:multiLevelType w:val="hybridMultilevel"/>
    <w:tmpl w:val="4A96A9D8"/>
    <w:lvl w:ilvl="0" w:tplc="01705C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4A14CFE"/>
    <w:multiLevelType w:val="hybridMultilevel"/>
    <w:tmpl w:val="AAF4BCD6"/>
    <w:lvl w:ilvl="0" w:tplc="5D001C44">
      <w:start w:val="1"/>
      <w:numFmt w:val="decimal"/>
      <w:lvlText w:val="%1."/>
      <w:lvlJc w:val="left"/>
      <w:pPr>
        <w:tabs>
          <w:tab w:val="num" w:pos="425"/>
        </w:tabs>
        <w:ind w:left="425" w:hanging="360"/>
      </w:pPr>
      <w:rPr>
        <w:rFonts w:hint="default"/>
      </w:rPr>
    </w:lvl>
    <w:lvl w:ilvl="1" w:tplc="04270019" w:tentative="1">
      <w:start w:val="1"/>
      <w:numFmt w:val="lowerLetter"/>
      <w:lvlText w:val="%2."/>
      <w:lvlJc w:val="left"/>
      <w:pPr>
        <w:tabs>
          <w:tab w:val="num" w:pos="1145"/>
        </w:tabs>
        <w:ind w:left="1145" w:hanging="360"/>
      </w:pPr>
    </w:lvl>
    <w:lvl w:ilvl="2" w:tplc="0427001B" w:tentative="1">
      <w:start w:val="1"/>
      <w:numFmt w:val="lowerRoman"/>
      <w:lvlText w:val="%3."/>
      <w:lvlJc w:val="right"/>
      <w:pPr>
        <w:tabs>
          <w:tab w:val="num" w:pos="1865"/>
        </w:tabs>
        <w:ind w:left="1865" w:hanging="180"/>
      </w:pPr>
    </w:lvl>
    <w:lvl w:ilvl="3" w:tplc="0427000F" w:tentative="1">
      <w:start w:val="1"/>
      <w:numFmt w:val="decimal"/>
      <w:lvlText w:val="%4."/>
      <w:lvlJc w:val="left"/>
      <w:pPr>
        <w:tabs>
          <w:tab w:val="num" w:pos="2585"/>
        </w:tabs>
        <w:ind w:left="2585" w:hanging="360"/>
      </w:pPr>
    </w:lvl>
    <w:lvl w:ilvl="4" w:tplc="04270019" w:tentative="1">
      <w:start w:val="1"/>
      <w:numFmt w:val="lowerLetter"/>
      <w:lvlText w:val="%5."/>
      <w:lvlJc w:val="left"/>
      <w:pPr>
        <w:tabs>
          <w:tab w:val="num" w:pos="3305"/>
        </w:tabs>
        <w:ind w:left="3305" w:hanging="360"/>
      </w:pPr>
    </w:lvl>
    <w:lvl w:ilvl="5" w:tplc="0427001B" w:tentative="1">
      <w:start w:val="1"/>
      <w:numFmt w:val="lowerRoman"/>
      <w:lvlText w:val="%6."/>
      <w:lvlJc w:val="right"/>
      <w:pPr>
        <w:tabs>
          <w:tab w:val="num" w:pos="4025"/>
        </w:tabs>
        <w:ind w:left="4025" w:hanging="180"/>
      </w:pPr>
    </w:lvl>
    <w:lvl w:ilvl="6" w:tplc="0427000F" w:tentative="1">
      <w:start w:val="1"/>
      <w:numFmt w:val="decimal"/>
      <w:lvlText w:val="%7."/>
      <w:lvlJc w:val="left"/>
      <w:pPr>
        <w:tabs>
          <w:tab w:val="num" w:pos="4745"/>
        </w:tabs>
        <w:ind w:left="4745" w:hanging="360"/>
      </w:pPr>
    </w:lvl>
    <w:lvl w:ilvl="7" w:tplc="04270019" w:tentative="1">
      <w:start w:val="1"/>
      <w:numFmt w:val="lowerLetter"/>
      <w:lvlText w:val="%8."/>
      <w:lvlJc w:val="left"/>
      <w:pPr>
        <w:tabs>
          <w:tab w:val="num" w:pos="5465"/>
        </w:tabs>
        <w:ind w:left="5465" w:hanging="360"/>
      </w:pPr>
    </w:lvl>
    <w:lvl w:ilvl="8" w:tplc="0427001B" w:tentative="1">
      <w:start w:val="1"/>
      <w:numFmt w:val="lowerRoman"/>
      <w:lvlText w:val="%9."/>
      <w:lvlJc w:val="right"/>
      <w:pPr>
        <w:tabs>
          <w:tab w:val="num" w:pos="6185"/>
        </w:tabs>
        <w:ind w:left="6185" w:hanging="180"/>
      </w:pPr>
    </w:lvl>
  </w:abstractNum>
  <w:abstractNum w:abstractNumId="4" w15:restartNumberingAfterBreak="0">
    <w:nsid w:val="3E074CD4"/>
    <w:multiLevelType w:val="hybridMultilevel"/>
    <w:tmpl w:val="2690D442"/>
    <w:lvl w:ilvl="0" w:tplc="B792EAE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6B030F"/>
    <w:multiLevelType w:val="multilevel"/>
    <w:tmpl w:val="21C0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A08EC"/>
    <w:multiLevelType w:val="hybridMultilevel"/>
    <w:tmpl w:val="BF7A3314"/>
    <w:lvl w:ilvl="0" w:tplc="CC9C30EC">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50D330E"/>
    <w:multiLevelType w:val="hybridMultilevel"/>
    <w:tmpl w:val="FF10AE0E"/>
    <w:lvl w:ilvl="0" w:tplc="68A030BC">
      <w:start w:val="1"/>
      <w:numFmt w:val="decimal"/>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7E6C49D0"/>
    <w:multiLevelType w:val="hybridMultilevel"/>
    <w:tmpl w:val="4DBEFC50"/>
    <w:lvl w:ilvl="0" w:tplc="1C00B47C">
      <w:start w:val="1"/>
      <w:numFmt w:val="decimal"/>
      <w:lvlText w:val="%1."/>
      <w:lvlJc w:val="left"/>
      <w:pPr>
        <w:tabs>
          <w:tab w:val="num" w:pos="735"/>
        </w:tabs>
        <w:ind w:left="735" w:hanging="375"/>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3"/>
  </w:num>
  <w:num w:numId="4">
    <w:abstractNumId w:val="7"/>
  </w:num>
  <w:num w:numId="5">
    <w:abstractNumId w:val="5"/>
  </w:num>
  <w:num w:numId="6">
    <w:abstractNumId w:val="6"/>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2F"/>
    <w:rsid w:val="00015322"/>
    <w:rsid w:val="00022E6A"/>
    <w:rsid w:val="0002423E"/>
    <w:rsid w:val="00031D69"/>
    <w:rsid w:val="0003777D"/>
    <w:rsid w:val="00052ABB"/>
    <w:rsid w:val="00054CAA"/>
    <w:rsid w:val="000561F0"/>
    <w:rsid w:val="00062308"/>
    <w:rsid w:val="0006478D"/>
    <w:rsid w:val="0007115A"/>
    <w:rsid w:val="00071BA0"/>
    <w:rsid w:val="00076AD7"/>
    <w:rsid w:val="00077128"/>
    <w:rsid w:val="000A2BC2"/>
    <w:rsid w:val="000A7D6F"/>
    <w:rsid w:val="000B70AC"/>
    <w:rsid w:val="000C1F99"/>
    <w:rsid w:val="000C7C0B"/>
    <w:rsid w:val="000D3377"/>
    <w:rsid w:val="000D4AA9"/>
    <w:rsid w:val="000E571A"/>
    <w:rsid w:val="000E6881"/>
    <w:rsid w:val="000F6A21"/>
    <w:rsid w:val="00100858"/>
    <w:rsid w:val="00110F58"/>
    <w:rsid w:val="001122D4"/>
    <w:rsid w:val="001215C6"/>
    <w:rsid w:val="00124F3A"/>
    <w:rsid w:val="00126B37"/>
    <w:rsid w:val="001377D4"/>
    <w:rsid w:val="0015511F"/>
    <w:rsid w:val="00160ABF"/>
    <w:rsid w:val="00160DFF"/>
    <w:rsid w:val="00167120"/>
    <w:rsid w:val="00172BFC"/>
    <w:rsid w:val="001974EF"/>
    <w:rsid w:val="001C2005"/>
    <w:rsid w:val="001D4754"/>
    <w:rsid w:val="001D5477"/>
    <w:rsid w:val="001D67DB"/>
    <w:rsid w:val="00212B6A"/>
    <w:rsid w:val="0021690C"/>
    <w:rsid w:val="002233BC"/>
    <w:rsid w:val="00241B71"/>
    <w:rsid w:val="00247A23"/>
    <w:rsid w:val="00253B50"/>
    <w:rsid w:val="0025737C"/>
    <w:rsid w:val="0026371C"/>
    <w:rsid w:val="002764AF"/>
    <w:rsid w:val="002947BE"/>
    <w:rsid w:val="00296110"/>
    <w:rsid w:val="00296E32"/>
    <w:rsid w:val="002B2DAC"/>
    <w:rsid w:val="002C0348"/>
    <w:rsid w:val="002E33F1"/>
    <w:rsid w:val="002F43F0"/>
    <w:rsid w:val="002F7098"/>
    <w:rsid w:val="00301AD8"/>
    <w:rsid w:val="003051C6"/>
    <w:rsid w:val="003200F7"/>
    <w:rsid w:val="00336A30"/>
    <w:rsid w:val="0033768A"/>
    <w:rsid w:val="00342508"/>
    <w:rsid w:val="00342A0F"/>
    <w:rsid w:val="0034565B"/>
    <w:rsid w:val="0034697D"/>
    <w:rsid w:val="003522C5"/>
    <w:rsid w:val="0035439C"/>
    <w:rsid w:val="003559C0"/>
    <w:rsid w:val="00356A2F"/>
    <w:rsid w:val="00374FC2"/>
    <w:rsid w:val="0037566E"/>
    <w:rsid w:val="00377122"/>
    <w:rsid w:val="003828E5"/>
    <w:rsid w:val="003A021D"/>
    <w:rsid w:val="003A4CA2"/>
    <w:rsid w:val="003B1CEB"/>
    <w:rsid w:val="003B30CA"/>
    <w:rsid w:val="003C6D3E"/>
    <w:rsid w:val="003C7220"/>
    <w:rsid w:val="003D3854"/>
    <w:rsid w:val="003E40FE"/>
    <w:rsid w:val="003E7171"/>
    <w:rsid w:val="003F7FD9"/>
    <w:rsid w:val="00401097"/>
    <w:rsid w:val="00402FF6"/>
    <w:rsid w:val="004047BB"/>
    <w:rsid w:val="00405D31"/>
    <w:rsid w:val="00417287"/>
    <w:rsid w:val="004213E1"/>
    <w:rsid w:val="00430890"/>
    <w:rsid w:val="0043173C"/>
    <w:rsid w:val="0043445D"/>
    <w:rsid w:val="00440788"/>
    <w:rsid w:val="004523B9"/>
    <w:rsid w:val="0046200D"/>
    <w:rsid w:val="00473141"/>
    <w:rsid w:val="0047328D"/>
    <w:rsid w:val="00477DC4"/>
    <w:rsid w:val="004816BC"/>
    <w:rsid w:val="0049209E"/>
    <w:rsid w:val="004977C0"/>
    <w:rsid w:val="004A21D2"/>
    <w:rsid w:val="004A76BC"/>
    <w:rsid w:val="004B35F2"/>
    <w:rsid w:val="004B6BD5"/>
    <w:rsid w:val="004C35C5"/>
    <w:rsid w:val="004C5FF9"/>
    <w:rsid w:val="004C7B56"/>
    <w:rsid w:val="004D6AB6"/>
    <w:rsid w:val="004D7632"/>
    <w:rsid w:val="004F65B7"/>
    <w:rsid w:val="005147AB"/>
    <w:rsid w:val="00516A51"/>
    <w:rsid w:val="00520FAE"/>
    <w:rsid w:val="00554F06"/>
    <w:rsid w:val="00577B47"/>
    <w:rsid w:val="00583443"/>
    <w:rsid w:val="00586B8D"/>
    <w:rsid w:val="005A230C"/>
    <w:rsid w:val="005A301C"/>
    <w:rsid w:val="005B3DFF"/>
    <w:rsid w:val="005B7632"/>
    <w:rsid w:val="005C0996"/>
    <w:rsid w:val="005C7EEF"/>
    <w:rsid w:val="005E0363"/>
    <w:rsid w:val="005E0F6F"/>
    <w:rsid w:val="005E7187"/>
    <w:rsid w:val="005F1656"/>
    <w:rsid w:val="006001F5"/>
    <w:rsid w:val="00612352"/>
    <w:rsid w:val="00617030"/>
    <w:rsid w:val="00622857"/>
    <w:rsid w:val="00623984"/>
    <w:rsid w:val="00656601"/>
    <w:rsid w:val="00657855"/>
    <w:rsid w:val="00660D66"/>
    <w:rsid w:val="006831C3"/>
    <w:rsid w:val="006900FF"/>
    <w:rsid w:val="00697F28"/>
    <w:rsid w:val="006C67DA"/>
    <w:rsid w:val="006D3365"/>
    <w:rsid w:val="006E265A"/>
    <w:rsid w:val="00713E2B"/>
    <w:rsid w:val="007160F9"/>
    <w:rsid w:val="00735BB5"/>
    <w:rsid w:val="007373A3"/>
    <w:rsid w:val="00741731"/>
    <w:rsid w:val="00750827"/>
    <w:rsid w:val="0076448D"/>
    <w:rsid w:val="00765E05"/>
    <w:rsid w:val="00776A32"/>
    <w:rsid w:val="00786B2B"/>
    <w:rsid w:val="00790098"/>
    <w:rsid w:val="00793A0F"/>
    <w:rsid w:val="00793EA2"/>
    <w:rsid w:val="007A4DF2"/>
    <w:rsid w:val="007B3DD7"/>
    <w:rsid w:val="007C71CE"/>
    <w:rsid w:val="007D31E2"/>
    <w:rsid w:val="007F6174"/>
    <w:rsid w:val="00821A4D"/>
    <w:rsid w:val="00822B0C"/>
    <w:rsid w:val="008323C4"/>
    <w:rsid w:val="00834711"/>
    <w:rsid w:val="008408BC"/>
    <w:rsid w:val="008410E8"/>
    <w:rsid w:val="00842589"/>
    <w:rsid w:val="008429F8"/>
    <w:rsid w:val="00852CED"/>
    <w:rsid w:val="00861E91"/>
    <w:rsid w:val="00867186"/>
    <w:rsid w:val="0087799E"/>
    <w:rsid w:val="008829EC"/>
    <w:rsid w:val="0088397E"/>
    <w:rsid w:val="00887CFE"/>
    <w:rsid w:val="00890F26"/>
    <w:rsid w:val="008948BC"/>
    <w:rsid w:val="0089733D"/>
    <w:rsid w:val="0089741F"/>
    <w:rsid w:val="008977BC"/>
    <w:rsid w:val="008A3BCF"/>
    <w:rsid w:val="008B3AE1"/>
    <w:rsid w:val="008B3BD8"/>
    <w:rsid w:val="008B5917"/>
    <w:rsid w:val="008C08FE"/>
    <w:rsid w:val="008D397A"/>
    <w:rsid w:val="008D3EFB"/>
    <w:rsid w:val="008D61F2"/>
    <w:rsid w:val="008D6B9C"/>
    <w:rsid w:val="008D78EE"/>
    <w:rsid w:val="008E09B6"/>
    <w:rsid w:val="008E4DCE"/>
    <w:rsid w:val="008E5D34"/>
    <w:rsid w:val="008F10FF"/>
    <w:rsid w:val="008F2880"/>
    <w:rsid w:val="008F4679"/>
    <w:rsid w:val="008F5B90"/>
    <w:rsid w:val="008F7917"/>
    <w:rsid w:val="0090278D"/>
    <w:rsid w:val="00910E6F"/>
    <w:rsid w:val="00912CA6"/>
    <w:rsid w:val="00923642"/>
    <w:rsid w:val="00934C5B"/>
    <w:rsid w:val="00937408"/>
    <w:rsid w:val="009450F4"/>
    <w:rsid w:val="00954124"/>
    <w:rsid w:val="00960059"/>
    <w:rsid w:val="00963EC8"/>
    <w:rsid w:val="00975311"/>
    <w:rsid w:val="0098256B"/>
    <w:rsid w:val="00983786"/>
    <w:rsid w:val="00983CE0"/>
    <w:rsid w:val="009B3C76"/>
    <w:rsid w:val="009B63B2"/>
    <w:rsid w:val="009C3097"/>
    <w:rsid w:val="009C67EF"/>
    <w:rsid w:val="009C6DF0"/>
    <w:rsid w:val="009D2A25"/>
    <w:rsid w:val="009D608F"/>
    <w:rsid w:val="009E1BE4"/>
    <w:rsid w:val="009E3752"/>
    <w:rsid w:val="009E3911"/>
    <w:rsid w:val="009E73F7"/>
    <w:rsid w:val="009F59B5"/>
    <w:rsid w:val="00A02815"/>
    <w:rsid w:val="00A1173A"/>
    <w:rsid w:val="00A13E71"/>
    <w:rsid w:val="00A16F31"/>
    <w:rsid w:val="00A30F04"/>
    <w:rsid w:val="00A31B29"/>
    <w:rsid w:val="00A4165A"/>
    <w:rsid w:val="00A41E69"/>
    <w:rsid w:val="00A50397"/>
    <w:rsid w:val="00A561E8"/>
    <w:rsid w:val="00A62D62"/>
    <w:rsid w:val="00A643CE"/>
    <w:rsid w:val="00A66EA4"/>
    <w:rsid w:val="00A7238E"/>
    <w:rsid w:val="00A75215"/>
    <w:rsid w:val="00A76DAA"/>
    <w:rsid w:val="00A84F94"/>
    <w:rsid w:val="00A962E7"/>
    <w:rsid w:val="00A9789B"/>
    <w:rsid w:val="00AB0388"/>
    <w:rsid w:val="00AB36DD"/>
    <w:rsid w:val="00AC08C5"/>
    <w:rsid w:val="00AC60CB"/>
    <w:rsid w:val="00AC7E8C"/>
    <w:rsid w:val="00AE0BC4"/>
    <w:rsid w:val="00AE54F0"/>
    <w:rsid w:val="00B02E37"/>
    <w:rsid w:val="00B047D0"/>
    <w:rsid w:val="00B15C82"/>
    <w:rsid w:val="00B31215"/>
    <w:rsid w:val="00B3317A"/>
    <w:rsid w:val="00B45518"/>
    <w:rsid w:val="00B551E0"/>
    <w:rsid w:val="00B6107B"/>
    <w:rsid w:val="00B62C59"/>
    <w:rsid w:val="00B76052"/>
    <w:rsid w:val="00B97E53"/>
    <w:rsid w:val="00BA03E1"/>
    <w:rsid w:val="00BA2186"/>
    <w:rsid w:val="00BA7A43"/>
    <w:rsid w:val="00BD711A"/>
    <w:rsid w:val="00BF2B40"/>
    <w:rsid w:val="00C03CFF"/>
    <w:rsid w:val="00C05EC8"/>
    <w:rsid w:val="00C07886"/>
    <w:rsid w:val="00C27CD3"/>
    <w:rsid w:val="00C31C49"/>
    <w:rsid w:val="00C322EB"/>
    <w:rsid w:val="00C37689"/>
    <w:rsid w:val="00C40960"/>
    <w:rsid w:val="00C50164"/>
    <w:rsid w:val="00C50F88"/>
    <w:rsid w:val="00C54549"/>
    <w:rsid w:val="00C56D01"/>
    <w:rsid w:val="00C57DA2"/>
    <w:rsid w:val="00C609BE"/>
    <w:rsid w:val="00C73C16"/>
    <w:rsid w:val="00C8125A"/>
    <w:rsid w:val="00C82225"/>
    <w:rsid w:val="00C8496B"/>
    <w:rsid w:val="00C875D1"/>
    <w:rsid w:val="00C901F0"/>
    <w:rsid w:val="00CC1450"/>
    <w:rsid w:val="00CF62D6"/>
    <w:rsid w:val="00D208F9"/>
    <w:rsid w:val="00D22510"/>
    <w:rsid w:val="00D33FEC"/>
    <w:rsid w:val="00D357FC"/>
    <w:rsid w:val="00D43515"/>
    <w:rsid w:val="00D56557"/>
    <w:rsid w:val="00D56719"/>
    <w:rsid w:val="00D71F81"/>
    <w:rsid w:val="00D8428E"/>
    <w:rsid w:val="00D93930"/>
    <w:rsid w:val="00DA00CA"/>
    <w:rsid w:val="00DA2B80"/>
    <w:rsid w:val="00DB3123"/>
    <w:rsid w:val="00DC4C2E"/>
    <w:rsid w:val="00DD5618"/>
    <w:rsid w:val="00DF4FBA"/>
    <w:rsid w:val="00DF5DB1"/>
    <w:rsid w:val="00E02B5F"/>
    <w:rsid w:val="00E058D1"/>
    <w:rsid w:val="00E07694"/>
    <w:rsid w:val="00E213AF"/>
    <w:rsid w:val="00E37600"/>
    <w:rsid w:val="00E45BF2"/>
    <w:rsid w:val="00E54972"/>
    <w:rsid w:val="00E57BEF"/>
    <w:rsid w:val="00E71886"/>
    <w:rsid w:val="00E86CD9"/>
    <w:rsid w:val="00E92F19"/>
    <w:rsid w:val="00E93E63"/>
    <w:rsid w:val="00EA201D"/>
    <w:rsid w:val="00EB3751"/>
    <w:rsid w:val="00EB392F"/>
    <w:rsid w:val="00EB7CEA"/>
    <w:rsid w:val="00EC10AE"/>
    <w:rsid w:val="00EC198E"/>
    <w:rsid w:val="00ED59EB"/>
    <w:rsid w:val="00EE5005"/>
    <w:rsid w:val="00EF3734"/>
    <w:rsid w:val="00EF6FB0"/>
    <w:rsid w:val="00F0397B"/>
    <w:rsid w:val="00F139D2"/>
    <w:rsid w:val="00F17EA1"/>
    <w:rsid w:val="00F23063"/>
    <w:rsid w:val="00F2719D"/>
    <w:rsid w:val="00F307AD"/>
    <w:rsid w:val="00F46E2C"/>
    <w:rsid w:val="00F6241D"/>
    <w:rsid w:val="00F67127"/>
    <w:rsid w:val="00F74236"/>
    <w:rsid w:val="00F80C82"/>
    <w:rsid w:val="00F905BB"/>
    <w:rsid w:val="00FA28DF"/>
    <w:rsid w:val="00FA4462"/>
    <w:rsid w:val="00FB018C"/>
    <w:rsid w:val="00FC11B8"/>
    <w:rsid w:val="00FC3C37"/>
    <w:rsid w:val="00FD51CB"/>
    <w:rsid w:val="00FE2287"/>
    <w:rsid w:val="00FE6434"/>
    <w:rsid w:val="00FF5522"/>
    <w:rsid w:val="00FF5B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9BA13"/>
  <w15:docId w15:val="{E6681D61-AC97-4025-8B1E-377A9D06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56A2F"/>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356A2F"/>
    <w:pPr>
      <w:jc w:val="center"/>
    </w:pPr>
    <w:rPr>
      <w:sz w:val="24"/>
      <w:szCs w:val="24"/>
      <w:lang w:val="lt-LT"/>
    </w:rPr>
  </w:style>
  <w:style w:type="paragraph" w:styleId="Antrats">
    <w:name w:val="header"/>
    <w:basedOn w:val="prastasis"/>
    <w:rsid w:val="00356A2F"/>
    <w:pPr>
      <w:tabs>
        <w:tab w:val="center" w:pos="4153"/>
        <w:tab w:val="right" w:pos="8306"/>
      </w:tabs>
    </w:pPr>
    <w:rPr>
      <w:sz w:val="24"/>
      <w:szCs w:val="24"/>
      <w:lang w:val="lt-LT"/>
    </w:rPr>
  </w:style>
  <w:style w:type="character" w:styleId="Puslapionumeris">
    <w:name w:val="page number"/>
    <w:basedOn w:val="Numatytasispastraiposriftas"/>
    <w:rsid w:val="00356A2F"/>
  </w:style>
  <w:style w:type="table" w:styleId="Lentelstinklelis">
    <w:name w:val="Table Grid"/>
    <w:basedOn w:val="prastojilentel"/>
    <w:uiPriority w:val="39"/>
    <w:rsid w:val="00356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rsid w:val="00A41E69"/>
    <w:pPr>
      <w:spacing w:before="100" w:beforeAutospacing="1" w:after="100" w:afterAutospacing="1"/>
    </w:pPr>
    <w:rPr>
      <w:sz w:val="24"/>
      <w:szCs w:val="24"/>
      <w:lang w:val="lt-LT"/>
    </w:rPr>
  </w:style>
  <w:style w:type="paragraph" w:styleId="Debesliotekstas">
    <w:name w:val="Balloon Text"/>
    <w:basedOn w:val="prastasis"/>
    <w:semiHidden/>
    <w:rsid w:val="00A41E69"/>
    <w:rPr>
      <w:rFonts w:ascii="Tahoma" w:hAnsi="Tahoma" w:cs="Tahoma"/>
      <w:sz w:val="16"/>
      <w:szCs w:val="16"/>
    </w:rPr>
  </w:style>
  <w:style w:type="character" w:customStyle="1" w:styleId="CharStyle16">
    <w:name w:val="Char Style 16"/>
    <w:link w:val="Style15"/>
    <w:uiPriority w:val="99"/>
    <w:rsid w:val="009E73F7"/>
    <w:rPr>
      <w:sz w:val="21"/>
      <w:szCs w:val="21"/>
      <w:shd w:val="clear" w:color="auto" w:fill="FFFFFF"/>
    </w:rPr>
  </w:style>
  <w:style w:type="paragraph" w:customStyle="1" w:styleId="Style15">
    <w:name w:val="Style 15"/>
    <w:basedOn w:val="prastasis"/>
    <w:link w:val="CharStyle16"/>
    <w:uiPriority w:val="99"/>
    <w:rsid w:val="009E73F7"/>
    <w:pPr>
      <w:widowControl w:val="0"/>
      <w:shd w:val="clear" w:color="auto" w:fill="FFFFFF"/>
      <w:spacing w:before="540" w:line="259" w:lineRule="exact"/>
      <w:ind w:hanging="260"/>
      <w:jc w:val="both"/>
    </w:pPr>
    <w:rPr>
      <w:sz w:val="21"/>
      <w:szCs w:val="21"/>
      <w:lang w:val="lt-LT"/>
    </w:rPr>
  </w:style>
  <w:style w:type="character" w:styleId="Emfaz">
    <w:name w:val="Emphasis"/>
    <w:uiPriority w:val="20"/>
    <w:qFormat/>
    <w:rsid w:val="004A76BC"/>
    <w:rPr>
      <w:i/>
      <w:iCs/>
    </w:rPr>
  </w:style>
  <w:style w:type="paragraph" w:styleId="prastasiniatinklio">
    <w:name w:val="Normal (Web)"/>
    <w:basedOn w:val="prastasis"/>
    <w:uiPriority w:val="99"/>
    <w:unhideWhenUsed/>
    <w:rsid w:val="00FB018C"/>
    <w:pPr>
      <w:spacing w:before="100" w:beforeAutospacing="1" w:after="100" w:afterAutospacing="1"/>
    </w:pPr>
    <w:rPr>
      <w:sz w:val="24"/>
      <w:szCs w:val="24"/>
      <w:lang w:val="lt-LT"/>
    </w:rPr>
  </w:style>
  <w:style w:type="character" w:styleId="Grietas">
    <w:name w:val="Strong"/>
    <w:uiPriority w:val="22"/>
    <w:qFormat/>
    <w:rsid w:val="00FB018C"/>
    <w:rPr>
      <w:b/>
      <w:bCs/>
    </w:rPr>
  </w:style>
  <w:style w:type="paragraph" w:styleId="Puslapioinaostekstas">
    <w:name w:val="footnote text"/>
    <w:basedOn w:val="prastasis"/>
    <w:link w:val="PuslapioinaostekstasDiagrama"/>
    <w:uiPriority w:val="99"/>
    <w:semiHidden/>
    <w:unhideWhenUsed/>
    <w:rsid w:val="0037566E"/>
    <w:rPr>
      <w:lang w:val="en-US" w:eastAsia="en-US"/>
    </w:rPr>
  </w:style>
  <w:style w:type="character" w:customStyle="1" w:styleId="PuslapioinaostekstasDiagrama">
    <w:name w:val="Puslapio išnašos tekstas Diagrama"/>
    <w:link w:val="Puslapioinaostekstas"/>
    <w:uiPriority w:val="99"/>
    <w:semiHidden/>
    <w:rsid w:val="0037566E"/>
    <w:rPr>
      <w:lang w:val="en-US" w:eastAsia="en-US"/>
    </w:rPr>
  </w:style>
  <w:style w:type="character" w:styleId="Puslapioinaosnuoroda">
    <w:name w:val="footnote reference"/>
    <w:uiPriority w:val="99"/>
    <w:semiHidden/>
    <w:unhideWhenUsed/>
    <w:rsid w:val="0037566E"/>
    <w:rPr>
      <w:vertAlign w:val="superscript"/>
    </w:rPr>
  </w:style>
  <w:style w:type="character" w:styleId="Komentaronuoroda">
    <w:name w:val="annotation reference"/>
    <w:semiHidden/>
    <w:unhideWhenUsed/>
    <w:rsid w:val="0037566E"/>
    <w:rPr>
      <w:sz w:val="16"/>
      <w:szCs w:val="16"/>
    </w:rPr>
  </w:style>
  <w:style w:type="paragraph" w:styleId="Komentarotekstas">
    <w:name w:val="annotation text"/>
    <w:basedOn w:val="prastasis"/>
    <w:link w:val="KomentarotekstasDiagrama"/>
    <w:semiHidden/>
    <w:unhideWhenUsed/>
    <w:rsid w:val="0037566E"/>
    <w:rPr>
      <w:lang w:val="en-US" w:eastAsia="en-US"/>
    </w:rPr>
  </w:style>
  <w:style w:type="character" w:customStyle="1" w:styleId="KomentarotekstasDiagrama">
    <w:name w:val="Komentaro tekstas Diagrama"/>
    <w:link w:val="Komentarotekstas"/>
    <w:uiPriority w:val="99"/>
    <w:semiHidden/>
    <w:rsid w:val="0037566E"/>
    <w:rPr>
      <w:lang w:val="en-US" w:eastAsia="en-US"/>
    </w:rPr>
  </w:style>
  <w:style w:type="paragraph" w:styleId="Sraopastraipa">
    <w:name w:val="List Paragraph"/>
    <w:basedOn w:val="prastasis"/>
    <w:uiPriority w:val="34"/>
    <w:qFormat/>
    <w:rsid w:val="005E0363"/>
    <w:pPr>
      <w:ind w:left="720"/>
      <w:contextualSpacing/>
    </w:pPr>
    <w:rPr>
      <w:sz w:val="24"/>
      <w:szCs w:val="24"/>
      <w:lang w:val="en-US" w:eastAsia="en-US"/>
    </w:rPr>
  </w:style>
  <w:style w:type="paragraph" w:styleId="Pagrindiniotekstotrauka">
    <w:name w:val="Body Text Indent"/>
    <w:basedOn w:val="prastasis"/>
    <w:link w:val="PagrindiniotekstotraukaDiagrama"/>
    <w:uiPriority w:val="99"/>
    <w:unhideWhenUsed/>
    <w:rsid w:val="00960059"/>
    <w:pPr>
      <w:spacing w:after="120"/>
      <w:ind w:left="283"/>
    </w:pPr>
  </w:style>
  <w:style w:type="character" w:customStyle="1" w:styleId="PagrindiniotekstotraukaDiagrama">
    <w:name w:val="Pagrindinio teksto įtrauka Diagrama"/>
    <w:link w:val="Pagrindiniotekstotrauka"/>
    <w:uiPriority w:val="99"/>
    <w:rsid w:val="00960059"/>
    <w:rPr>
      <w:lang w:val="en-GB"/>
    </w:rPr>
  </w:style>
  <w:style w:type="paragraph" w:styleId="Pagrindinistekstas">
    <w:name w:val="Body Text"/>
    <w:basedOn w:val="prastasis"/>
    <w:link w:val="PagrindinistekstasDiagrama"/>
    <w:uiPriority w:val="99"/>
    <w:unhideWhenUsed/>
    <w:rsid w:val="00960059"/>
    <w:pPr>
      <w:spacing w:after="120"/>
    </w:pPr>
  </w:style>
  <w:style w:type="character" w:customStyle="1" w:styleId="PagrindinistekstasDiagrama">
    <w:name w:val="Pagrindinis tekstas Diagrama"/>
    <w:link w:val="Pagrindinistekstas"/>
    <w:uiPriority w:val="99"/>
    <w:rsid w:val="00960059"/>
    <w:rPr>
      <w:lang w:val="en-GB"/>
    </w:rPr>
  </w:style>
  <w:style w:type="character" w:customStyle="1" w:styleId="st">
    <w:name w:val="st"/>
    <w:basedOn w:val="Numatytasispastraiposriftas"/>
    <w:rsid w:val="008B3BD8"/>
  </w:style>
  <w:style w:type="paragraph" w:styleId="Komentarotema">
    <w:name w:val="annotation subject"/>
    <w:basedOn w:val="Komentarotekstas"/>
    <w:next w:val="Komentarotekstas"/>
    <w:link w:val="KomentarotemaDiagrama"/>
    <w:uiPriority w:val="99"/>
    <w:semiHidden/>
    <w:unhideWhenUsed/>
    <w:rsid w:val="00912CA6"/>
    <w:rPr>
      <w:b/>
      <w:bCs/>
      <w:lang w:val="en-GB" w:eastAsia="lt-LT"/>
    </w:rPr>
  </w:style>
  <w:style w:type="character" w:customStyle="1" w:styleId="KomentarotemaDiagrama">
    <w:name w:val="Komentaro tema Diagrama"/>
    <w:basedOn w:val="KomentarotekstasDiagrama"/>
    <w:link w:val="Komentarotema"/>
    <w:uiPriority w:val="99"/>
    <w:semiHidden/>
    <w:rsid w:val="00912CA6"/>
    <w:rPr>
      <w:b/>
      <w:bCs/>
      <w:lang w:val="en-GB" w:eastAsia="en-US"/>
    </w:rPr>
  </w:style>
  <w:style w:type="paragraph" w:styleId="Pataisymai">
    <w:name w:val="Revision"/>
    <w:hidden/>
    <w:uiPriority w:val="99"/>
    <w:semiHidden/>
    <w:rsid w:val="00A62D6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6746">
      <w:bodyDiv w:val="1"/>
      <w:marLeft w:val="0"/>
      <w:marRight w:val="0"/>
      <w:marTop w:val="0"/>
      <w:marBottom w:val="0"/>
      <w:divBdr>
        <w:top w:val="none" w:sz="0" w:space="0" w:color="auto"/>
        <w:left w:val="none" w:sz="0" w:space="0" w:color="auto"/>
        <w:bottom w:val="none" w:sz="0" w:space="0" w:color="auto"/>
        <w:right w:val="none" w:sz="0" w:space="0" w:color="auto"/>
      </w:divBdr>
      <w:divsChild>
        <w:div w:id="1597598574">
          <w:marLeft w:val="0"/>
          <w:marRight w:val="0"/>
          <w:marTop w:val="0"/>
          <w:marBottom w:val="0"/>
          <w:divBdr>
            <w:top w:val="none" w:sz="0" w:space="0" w:color="auto"/>
            <w:left w:val="none" w:sz="0" w:space="0" w:color="auto"/>
            <w:bottom w:val="none" w:sz="0" w:space="0" w:color="auto"/>
            <w:right w:val="none" w:sz="0" w:space="0" w:color="auto"/>
          </w:divBdr>
        </w:div>
      </w:divsChild>
    </w:div>
    <w:div w:id="141850114">
      <w:bodyDiv w:val="1"/>
      <w:marLeft w:val="0"/>
      <w:marRight w:val="0"/>
      <w:marTop w:val="0"/>
      <w:marBottom w:val="0"/>
      <w:divBdr>
        <w:top w:val="none" w:sz="0" w:space="0" w:color="auto"/>
        <w:left w:val="none" w:sz="0" w:space="0" w:color="auto"/>
        <w:bottom w:val="none" w:sz="0" w:space="0" w:color="auto"/>
        <w:right w:val="none" w:sz="0" w:space="0" w:color="auto"/>
      </w:divBdr>
      <w:divsChild>
        <w:div w:id="1433669703">
          <w:marLeft w:val="0"/>
          <w:marRight w:val="0"/>
          <w:marTop w:val="0"/>
          <w:marBottom w:val="0"/>
          <w:divBdr>
            <w:top w:val="none" w:sz="0" w:space="0" w:color="auto"/>
            <w:left w:val="none" w:sz="0" w:space="0" w:color="auto"/>
            <w:bottom w:val="none" w:sz="0" w:space="0" w:color="auto"/>
            <w:right w:val="none" w:sz="0" w:space="0" w:color="auto"/>
          </w:divBdr>
        </w:div>
      </w:divsChild>
    </w:div>
    <w:div w:id="329330221">
      <w:bodyDiv w:val="1"/>
      <w:marLeft w:val="225"/>
      <w:marRight w:val="225"/>
      <w:marTop w:val="0"/>
      <w:marBottom w:val="0"/>
      <w:divBdr>
        <w:top w:val="none" w:sz="0" w:space="0" w:color="auto"/>
        <w:left w:val="none" w:sz="0" w:space="0" w:color="auto"/>
        <w:bottom w:val="none" w:sz="0" w:space="0" w:color="auto"/>
        <w:right w:val="none" w:sz="0" w:space="0" w:color="auto"/>
      </w:divBdr>
      <w:divsChild>
        <w:div w:id="1830170484">
          <w:marLeft w:val="0"/>
          <w:marRight w:val="0"/>
          <w:marTop w:val="0"/>
          <w:marBottom w:val="0"/>
          <w:divBdr>
            <w:top w:val="none" w:sz="0" w:space="0" w:color="auto"/>
            <w:left w:val="none" w:sz="0" w:space="0" w:color="auto"/>
            <w:bottom w:val="none" w:sz="0" w:space="0" w:color="auto"/>
            <w:right w:val="none" w:sz="0" w:space="0" w:color="auto"/>
          </w:divBdr>
        </w:div>
      </w:divsChild>
    </w:div>
    <w:div w:id="362171410">
      <w:bodyDiv w:val="1"/>
      <w:marLeft w:val="0"/>
      <w:marRight w:val="0"/>
      <w:marTop w:val="0"/>
      <w:marBottom w:val="0"/>
      <w:divBdr>
        <w:top w:val="none" w:sz="0" w:space="0" w:color="auto"/>
        <w:left w:val="none" w:sz="0" w:space="0" w:color="auto"/>
        <w:bottom w:val="none" w:sz="0" w:space="0" w:color="auto"/>
        <w:right w:val="none" w:sz="0" w:space="0" w:color="auto"/>
      </w:divBdr>
      <w:divsChild>
        <w:div w:id="1457872740">
          <w:marLeft w:val="0"/>
          <w:marRight w:val="0"/>
          <w:marTop w:val="0"/>
          <w:marBottom w:val="0"/>
          <w:divBdr>
            <w:top w:val="none" w:sz="0" w:space="0" w:color="auto"/>
            <w:left w:val="none" w:sz="0" w:space="0" w:color="auto"/>
            <w:bottom w:val="none" w:sz="0" w:space="0" w:color="auto"/>
            <w:right w:val="none" w:sz="0" w:space="0" w:color="auto"/>
          </w:divBdr>
          <w:divsChild>
            <w:div w:id="1855412469">
              <w:marLeft w:val="0"/>
              <w:marRight w:val="0"/>
              <w:marTop w:val="0"/>
              <w:marBottom w:val="0"/>
              <w:divBdr>
                <w:top w:val="none" w:sz="0" w:space="0" w:color="auto"/>
                <w:left w:val="none" w:sz="0" w:space="0" w:color="auto"/>
                <w:bottom w:val="none" w:sz="0" w:space="0" w:color="auto"/>
                <w:right w:val="none" w:sz="0" w:space="0" w:color="auto"/>
              </w:divBdr>
              <w:divsChild>
                <w:div w:id="324092408">
                  <w:marLeft w:val="0"/>
                  <w:marRight w:val="0"/>
                  <w:marTop w:val="0"/>
                  <w:marBottom w:val="0"/>
                  <w:divBdr>
                    <w:top w:val="none" w:sz="0" w:space="0" w:color="auto"/>
                    <w:left w:val="none" w:sz="0" w:space="0" w:color="auto"/>
                    <w:bottom w:val="none" w:sz="0" w:space="0" w:color="auto"/>
                    <w:right w:val="none" w:sz="0" w:space="0" w:color="auto"/>
                  </w:divBdr>
                  <w:divsChild>
                    <w:div w:id="474226821">
                      <w:marLeft w:val="0"/>
                      <w:marRight w:val="0"/>
                      <w:marTop w:val="0"/>
                      <w:marBottom w:val="0"/>
                      <w:divBdr>
                        <w:top w:val="none" w:sz="0" w:space="0" w:color="auto"/>
                        <w:left w:val="none" w:sz="0" w:space="0" w:color="auto"/>
                        <w:bottom w:val="none" w:sz="0" w:space="0" w:color="auto"/>
                        <w:right w:val="none" w:sz="0" w:space="0" w:color="auto"/>
                      </w:divBdr>
                      <w:divsChild>
                        <w:div w:id="514417857">
                          <w:marLeft w:val="0"/>
                          <w:marRight w:val="0"/>
                          <w:marTop w:val="0"/>
                          <w:marBottom w:val="0"/>
                          <w:divBdr>
                            <w:top w:val="none" w:sz="0" w:space="0" w:color="auto"/>
                            <w:left w:val="none" w:sz="0" w:space="0" w:color="auto"/>
                            <w:bottom w:val="none" w:sz="0" w:space="0" w:color="auto"/>
                            <w:right w:val="none" w:sz="0" w:space="0" w:color="auto"/>
                          </w:divBdr>
                        </w:div>
                        <w:div w:id="1976834791">
                          <w:marLeft w:val="0"/>
                          <w:marRight w:val="0"/>
                          <w:marTop w:val="0"/>
                          <w:marBottom w:val="0"/>
                          <w:divBdr>
                            <w:top w:val="none" w:sz="0" w:space="0" w:color="auto"/>
                            <w:left w:val="none" w:sz="0" w:space="0" w:color="auto"/>
                            <w:bottom w:val="none" w:sz="0" w:space="0" w:color="auto"/>
                            <w:right w:val="none" w:sz="0" w:space="0" w:color="auto"/>
                          </w:divBdr>
                        </w:div>
                      </w:divsChild>
                    </w:div>
                    <w:div w:id="1587030867">
                      <w:marLeft w:val="0"/>
                      <w:marRight w:val="0"/>
                      <w:marTop w:val="0"/>
                      <w:marBottom w:val="0"/>
                      <w:divBdr>
                        <w:top w:val="none" w:sz="0" w:space="0" w:color="auto"/>
                        <w:left w:val="none" w:sz="0" w:space="0" w:color="auto"/>
                        <w:bottom w:val="none" w:sz="0" w:space="0" w:color="auto"/>
                        <w:right w:val="none" w:sz="0" w:space="0" w:color="auto"/>
                      </w:divBdr>
                      <w:divsChild>
                        <w:div w:id="214781670">
                          <w:marLeft w:val="0"/>
                          <w:marRight w:val="0"/>
                          <w:marTop w:val="0"/>
                          <w:marBottom w:val="0"/>
                          <w:divBdr>
                            <w:top w:val="none" w:sz="0" w:space="0" w:color="auto"/>
                            <w:left w:val="none" w:sz="0" w:space="0" w:color="auto"/>
                            <w:bottom w:val="none" w:sz="0" w:space="0" w:color="auto"/>
                            <w:right w:val="none" w:sz="0" w:space="0" w:color="auto"/>
                          </w:divBdr>
                        </w:div>
                        <w:div w:id="2205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72132">
      <w:bodyDiv w:val="1"/>
      <w:marLeft w:val="0"/>
      <w:marRight w:val="0"/>
      <w:marTop w:val="0"/>
      <w:marBottom w:val="0"/>
      <w:divBdr>
        <w:top w:val="none" w:sz="0" w:space="0" w:color="auto"/>
        <w:left w:val="none" w:sz="0" w:space="0" w:color="auto"/>
        <w:bottom w:val="none" w:sz="0" w:space="0" w:color="auto"/>
        <w:right w:val="none" w:sz="0" w:space="0" w:color="auto"/>
      </w:divBdr>
      <w:divsChild>
        <w:div w:id="436407318">
          <w:marLeft w:val="0"/>
          <w:marRight w:val="0"/>
          <w:marTop w:val="0"/>
          <w:marBottom w:val="0"/>
          <w:divBdr>
            <w:top w:val="none" w:sz="0" w:space="0" w:color="auto"/>
            <w:left w:val="none" w:sz="0" w:space="0" w:color="auto"/>
            <w:bottom w:val="none" w:sz="0" w:space="0" w:color="auto"/>
            <w:right w:val="none" w:sz="0" w:space="0" w:color="auto"/>
          </w:divBdr>
        </w:div>
      </w:divsChild>
    </w:div>
    <w:div w:id="747575701">
      <w:bodyDiv w:val="1"/>
      <w:marLeft w:val="0"/>
      <w:marRight w:val="0"/>
      <w:marTop w:val="0"/>
      <w:marBottom w:val="0"/>
      <w:divBdr>
        <w:top w:val="none" w:sz="0" w:space="0" w:color="auto"/>
        <w:left w:val="none" w:sz="0" w:space="0" w:color="auto"/>
        <w:bottom w:val="none" w:sz="0" w:space="0" w:color="auto"/>
        <w:right w:val="none" w:sz="0" w:space="0" w:color="auto"/>
      </w:divBdr>
      <w:divsChild>
        <w:div w:id="1462308172">
          <w:marLeft w:val="0"/>
          <w:marRight w:val="0"/>
          <w:marTop w:val="0"/>
          <w:marBottom w:val="0"/>
          <w:divBdr>
            <w:top w:val="none" w:sz="0" w:space="0" w:color="auto"/>
            <w:left w:val="none" w:sz="0" w:space="0" w:color="auto"/>
            <w:bottom w:val="none" w:sz="0" w:space="0" w:color="auto"/>
            <w:right w:val="none" w:sz="0" w:space="0" w:color="auto"/>
          </w:divBdr>
          <w:divsChild>
            <w:div w:id="4931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93630">
      <w:bodyDiv w:val="1"/>
      <w:marLeft w:val="0"/>
      <w:marRight w:val="0"/>
      <w:marTop w:val="0"/>
      <w:marBottom w:val="0"/>
      <w:divBdr>
        <w:top w:val="none" w:sz="0" w:space="0" w:color="auto"/>
        <w:left w:val="none" w:sz="0" w:space="0" w:color="auto"/>
        <w:bottom w:val="none" w:sz="0" w:space="0" w:color="auto"/>
        <w:right w:val="none" w:sz="0" w:space="0" w:color="auto"/>
      </w:divBdr>
      <w:divsChild>
        <w:div w:id="575476542">
          <w:marLeft w:val="0"/>
          <w:marRight w:val="0"/>
          <w:marTop w:val="0"/>
          <w:marBottom w:val="0"/>
          <w:divBdr>
            <w:top w:val="none" w:sz="0" w:space="0" w:color="auto"/>
            <w:left w:val="none" w:sz="0" w:space="0" w:color="auto"/>
            <w:bottom w:val="none" w:sz="0" w:space="0" w:color="auto"/>
            <w:right w:val="none" w:sz="0" w:space="0" w:color="auto"/>
          </w:divBdr>
        </w:div>
      </w:divsChild>
    </w:div>
    <w:div w:id="980109789">
      <w:bodyDiv w:val="1"/>
      <w:marLeft w:val="225"/>
      <w:marRight w:val="225"/>
      <w:marTop w:val="0"/>
      <w:marBottom w:val="0"/>
      <w:divBdr>
        <w:top w:val="none" w:sz="0" w:space="0" w:color="auto"/>
        <w:left w:val="none" w:sz="0" w:space="0" w:color="auto"/>
        <w:bottom w:val="none" w:sz="0" w:space="0" w:color="auto"/>
        <w:right w:val="none" w:sz="0" w:space="0" w:color="auto"/>
      </w:divBdr>
      <w:divsChild>
        <w:div w:id="1579905577">
          <w:marLeft w:val="0"/>
          <w:marRight w:val="0"/>
          <w:marTop w:val="0"/>
          <w:marBottom w:val="0"/>
          <w:divBdr>
            <w:top w:val="none" w:sz="0" w:space="0" w:color="auto"/>
            <w:left w:val="none" w:sz="0" w:space="0" w:color="auto"/>
            <w:bottom w:val="none" w:sz="0" w:space="0" w:color="auto"/>
            <w:right w:val="none" w:sz="0" w:space="0" w:color="auto"/>
          </w:divBdr>
        </w:div>
      </w:divsChild>
    </w:div>
    <w:div w:id="1356034455">
      <w:bodyDiv w:val="1"/>
      <w:marLeft w:val="225"/>
      <w:marRight w:val="225"/>
      <w:marTop w:val="0"/>
      <w:marBottom w:val="0"/>
      <w:divBdr>
        <w:top w:val="none" w:sz="0" w:space="0" w:color="auto"/>
        <w:left w:val="none" w:sz="0" w:space="0" w:color="auto"/>
        <w:bottom w:val="none" w:sz="0" w:space="0" w:color="auto"/>
        <w:right w:val="none" w:sz="0" w:space="0" w:color="auto"/>
      </w:divBdr>
    </w:div>
    <w:div w:id="1489402947">
      <w:bodyDiv w:val="1"/>
      <w:marLeft w:val="225"/>
      <w:marRight w:val="225"/>
      <w:marTop w:val="0"/>
      <w:marBottom w:val="0"/>
      <w:divBdr>
        <w:top w:val="none" w:sz="0" w:space="0" w:color="auto"/>
        <w:left w:val="none" w:sz="0" w:space="0" w:color="auto"/>
        <w:bottom w:val="none" w:sz="0" w:space="0" w:color="auto"/>
        <w:right w:val="none" w:sz="0" w:space="0" w:color="auto"/>
      </w:divBdr>
      <w:divsChild>
        <w:div w:id="914510749">
          <w:marLeft w:val="0"/>
          <w:marRight w:val="0"/>
          <w:marTop w:val="0"/>
          <w:marBottom w:val="0"/>
          <w:divBdr>
            <w:top w:val="none" w:sz="0" w:space="0" w:color="auto"/>
            <w:left w:val="none" w:sz="0" w:space="0" w:color="auto"/>
            <w:bottom w:val="none" w:sz="0" w:space="0" w:color="auto"/>
            <w:right w:val="none" w:sz="0" w:space="0" w:color="auto"/>
          </w:divBdr>
        </w:div>
      </w:divsChild>
    </w:div>
    <w:div w:id="1859150678">
      <w:bodyDiv w:val="1"/>
      <w:marLeft w:val="225"/>
      <w:marRight w:val="225"/>
      <w:marTop w:val="0"/>
      <w:marBottom w:val="0"/>
      <w:divBdr>
        <w:top w:val="none" w:sz="0" w:space="0" w:color="auto"/>
        <w:left w:val="none" w:sz="0" w:space="0" w:color="auto"/>
        <w:bottom w:val="none" w:sz="0" w:space="0" w:color="auto"/>
        <w:right w:val="none" w:sz="0" w:space="0" w:color="auto"/>
      </w:divBdr>
      <w:divsChild>
        <w:div w:id="1478885535">
          <w:marLeft w:val="0"/>
          <w:marRight w:val="0"/>
          <w:marTop w:val="0"/>
          <w:marBottom w:val="0"/>
          <w:divBdr>
            <w:top w:val="none" w:sz="0" w:space="0" w:color="auto"/>
            <w:left w:val="none" w:sz="0" w:space="0" w:color="auto"/>
            <w:bottom w:val="none" w:sz="0" w:space="0" w:color="auto"/>
            <w:right w:val="none" w:sz="0" w:space="0" w:color="auto"/>
          </w:divBdr>
        </w:div>
      </w:divsChild>
    </w:div>
    <w:div w:id="2024935210">
      <w:bodyDiv w:val="1"/>
      <w:marLeft w:val="251"/>
      <w:marRight w:val="251"/>
      <w:marTop w:val="0"/>
      <w:marBottom w:val="0"/>
      <w:divBdr>
        <w:top w:val="none" w:sz="0" w:space="0" w:color="auto"/>
        <w:left w:val="none" w:sz="0" w:space="0" w:color="auto"/>
        <w:bottom w:val="none" w:sz="0" w:space="0" w:color="auto"/>
        <w:right w:val="none" w:sz="0" w:space="0" w:color="auto"/>
      </w:divBdr>
      <w:divsChild>
        <w:div w:id="1171336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E3546-5283-4723-B454-8F26DE23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4844</Words>
  <Characters>2762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PAŽYMA</vt:lpstr>
      <vt:lpstr>PAŽYMA</vt:lpstr>
    </vt:vector>
  </TitlesOfParts>
  <Company>SM</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2018-12-18T06:26:00Z</dcterms:created>
  <dc:creator>egvys</dc:creator>
  <cp:lastModifiedBy>Giedrė Kaunė</cp:lastModifiedBy>
  <cp:lastPrinted>2016-06-21T08:08:00Z</cp:lastPrinted>
  <dcterms:modified xsi:type="dcterms:W3CDTF">2018-12-18T06:41:00Z</dcterms:modified>
  <cp:revision>3</cp:revision>
  <dc:title>PAŽYMA</dc:title>
</cp:coreProperties>
</file>