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9B" w:rsidRPr="0057482A" w:rsidRDefault="004C56C6" w:rsidP="00237F63">
      <w:pPr>
        <w:pStyle w:val="HTMLiankstoformatuotas"/>
        <w:jc w:val="center"/>
        <w:rPr>
          <w:rFonts w:ascii="Times New Roman" w:hAnsi="Times New Roman" w:cs="Times New Roman"/>
          <w:b/>
          <w:sz w:val="24"/>
          <w:szCs w:val="24"/>
        </w:rPr>
      </w:pPr>
      <w:r w:rsidRPr="0057482A">
        <w:rPr>
          <w:rFonts w:ascii="Times New Roman" w:hAnsi="Times New Roman" w:cs="Times New Roman"/>
          <w:b/>
          <w:sz w:val="24"/>
          <w:szCs w:val="24"/>
        </w:rPr>
        <w:t xml:space="preserve">LIETUVOS RESPUBLIKOS VYRIAUSYBĖS NUTARIMO „DĖL 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PROJEKTO </w:t>
      </w:r>
      <w:r w:rsidR="00A8353B" w:rsidRPr="0057482A">
        <w:rPr>
          <w:rFonts w:ascii="Times New Roman" w:hAnsi="Times New Roman" w:cs="Times New Roman"/>
          <w:b/>
          <w:sz w:val="24"/>
          <w:szCs w:val="24"/>
        </w:rPr>
        <w:t xml:space="preserve">(TAIS </w:t>
      </w:r>
      <w:proofErr w:type="spellStart"/>
      <w:r w:rsidR="00A8353B" w:rsidRPr="0057482A">
        <w:rPr>
          <w:rFonts w:ascii="Times New Roman" w:hAnsi="Times New Roman" w:cs="Times New Roman"/>
          <w:b/>
          <w:sz w:val="24"/>
          <w:szCs w:val="24"/>
        </w:rPr>
        <w:t>reg</w:t>
      </w:r>
      <w:proofErr w:type="spellEnd"/>
      <w:r w:rsidR="00A8353B" w:rsidRPr="0057482A">
        <w:rPr>
          <w:rFonts w:ascii="Times New Roman" w:hAnsi="Times New Roman" w:cs="Times New Roman"/>
          <w:b/>
          <w:sz w:val="24"/>
          <w:szCs w:val="24"/>
        </w:rPr>
        <w:t xml:space="preserve">. Nr. </w:t>
      </w:r>
      <w:r w:rsidR="004F563C" w:rsidRPr="0057482A">
        <w:rPr>
          <w:rFonts w:ascii="Times New Roman" w:hAnsi="Times New Roman" w:cs="Times New Roman"/>
          <w:b/>
          <w:sz w:val="24"/>
          <w:szCs w:val="24"/>
        </w:rPr>
        <w:t>20-</w:t>
      </w:r>
      <w:r w:rsidRPr="0057482A">
        <w:rPr>
          <w:rFonts w:ascii="Times New Roman" w:hAnsi="Times New Roman" w:cs="Times New Roman"/>
          <w:b/>
          <w:sz w:val="24"/>
          <w:szCs w:val="24"/>
        </w:rPr>
        <w:t>8741</w:t>
      </w:r>
      <w:r w:rsidR="004F563C" w:rsidRPr="0057482A">
        <w:rPr>
          <w:rFonts w:ascii="Times New Roman" w:hAnsi="Times New Roman" w:cs="Times New Roman"/>
          <w:b/>
          <w:sz w:val="24"/>
          <w:szCs w:val="24"/>
        </w:rPr>
        <w:t>)</w:t>
      </w:r>
    </w:p>
    <w:p w:rsidR="00A85F8D" w:rsidRPr="0057482A" w:rsidRDefault="0046139B" w:rsidP="00531DCF">
      <w:pPr>
        <w:jc w:val="center"/>
        <w:rPr>
          <w:b/>
        </w:rPr>
      </w:pPr>
      <w:r w:rsidRPr="0057482A">
        <w:rPr>
          <w:b/>
        </w:rPr>
        <w:t>DERINIMO PAŽYMA</w:t>
      </w:r>
    </w:p>
    <w:p w:rsidR="00A85F8D" w:rsidRPr="0057482A" w:rsidRDefault="00A85F8D" w:rsidP="006D51A7">
      <w:pPr>
        <w:jc w:val="center"/>
        <w:rPr>
          <w:b/>
        </w:rPr>
      </w:pPr>
    </w:p>
    <w:tbl>
      <w:tblPr>
        <w:tblW w:w="1502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701"/>
        <w:gridCol w:w="6379"/>
        <w:gridCol w:w="6095"/>
      </w:tblGrid>
      <w:tr w:rsidR="00A42DBC" w:rsidRPr="0057482A" w:rsidTr="00A42DBC">
        <w:tc>
          <w:tcPr>
            <w:tcW w:w="851" w:type="dxa"/>
          </w:tcPr>
          <w:p w:rsidR="00A42DBC" w:rsidRPr="0057482A" w:rsidRDefault="00A42DBC" w:rsidP="008F23CA">
            <w:pPr>
              <w:jc w:val="center"/>
              <w:rPr>
                <w:b/>
              </w:rPr>
            </w:pPr>
            <w:r w:rsidRPr="0057482A">
              <w:rPr>
                <w:b/>
              </w:rPr>
              <w:t>Eil. Nr.</w:t>
            </w:r>
          </w:p>
        </w:tc>
        <w:tc>
          <w:tcPr>
            <w:tcW w:w="1701" w:type="dxa"/>
            <w:shd w:val="clear" w:color="auto" w:fill="auto"/>
            <w:vAlign w:val="center"/>
          </w:tcPr>
          <w:p w:rsidR="00A42DBC" w:rsidRPr="0057482A" w:rsidRDefault="00A42DBC" w:rsidP="008F23CA">
            <w:pPr>
              <w:jc w:val="center"/>
              <w:rPr>
                <w:b/>
              </w:rPr>
            </w:pPr>
            <w:r w:rsidRPr="0057482A">
              <w:rPr>
                <w:b/>
              </w:rPr>
              <w:t>Institucijos pavadinimas, rašto data ir numeris</w:t>
            </w:r>
          </w:p>
          <w:p w:rsidR="00A42DBC" w:rsidRPr="0057482A" w:rsidRDefault="00A42DBC" w:rsidP="008F23CA">
            <w:pPr>
              <w:jc w:val="center"/>
              <w:rPr>
                <w:b/>
              </w:rPr>
            </w:pPr>
          </w:p>
        </w:tc>
        <w:tc>
          <w:tcPr>
            <w:tcW w:w="6379" w:type="dxa"/>
            <w:shd w:val="clear" w:color="auto" w:fill="auto"/>
            <w:vAlign w:val="center"/>
          </w:tcPr>
          <w:p w:rsidR="00A42DBC" w:rsidRPr="0057482A" w:rsidRDefault="00A42DBC" w:rsidP="00AB7D8E">
            <w:pPr>
              <w:jc w:val="center"/>
              <w:rPr>
                <w:b/>
                <w:iCs/>
              </w:rPr>
            </w:pPr>
            <w:r w:rsidRPr="0057482A">
              <w:rPr>
                <w:b/>
                <w:iCs/>
              </w:rPr>
              <w:t>Pastabos ir pasiūlymai</w:t>
            </w:r>
          </w:p>
        </w:tc>
        <w:tc>
          <w:tcPr>
            <w:tcW w:w="6095" w:type="dxa"/>
            <w:shd w:val="clear" w:color="auto" w:fill="auto"/>
            <w:vAlign w:val="center"/>
          </w:tcPr>
          <w:p w:rsidR="00A42DBC" w:rsidRPr="0057482A" w:rsidRDefault="00A42DBC" w:rsidP="003361DC">
            <w:pPr>
              <w:jc w:val="center"/>
              <w:rPr>
                <w:b/>
                <w:iCs/>
              </w:rPr>
            </w:pPr>
            <w:r w:rsidRPr="0057482A">
              <w:rPr>
                <w:b/>
                <w:iCs/>
              </w:rPr>
              <w:t>Žyma apie pastabas ir pasiūlymus, į kuriuos</w:t>
            </w:r>
          </w:p>
          <w:p w:rsidR="00A42DBC" w:rsidRPr="0057482A" w:rsidRDefault="00A42DBC" w:rsidP="003361DC">
            <w:pPr>
              <w:jc w:val="center"/>
              <w:rPr>
                <w:b/>
                <w:iCs/>
              </w:rPr>
            </w:pPr>
            <w:r w:rsidRPr="0057482A">
              <w:rPr>
                <w:b/>
                <w:iCs/>
              </w:rPr>
              <w:t>neatsižvelgta ar atsižvelgta iš dalies</w:t>
            </w:r>
          </w:p>
        </w:tc>
      </w:tr>
      <w:tr w:rsidR="00AD7A76" w:rsidRPr="0057482A" w:rsidTr="00A42DBC">
        <w:tc>
          <w:tcPr>
            <w:tcW w:w="851" w:type="dxa"/>
          </w:tcPr>
          <w:p w:rsidR="00AD7A76" w:rsidRPr="0057482A" w:rsidRDefault="00AD7A76" w:rsidP="00A42DBC">
            <w:pPr>
              <w:pStyle w:val="Sraopastraipa"/>
              <w:numPr>
                <w:ilvl w:val="0"/>
                <w:numId w:val="1"/>
              </w:numPr>
            </w:pPr>
          </w:p>
        </w:tc>
        <w:tc>
          <w:tcPr>
            <w:tcW w:w="1701" w:type="dxa"/>
            <w:vMerge w:val="restart"/>
            <w:shd w:val="clear" w:color="auto" w:fill="auto"/>
          </w:tcPr>
          <w:p w:rsidR="00AD7A76" w:rsidRPr="0057482A" w:rsidRDefault="00AD7A76" w:rsidP="009D520C">
            <w:r w:rsidRPr="0057482A">
              <w:t>Lietuvos Respublikos finansų ministerij</w:t>
            </w:r>
            <w:r w:rsidR="009D520C">
              <w:t>os 2020 m. liepos 7 d. raštas Nr. </w:t>
            </w:r>
            <w:r w:rsidR="009D520C" w:rsidRPr="009D520C">
              <w:t>((2.119E-02)-5K-2010584)-6K-2003825</w:t>
            </w:r>
          </w:p>
        </w:tc>
        <w:tc>
          <w:tcPr>
            <w:tcW w:w="6379" w:type="dxa"/>
            <w:shd w:val="clear" w:color="auto" w:fill="auto"/>
          </w:tcPr>
          <w:p w:rsidR="00AD7A76" w:rsidRPr="0057482A" w:rsidRDefault="002E1C99" w:rsidP="00785959">
            <w:pPr>
              <w:contextualSpacing/>
              <w:jc w:val="both"/>
            </w:pPr>
            <w:r w:rsidRPr="0057482A">
              <w:t>Lietuvos Respublikos Vyriausybės nutarimo „Dėl 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projekto (toliau –P</w:t>
            </w:r>
            <w:r w:rsidR="00AD7A76" w:rsidRPr="0057482A">
              <w:t>rojekt</w:t>
            </w:r>
            <w:r w:rsidRPr="0057482A">
              <w:t xml:space="preserve">as) </w:t>
            </w:r>
            <w:r w:rsidR="00AD7A76" w:rsidRPr="0057482A">
              <w:t xml:space="preserve">lydraštyje nurodoma, kad Paramos būstui įsigyti ar išsinuomoti įstatymo </w:t>
            </w:r>
            <w:r w:rsidR="00012721" w:rsidRPr="0057482A">
              <w:t xml:space="preserve">(toliau – Įstatymas) </w:t>
            </w:r>
            <w:r w:rsidR="00AD7A76" w:rsidRPr="0057482A">
              <w:t>pakeitimams įgyvendinti ir būsto nuomos ar išperkamosios būsto nuomos mokesčio dalies kompensacijoms (toliau – nuomos mokesčio kompensacijoms) mokėti 2020 m. skirta 2,1 mln. eurų valstybės biudžeto lėšų, 2021 m. – 3,1 mln. eurų valstybės biudžeto lėšų.</w:t>
            </w:r>
          </w:p>
          <w:p w:rsidR="00AD7A76" w:rsidRPr="0057482A" w:rsidRDefault="00AD7A76" w:rsidP="00785959">
            <w:pPr>
              <w:contextualSpacing/>
              <w:jc w:val="both"/>
            </w:pPr>
            <w:r w:rsidRPr="0064301C">
              <w:t>Pažymėtina, kad Socialinės apsaugos ir darbo ministerijai tvirtinant valstybės biudžeto asignavimus nuomos mokesčio kompensacijoms mokėti tiek 2020 m., tiek 2021 m. numatyta 1,8 mln. eurų. Atsižvelgdami į tai, siūlome patikslinti lydraštyje pateiktą informaciją dėl lėšų siūlomoms didinti nuomos mokesčio kompensacijoms mokėti.</w:t>
            </w:r>
          </w:p>
          <w:p w:rsidR="00AD7A76" w:rsidRPr="0057482A" w:rsidRDefault="00AD7A76" w:rsidP="008F76A3">
            <w:pPr>
              <w:contextualSpacing/>
              <w:jc w:val="both"/>
            </w:pPr>
          </w:p>
        </w:tc>
        <w:tc>
          <w:tcPr>
            <w:tcW w:w="6095" w:type="dxa"/>
            <w:shd w:val="clear" w:color="auto" w:fill="auto"/>
          </w:tcPr>
          <w:p w:rsidR="00AD7A76" w:rsidRPr="0057482A" w:rsidRDefault="00AD7A76" w:rsidP="009B5951">
            <w:pPr>
              <w:widowControl w:val="0"/>
              <w:jc w:val="both"/>
              <w:rPr>
                <w:b/>
              </w:rPr>
            </w:pPr>
            <w:r w:rsidRPr="0057482A">
              <w:rPr>
                <w:b/>
              </w:rPr>
              <w:t>Atsižvelgta</w:t>
            </w:r>
            <w:r w:rsidR="001F09FD" w:rsidRPr="0057482A">
              <w:rPr>
                <w:b/>
              </w:rPr>
              <w:t xml:space="preserve"> iš dalies</w:t>
            </w:r>
            <w:r w:rsidRPr="0057482A">
              <w:rPr>
                <w:b/>
              </w:rPr>
              <w:t>.</w:t>
            </w:r>
          </w:p>
          <w:p w:rsidR="000E0E9B" w:rsidRPr="00D9600E" w:rsidRDefault="001F09FD" w:rsidP="008F76A3">
            <w:pPr>
              <w:widowControl w:val="0"/>
              <w:jc w:val="both"/>
            </w:pPr>
            <w:r w:rsidRPr="0057482A">
              <w:t>Lietuvos Respublikos paramos būstui įsigyti ar išsinuomoti įstatymo Nr. XII-1215 2, 5, 10, 12, 14, 16, 18 ir 29 straipsnių pakeitimo įstatymo projekt</w:t>
            </w:r>
            <w:r w:rsidR="00A15A0B" w:rsidRPr="0057482A">
              <w:t>o</w:t>
            </w:r>
            <w:r w:rsidRPr="0057482A">
              <w:t xml:space="preserve"> (TAIS </w:t>
            </w:r>
            <w:proofErr w:type="spellStart"/>
            <w:r w:rsidRPr="0057482A">
              <w:t>reg</w:t>
            </w:r>
            <w:proofErr w:type="spellEnd"/>
            <w:r w:rsidRPr="0057482A">
              <w:t>. Nr. XIIIP-4777), kuriam pritarė Lietuvos Respublikos Vyriausybė 2020 m. balandžio 29 d. nutarimu Nr. 438 „Dėl Lietuvos Respublikos piniginės socialinės paramos nepasiturintiems gyventojams įstatymo Nr. IX-1675 3, 6, 7, 9, 10, 11,15, 17, 21 ir 23</w:t>
            </w:r>
            <w:r w:rsidR="0057482A">
              <w:t> </w:t>
            </w:r>
            <w:r w:rsidRPr="0057482A">
              <w:t>straipsnių pakeitimo įstatymo, Lietuvos Respublikos išmokų vaikams įstatymo Nr. I-621 17 ir 18 straipsnių pakeitimo įstatymo, Lietuvos Respublikos paramos būstui įsigyti ar išsinuomoti įstatymo Nr. XII-1215 2, 5, 10, 12, 14, 16, 18 ir 29 straipsnių pakeitimo įstatymo, Lietuvos Respublikos vienkartinės išmokos socialinio draudimo pensijų ir šalpos išmokų gavėjams įstatymo projektų pateikimo Lietuvos Respublikos Seimui“ (toliau – Įstatymo projektas Nr. XIIIP-4777)</w:t>
            </w:r>
            <w:r w:rsidR="0057482A">
              <w:t>,</w:t>
            </w:r>
            <w:r w:rsidR="00A15A0B" w:rsidRPr="0057482A">
              <w:t xml:space="preserve"> aiškinamajame rašte nurod</w:t>
            </w:r>
            <w:r w:rsidR="0057482A">
              <w:t>yt</w:t>
            </w:r>
            <w:r w:rsidR="00A15A0B" w:rsidRPr="0057482A">
              <w:t xml:space="preserve">a, kad, priėmus įstatymo pakeitimus dėl būsto nuomos mokesčio dalies kompensacijos dydžio, 2020 m. papildomai prireiks 0,33 mln. </w:t>
            </w:r>
            <w:proofErr w:type="spellStart"/>
            <w:r w:rsidR="00A15A0B" w:rsidRPr="0057482A">
              <w:t>Eur</w:t>
            </w:r>
            <w:proofErr w:type="spellEnd"/>
            <w:r w:rsidR="00A15A0B" w:rsidRPr="0057482A">
              <w:t xml:space="preserve"> valstybės biudžeto lėšų, 2021 m. – apie 1,1 mln. </w:t>
            </w:r>
            <w:proofErr w:type="spellStart"/>
            <w:r w:rsidR="00A15A0B" w:rsidRPr="0057482A">
              <w:t>Eur</w:t>
            </w:r>
            <w:proofErr w:type="spellEnd"/>
            <w:r w:rsidR="00A15A0B" w:rsidRPr="0057482A">
              <w:t xml:space="preserve"> valstybės biudžeto lėšų (dėl įstatymo pakeitimų 2021 m. </w:t>
            </w:r>
            <w:r w:rsidR="00C15062">
              <w:t xml:space="preserve">kompensacijų </w:t>
            </w:r>
            <w:r w:rsidR="00A15A0B" w:rsidRPr="0057482A">
              <w:t xml:space="preserve">gavėjų skaičius padidėtų </w:t>
            </w:r>
            <w:r w:rsidR="00A15A0B" w:rsidRPr="0057482A">
              <w:lastRenderedPageBreak/>
              <w:t>apie 600 asmenų, planuojamas bendras gavėjų skaičius – 3 100 asmenų</w:t>
            </w:r>
            <w:r w:rsidR="00A15A0B" w:rsidRPr="00D9600E">
              <w:t xml:space="preserve">). </w:t>
            </w:r>
            <w:r w:rsidR="006D2A75" w:rsidRPr="00D9600E">
              <w:t>Pažymėtina, kad</w:t>
            </w:r>
            <w:r w:rsidR="001C4023" w:rsidRPr="00D9600E">
              <w:t>, rengiant Įstatymo projektą Nr. XIIIP-4777,</w:t>
            </w:r>
            <w:r w:rsidR="006D2A75" w:rsidRPr="00D9600E">
              <w:t xml:space="preserve"> lėšų poreikis 2021 m. buvo skaičiuojamas, </w:t>
            </w:r>
            <w:r w:rsidR="00D00593" w:rsidRPr="00D9600E">
              <w:t>į</w:t>
            </w:r>
            <w:r w:rsidR="006D2A75" w:rsidRPr="00D9600E">
              <w:t>vertin</w:t>
            </w:r>
            <w:r w:rsidR="00D00593" w:rsidRPr="00D9600E">
              <w:t xml:space="preserve">us </w:t>
            </w:r>
            <w:r w:rsidR="006D2A75" w:rsidRPr="00D9600E">
              <w:t>padidintą ši</w:t>
            </w:r>
            <w:r w:rsidR="00C15062" w:rsidRPr="00D9600E">
              <w:t>os</w:t>
            </w:r>
            <w:r w:rsidR="006D2A75" w:rsidRPr="00D9600E">
              <w:t xml:space="preserve"> priemon</w:t>
            </w:r>
            <w:r w:rsidR="00C15062" w:rsidRPr="00D9600E">
              <w:t>ės</w:t>
            </w:r>
            <w:r w:rsidR="006D2A75" w:rsidRPr="00D9600E">
              <w:t xml:space="preserve"> finansavimą nuo 2020 m.</w:t>
            </w:r>
            <w:r w:rsidR="001C4023" w:rsidRPr="00D9600E">
              <w:t xml:space="preserve"> (t. y. </w:t>
            </w:r>
            <w:r w:rsidR="0088096E">
              <w:t xml:space="preserve">įskaitant </w:t>
            </w:r>
            <w:r w:rsidR="00E92343" w:rsidRPr="00D9600E">
              <w:t xml:space="preserve">2020 m. </w:t>
            </w:r>
            <w:r w:rsidR="0088096E">
              <w:t xml:space="preserve">numatytas </w:t>
            </w:r>
            <w:r w:rsidR="0088096E" w:rsidRPr="00D9600E">
              <w:t xml:space="preserve">papildomai </w:t>
            </w:r>
            <w:r w:rsidR="00E92343" w:rsidRPr="00D9600E">
              <w:t>skirt</w:t>
            </w:r>
            <w:r w:rsidR="0088096E">
              <w:t xml:space="preserve">i valstybės biudžeto lėšas – </w:t>
            </w:r>
            <w:r w:rsidR="00E92343" w:rsidRPr="00D9600E">
              <w:t>0,33</w:t>
            </w:r>
            <w:r w:rsidR="0088096E">
              <w:t> </w:t>
            </w:r>
            <w:r w:rsidR="00E92343" w:rsidRPr="00D9600E">
              <w:t xml:space="preserve">mln. </w:t>
            </w:r>
            <w:proofErr w:type="spellStart"/>
            <w:r w:rsidR="00E92343" w:rsidRPr="00D9600E">
              <w:t>Eur</w:t>
            </w:r>
            <w:proofErr w:type="spellEnd"/>
            <w:r w:rsidR="00E92343" w:rsidRPr="00D9600E">
              <w:t>).</w:t>
            </w:r>
          </w:p>
          <w:p w:rsidR="00AD7A76" w:rsidRPr="0057482A" w:rsidRDefault="001F09FD" w:rsidP="008F76A3">
            <w:pPr>
              <w:widowControl w:val="0"/>
              <w:jc w:val="both"/>
            </w:pPr>
            <w:r w:rsidRPr="00D9600E">
              <w:t>Projekto lydraštis dėl valstybės biudžeto lėšų poreikio patikslintas</w:t>
            </w:r>
            <w:r w:rsidR="00022E22" w:rsidRPr="00D9600E">
              <w:t xml:space="preserve">, </w:t>
            </w:r>
            <w:r w:rsidR="00D00593" w:rsidRPr="00D9600E">
              <w:t xml:space="preserve">įvertinus </w:t>
            </w:r>
            <w:r w:rsidR="00A15A0B" w:rsidRPr="00D9600E">
              <w:t>Įstatymo projekto Nr. XIIIP-4777 aiškinamajame rašte pateiktą informaciją.</w:t>
            </w:r>
          </w:p>
          <w:p w:rsidR="00AD7A76" w:rsidRPr="0057482A" w:rsidRDefault="00AD7A76" w:rsidP="008F76A3">
            <w:pPr>
              <w:widowControl w:val="0"/>
              <w:jc w:val="both"/>
            </w:pPr>
          </w:p>
        </w:tc>
      </w:tr>
      <w:tr w:rsidR="00AD7A76" w:rsidRPr="0057482A" w:rsidTr="00A42DBC">
        <w:tc>
          <w:tcPr>
            <w:tcW w:w="851" w:type="dxa"/>
          </w:tcPr>
          <w:p w:rsidR="00AD7A76" w:rsidRPr="0057482A" w:rsidRDefault="00AD7A76" w:rsidP="00A42DBC">
            <w:pPr>
              <w:pStyle w:val="Sraopastraipa"/>
              <w:numPr>
                <w:ilvl w:val="0"/>
                <w:numId w:val="1"/>
              </w:numPr>
            </w:pPr>
          </w:p>
        </w:tc>
        <w:tc>
          <w:tcPr>
            <w:tcW w:w="1701" w:type="dxa"/>
            <w:vMerge/>
            <w:shd w:val="clear" w:color="auto" w:fill="auto"/>
          </w:tcPr>
          <w:p w:rsidR="00AD7A76" w:rsidRPr="0057482A" w:rsidRDefault="00AD7A76" w:rsidP="003C1019"/>
        </w:tc>
        <w:tc>
          <w:tcPr>
            <w:tcW w:w="6379" w:type="dxa"/>
            <w:shd w:val="clear" w:color="auto" w:fill="auto"/>
          </w:tcPr>
          <w:p w:rsidR="00AD7A76" w:rsidRPr="0057482A" w:rsidRDefault="00AD7A76" w:rsidP="008F76A3">
            <w:pPr>
              <w:contextualSpacing/>
              <w:jc w:val="both"/>
            </w:pPr>
            <w:r w:rsidRPr="0057482A">
              <w:t>Atkreiptinas dėmesys į tai, kad valstybės biudžeto finansinės galimybės ribotos ir esamos išlaidos viršija pagal galiojančią mokesčių sistemą surenkamas pajamas dėl jau prisiimtų valstybės biudžeto įsipareigojimų, tarp jų ir valstybinio socialinio draudimo bendrosios pensijos dalies finansavimas iš valstybės biudžeto, išmokos vaikui iki 18 metų mokėjimas (taip pat ir įstatyme numatytas tolesnis išmokos vaikui didinimas 2021 metais) ir kt.</w:t>
            </w:r>
            <w:bookmarkStart w:id="0" w:name="_GoBack"/>
            <w:bookmarkEnd w:id="0"/>
          </w:p>
          <w:p w:rsidR="00AD7A76" w:rsidRPr="0057482A" w:rsidRDefault="00AD7A76" w:rsidP="008F76A3">
            <w:pPr>
              <w:contextualSpacing/>
              <w:jc w:val="both"/>
            </w:pPr>
            <w:r w:rsidRPr="0057482A">
              <w:t xml:space="preserve">Pažymime, kad siekiant užtikrinti prisiimtų valstybės biudžeto įsipareigojimų vykdymą, naujiems įsipareigojimams įgyvendinti išlaidos turi būti dengiamos naujais tvariais ilgalaikiais finansavimo šaltiniais arba atitinkama suma mažinant valstybės biudžeto, tarp jų ir Socialinės apsaugos ir darbo ministerijos,  asignavimus. </w:t>
            </w:r>
          </w:p>
          <w:p w:rsidR="00AD7A76" w:rsidRPr="0057482A" w:rsidRDefault="00AD7A76" w:rsidP="008F76A3">
            <w:pPr>
              <w:contextualSpacing/>
              <w:jc w:val="both"/>
            </w:pPr>
            <w:r w:rsidRPr="0057482A">
              <w:t>Prisiimant papildomus įsipareigojimus dėl papildomų išlaidų, būtina kompleksiškai vertinti priemonės tikslingumą, kainą, galimą efektyvumą bei siekiamą poveikį. Todėl siūlome dar kartą persvarstyti dėl galimybės nustatyti mažesnius, negu siūloma nutarimo projekte, bazinio būsto nuomos ar išperkamosios būsto nuomos mokesčio dalies kompensacijos dydžio perskaičiavimo koeficientų dydžius bei minimalų bazinį būsto nuomos ar išperkamosios būsto nuomos mokesčio dalies kompensacijos dydį.</w:t>
            </w:r>
          </w:p>
          <w:p w:rsidR="00AD7A76" w:rsidRPr="0057482A" w:rsidRDefault="00AD7A76" w:rsidP="008F76A3">
            <w:pPr>
              <w:contextualSpacing/>
              <w:jc w:val="both"/>
            </w:pPr>
            <w:r w:rsidRPr="0057482A">
              <w:t xml:space="preserve">Esant papildomų lėšų poreikiui nutarimo projektas turėtų būti </w:t>
            </w:r>
            <w:r w:rsidRPr="0057482A">
              <w:lastRenderedPageBreak/>
              <w:t>teikiamas tik įvykus Ministro Pirmininko, finansų ministro ir socialinės apsaugos ir darbo ministro pasitarimui ir įvertinus pagal turimas finansines galimybes, kokiu mastu galėtų būti didinamos nuomos mokesčio kompensacijos, atsižvelgus į nustatytus 2021–2023 metų maksimalius valstybės biudžeto asignavimų limitus socialinės apsaugos ir darbo ministro valdymo sričiai.</w:t>
            </w:r>
          </w:p>
          <w:p w:rsidR="00AD7A76" w:rsidRPr="0057482A" w:rsidRDefault="00AD7A76" w:rsidP="00785959">
            <w:pPr>
              <w:contextualSpacing/>
              <w:jc w:val="both"/>
            </w:pPr>
          </w:p>
        </w:tc>
        <w:tc>
          <w:tcPr>
            <w:tcW w:w="6095" w:type="dxa"/>
            <w:shd w:val="clear" w:color="auto" w:fill="auto"/>
          </w:tcPr>
          <w:p w:rsidR="00AD7A76" w:rsidRPr="0057482A" w:rsidRDefault="00AD7A76" w:rsidP="00C51DBF">
            <w:pPr>
              <w:widowControl w:val="0"/>
              <w:jc w:val="both"/>
              <w:rPr>
                <w:b/>
              </w:rPr>
            </w:pPr>
            <w:r w:rsidRPr="0057482A">
              <w:rPr>
                <w:b/>
              </w:rPr>
              <w:lastRenderedPageBreak/>
              <w:t>Neatsižvelgta.</w:t>
            </w:r>
          </w:p>
          <w:p w:rsidR="00641A8A" w:rsidRDefault="00965050" w:rsidP="009B5951">
            <w:pPr>
              <w:widowControl w:val="0"/>
              <w:jc w:val="both"/>
            </w:pPr>
            <w:r w:rsidRPr="0057482A">
              <w:t>Pažymėtina</w:t>
            </w:r>
            <w:r w:rsidR="00641A8A" w:rsidRPr="0057482A">
              <w:t xml:space="preserve">, kad </w:t>
            </w:r>
            <w:r w:rsidR="00AD7A76" w:rsidRPr="0057482A">
              <w:t xml:space="preserve">valstybės biudžeto lėšų poreikis </w:t>
            </w:r>
            <w:r w:rsidR="009E7A14" w:rsidRPr="0057482A">
              <w:t xml:space="preserve">2020 m. ir 2021 m. </w:t>
            </w:r>
            <w:r w:rsidR="00AD7A76" w:rsidRPr="0057482A">
              <w:t xml:space="preserve">buvo įvertintas ir suderintas, rengiant </w:t>
            </w:r>
            <w:r w:rsidR="00641A8A" w:rsidRPr="0057482A">
              <w:t>ir teikiant Seimui Įstatymo projektą Nr. XIIIP-4777</w:t>
            </w:r>
            <w:r w:rsidRPr="0057482A">
              <w:t>.</w:t>
            </w:r>
            <w:r w:rsidR="00D23CDC" w:rsidRPr="0057482A">
              <w:t xml:space="preserve"> </w:t>
            </w:r>
            <w:r w:rsidR="00022E22" w:rsidRPr="0057482A">
              <w:t xml:space="preserve">Daugiau valstybės biudžeto lėšų, nei buvo numatyta rengiant ir teikiant Seimui Įstatymo projektą Nr. XIIIP-4777, </w:t>
            </w:r>
            <w:r w:rsidR="00D23CDC" w:rsidRPr="0057482A">
              <w:t xml:space="preserve">Projektui įgyvendinti </w:t>
            </w:r>
            <w:r w:rsidR="00022E22" w:rsidRPr="0057482A">
              <w:t>nereikės.</w:t>
            </w:r>
          </w:p>
          <w:p w:rsidR="00A12F5C" w:rsidRDefault="00E92343" w:rsidP="00FB6DC6">
            <w:pPr>
              <w:widowControl w:val="0"/>
              <w:jc w:val="both"/>
            </w:pPr>
            <w:r>
              <w:t xml:space="preserve">Atkreiptinas dėmesys į tai, kad Lietuvos Respublikos Vyriausybė </w:t>
            </w:r>
            <w:r w:rsidR="009D515F">
              <w:t xml:space="preserve">patvirtino </w:t>
            </w:r>
            <w:r w:rsidR="009D515F" w:rsidRPr="009D515F">
              <w:t xml:space="preserve">Ekonomikos skatinimo ir </w:t>
            </w:r>
            <w:proofErr w:type="spellStart"/>
            <w:r w:rsidR="009D515F" w:rsidRPr="009D515F">
              <w:t>koronaviruso</w:t>
            </w:r>
            <w:proofErr w:type="spellEnd"/>
            <w:r w:rsidR="009D515F" w:rsidRPr="009D515F">
              <w:t xml:space="preserve"> (COVID-19) sukeltų pasekmių mažinimo priemonių planą </w:t>
            </w:r>
            <w:r w:rsidR="009D515F">
              <w:t>(</w:t>
            </w:r>
            <w:r w:rsidR="00180DF6" w:rsidRPr="00180DF6">
              <w:t>Lietuvos Respublikos Vyriausybės 2020</w:t>
            </w:r>
            <w:r w:rsidR="00180DF6">
              <w:t> </w:t>
            </w:r>
            <w:r w:rsidR="00180DF6" w:rsidRPr="00180DF6">
              <w:t xml:space="preserve">m. </w:t>
            </w:r>
            <w:r w:rsidR="00FB6DC6">
              <w:t>birželio</w:t>
            </w:r>
            <w:r w:rsidR="00180DF6" w:rsidRPr="00180DF6">
              <w:t xml:space="preserve"> 2</w:t>
            </w:r>
            <w:r w:rsidR="00FB6DC6">
              <w:t>2</w:t>
            </w:r>
            <w:r w:rsidR="00180DF6" w:rsidRPr="00180DF6">
              <w:t xml:space="preserve"> d. pasitarimo sprendimo (protokolo Nr.</w:t>
            </w:r>
            <w:r w:rsidR="00180DF6">
              <w:t> </w:t>
            </w:r>
            <w:r w:rsidR="00FB6DC6">
              <w:t>30</w:t>
            </w:r>
            <w:r w:rsidR="00180DF6" w:rsidRPr="00180DF6">
              <w:t xml:space="preserve"> </w:t>
            </w:r>
            <w:r w:rsidR="00FB6DC6">
              <w:t>6</w:t>
            </w:r>
            <w:r w:rsidR="00180DF6" w:rsidRPr="00180DF6">
              <w:t xml:space="preserve"> klausimas) priedas</w:t>
            </w:r>
            <w:r w:rsidR="00180DF6">
              <w:t xml:space="preserve"> (</w:t>
            </w:r>
            <w:r w:rsidR="009D515F" w:rsidRPr="009D515F">
              <w:t>Lietuvos Respublikos Vyriausybės 2020</w:t>
            </w:r>
            <w:r w:rsidR="009D515F">
              <w:t> </w:t>
            </w:r>
            <w:r w:rsidR="009D515F" w:rsidRPr="009D515F">
              <w:t>m. kovo 16 d. pasitarimo sprendimo (protokolo Nr. 14) pried</w:t>
            </w:r>
            <w:r w:rsidR="00180DF6">
              <w:t>o nauja redakcija)</w:t>
            </w:r>
            <w:r w:rsidR="009D515F">
              <w:t>), kuriame</w:t>
            </w:r>
            <w:r w:rsidR="00A12F5C">
              <w:t xml:space="preserve">, siekiant </w:t>
            </w:r>
            <w:r w:rsidR="00FB6DC6">
              <w:t xml:space="preserve">padėti išsaugoti gyventojų pajamas </w:t>
            </w:r>
            <w:r w:rsidR="00A12F5C">
              <w:t>(</w:t>
            </w:r>
            <w:r w:rsidR="00FB6DC6">
              <w:t>2</w:t>
            </w:r>
            <w:r w:rsidR="00A12F5C">
              <w:t xml:space="preserve"> p.), numatyta </w:t>
            </w:r>
            <w:r w:rsidR="00FB6DC6">
              <w:t>su</w:t>
            </w:r>
            <w:r w:rsidR="00A12F5C">
              <w:t>t</w:t>
            </w:r>
            <w:r w:rsidR="00A12F5C" w:rsidRPr="00E92343">
              <w:t>rumpinti socialinio būsto laukimo terminus ir nustatyti minimalų būsto nuomos mokesčio dalies kompensacijos bazinį dydį</w:t>
            </w:r>
            <w:r w:rsidR="00A12F5C">
              <w:t xml:space="preserve"> (3.6 p.)</w:t>
            </w:r>
            <w:r w:rsidR="00A12F5C" w:rsidRPr="00E92343">
              <w:t>.</w:t>
            </w:r>
            <w:r w:rsidR="00A12F5C">
              <w:t xml:space="preserve"> </w:t>
            </w:r>
          </w:p>
          <w:p w:rsidR="00AD7A76" w:rsidRPr="0057482A" w:rsidRDefault="00A12F5C">
            <w:pPr>
              <w:widowControl w:val="0"/>
              <w:jc w:val="both"/>
            </w:pPr>
            <w:r>
              <w:t xml:space="preserve">Vykdant šią priemonę, parengtas </w:t>
            </w:r>
            <w:r w:rsidRPr="0057482A">
              <w:t>Įstatymo projekt</w:t>
            </w:r>
            <w:r>
              <w:t>as</w:t>
            </w:r>
            <w:r w:rsidRPr="0057482A">
              <w:t xml:space="preserve"> Nr. XIIIP-4777</w:t>
            </w:r>
            <w:r>
              <w:t>, kuri</w:t>
            </w:r>
            <w:r w:rsidR="002F19B4">
              <w:t>am</w:t>
            </w:r>
            <w:r>
              <w:t xml:space="preserve"> įgyvendin</w:t>
            </w:r>
            <w:r w:rsidR="002F19B4">
              <w:t>t</w:t>
            </w:r>
            <w:r>
              <w:t>i reikalingos lėšos įtrauktos į minėtą priemonių planą</w:t>
            </w:r>
            <w:r w:rsidR="00675146">
              <w:t xml:space="preserve"> (</w:t>
            </w:r>
            <w:r w:rsidR="00FB6DC6" w:rsidRPr="00FB6DC6">
              <w:t xml:space="preserve">604,27 </w:t>
            </w:r>
            <w:r w:rsidR="00180DF6" w:rsidRPr="00180DF6">
              <w:t xml:space="preserve">mln. </w:t>
            </w:r>
            <w:proofErr w:type="spellStart"/>
            <w:r w:rsidR="00675146">
              <w:t>E</w:t>
            </w:r>
            <w:r w:rsidR="00180DF6" w:rsidRPr="00180DF6">
              <w:t>ur</w:t>
            </w:r>
            <w:proofErr w:type="spellEnd"/>
            <w:r w:rsidR="00675146">
              <w:t xml:space="preserve"> visoms priemonėms</w:t>
            </w:r>
            <w:r w:rsidR="009576DC">
              <w:t>, kuriomis siekiama</w:t>
            </w:r>
            <w:r w:rsidR="00675146">
              <w:t xml:space="preserve"> p</w:t>
            </w:r>
            <w:r w:rsidR="00180DF6" w:rsidRPr="00180DF6">
              <w:t xml:space="preserve">adėti užtikrinti gyventojų pajamas COVID-19 epidemijos metu ir </w:t>
            </w:r>
            <w:r w:rsidR="00FB6DC6">
              <w:t>jai pasibaigus</w:t>
            </w:r>
            <w:r w:rsidR="009576DC">
              <w:t>,</w:t>
            </w:r>
            <w:r w:rsidR="00180DF6" w:rsidRPr="00180DF6">
              <w:t xml:space="preserve"> </w:t>
            </w:r>
            <w:r w:rsidR="00180DF6" w:rsidRPr="00180DF6">
              <w:lastRenderedPageBreak/>
              <w:t>įgyvendinti</w:t>
            </w:r>
            <w:r w:rsidR="00371749">
              <w:t>)</w:t>
            </w:r>
            <w:r w:rsidR="00675146">
              <w:t>.</w:t>
            </w:r>
          </w:p>
        </w:tc>
      </w:tr>
      <w:tr w:rsidR="00AD7A76" w:rsidRPr="0057482A" w:rsidTr="00A42DBC">
        <w:tc>
          <w:tcPr>
            <w:tcW w:w="851" w:type="dxa"/>
          </w:tcPr>
          <w:p w:rsidR="00AD7A76" w:rsidRPr="0057482A" w:rsidRDefault="00AD7A76" w:rsidP="00A42DBC">
            <w:pPr>
              <w:pStyle w:val="Sraopastraipa"/>
              <w:numPr>
                <w:ilvl w:val="0"/>
                <w:numId w:val="1"/>
              </w:numPr>
            </w:pPr>
          </w:p>
        </w:tc>
        <w:tc>
          <w:tcPr>
            <w:tcW w:w="1701" w:type="dxa"/>
            <w:vMerge/>
            <w:shd w:val="clear" w:color="auto" w:fill="auto"/>
          </w:tcPr>
          <w:p w:rsidR="00AD7A76" w:rsidRPr="0057482A" w:rsidRDefault="00AD7A76" w:rsidP="003C1019"/>
        </w:tc>
        <w:tc>
          <w:tcPr>
            <w:tcW w:w="6379" w:type="dxa"/>
            <w:shd w:val="clear" w:color="auto" w:fill="auto"/>
          </w:tcPr>
          <w:p w:rsidR="00AD7A76" w:rsidRPr="0057482A" w:rsidRDefault="00AD7A76" w:rsidP="00A93F59">
            <w:pPr>
              <w:contextualSpacing/>
              <w:jc w:val="both"/>
            </w:pPr>
            <w:r w:rsidRPr="0057482A">
              <w:t xml:space="preserve">Be to, norime atkreipti Jūsų dėmesį į Lietuvos Respublikos specialiųjų tyrimų tarnybos (toliau – STT) išvadoje dėl korupcijos rizikos analizės Valstybinės mokesčių inspekcijos, Muitinės departamento prie Finansų ministerijos ir VĮ Turto banko valstybei perduotino turto administravimo ir realizavimo veiklos srityse (toliau – Išvada) pateiktą pasiūlymą Nr. 3.3 „Patvirtinti valstybės gyvenamųjų patalpų nuomos mokesčio apskaičiavimo tvarką arba pakeisti šiuo metu galiojančią Vyriausybės nutarimu patvirtintą Valstybės ir savivaldybių gyvenamųjų patalpų nuomos mokesčio apskaičiavimo tvarką, kad ji apimtų ir valstybės gyvenamųjų patalpų nuomos mokesčio apskaičiavimo tvarką“. </w:t>
            </w:r>
          </w:p>
          <w:p w:rsidR="00AD7A76" w:rsidRPr="0057482A" w:rsidRDefault="00AD7A76" w:rsidP="00A93F59">
            <w:pPr>
              <w:contextualSpacing/>
              <w:jc w:val="both"/>
            </w:pPr>
            <w:r w:rsidRPr="0057482A">
              <w:t xml:space="preserve">Savivaldybės būsto, socialinio būsto nuomos mokesčių ir būsto nuomos ar išperkamosios būsto nuomos mokesčių dalies kompensacijos dydžio apskaičiavimo metodika, patvirtinta Lietuvos Respublikos Vyriausybės 2001 m. balandžio 25 d. nutarimu Nr. 472, (toliau – Metodika) nustato savivaldybės būsto, taip pat ir socialinio būsto, nuomos mokesčių apskaičiavimą ir asmenų bei šeimų, turinčių teisę į paramą būstui išsinuomoti ir nuomojančių fiziniams ar juridiniams asmenims (išskyrus savivaldybes) priklausantį tinkamą būstą, būsto nuomos ar išperkamosios būsto nuomos mokesčių dalies kompensacijos dydžio apskaičiavimą. Nauja redakcija išdėstyto nutarimo, kuris įsigaliojo 2015 m. sausio 1 d., 2.3 papunktyje yra nustatyta, kad Metodika taikoma valstybės gyvenamųjų patalpų nuomos mokesčiams apskaičiuoti. </w:t>
            </w:r>
          </w:p>
          <w:p w:rsidR="00AD7A76" w:rsidRPr="0057482A" w:rsidRDefault="00AD7A76" w:rsidP="00ED6170">
            <w:pPr>
              <w:contextualSpacing/>
              <w:jc w:val="both"/>
            </w:pPr>
            <w:r w:rsidRPr="0057482A">
              <w:lastRenderedPageBreak/>
              <w:t>Atsižvelgdami į Metodikos reguliavimo sritį, kuri pagal Lietuvos Respublikos socialinės apsaugos ir darbo ministerijos nuostatus, patvirtintus Lietuvos Respublikos Vyriausybės 1998 m. liepos 17 d. nutarimu Nr. 892 „Dėl Lietuvos Respublikos socialinės apsaugos ir darbo ministerijos nuostatų patvirtinimo“, priskirta Socialinės apsaugos ir darbo ministerijos kompetencijai, manome, kad Socialinės apsaugos ir darbo ministerija pagal savo kompetenciją turėtų įvertinti STT Išvadoje pateiktus siūlymus ir atitinkamai inicijuoti su STT siūlymais susijusius Metodikos pakeitimus.</w:t>
            </w:r>
          </w:p>
        </w:tc>
        <w:tc>
          <w:tcPr>
            <w:tcW w:w="6095" w:type="dxa"/>
            <w:shd w:val="clear" w:color="auto" w:fill="auto"/>
          </w:tcPr>
          <w:p w:rsidR="00AD7A76" w:rsidRPr="0057482A" w:rsidRDefault="00AD7A76" w:rsidP="009B5951">
            <w:pPr>
              <w:widowControl w:val="0"/>
              <w:jc w:val="both"/>
              <w:rPr>
                <w:b/>
              </w:rPr>
            </w:pPr>
            <w:r w:rsidRPr="0057482A">
              <w:rPr>
                <w:b/>
              </w:rPr>
              <w:lastRenderedPageBreak/>
              <w:t>Neatsižvelgta.</w:t>
            </w:r>
          </w:p>
          <w:p w:rsidR="00AD7A76" w:rsidRPr="0057482A" w:rsidRDefault="00AD7A76" w:rsidP="00025E5F">
            <w:pPr>
              <w:widowControl w:val="0"/>
              <w:jc w:val="both"/>
            </w:pPr>
            <w:r w:rsidRPr="0057482A">
              <w:t>Vadovau</w:t>
            </w:r>
            <w:r w:rsidR="009464A3">
              <w:t>damasi</w:t>
            </w:r>
            <w:r w:rsidRPr="0057482A">
              <w:t xml:space="preserve"> Įstatymo 4 str. 3 d. 1 p.</w:t>
            </w:r>
            <w:r w:rsidR="0029342D" w:rsidRPr="0057482A">
              <w:t>,</w:t>
            </w:r>
            <w:r w:rsidRPr="0057482A">
              <w:t xml:space="preserve"> Socialinės apsaugos ir darbo ministerija formuoja paramos būstui įsigyti ar išsinuomoti politiką. </w:t>
            </w:r>
          </w:p>
          <w:p w:rsidR="00AD7A76" w:rsidRPr="0057482A" w:rsidRDefault="00AD7A76" w:rsidP="00E754DB">
            <w:pPr>
              <w:widowControl w:val="0"/>
              <w:jc w:val="both"/>
            </w:pPr>
            <w:r w:rsidRPr="0057482A">
              <w:t>Pagal Lietuvos Respublikos socialinės apsaugos ir darbo ministerijos nuostatų, patvirtintų Lietuvos Respublikos Vyriausybės 1998 m. liepos 17 d. nutarimu Nr. 892 „Dėl Lietuvos Respublikos socialinės apsaugos ir darbo ministerijos nuostatų patvirtinimo“, 7.7 p.</w:t>
            </w:r>
            <w:r w:rsidR="007B1E8E">
              <w:t>,</w:t>
            </w:r>
            <w:r w:rsidRPr="0057482A">
              <w:t xml:space="preserve"> vienas iš Socialinės apsaugos ir darbo ministerijos tikslų </w:t>
            </w:r>
            <w:r w:rsidR="007B1E8E">
              <w:t>–</w:t>
            </w:r>
            <w:r w:rsidRPr="0057482A">
              <w:t xml:space="preserve"> formuoti paramos būstui įsigyti ar išsinuomoti politiką, organizuoti, koordinuoti ir kontroliuoti jos įgyvendinimą, o įgyvendindama šį tikslą, Socialinės apsaugos ir darbo ministerija rengia ir teikia Vyriausybei teisės aktų projektus dėl paramos būstui įsigyti ar išsinuomoti teikimo, reguliavimo ir tobulinimo (Socialinės apsaugos ir darbo ministerijos nuostatų 8.7.1 p.).</w:t>
            </w:r>
          </w:p>
          <w:p w:rsidR="00AD7A76" w:rsidRPr="0057482A" w:rsidRDefault="00681F60" w:rsidP="00042C3C">
            <w:pPr>
              <w:widowControl w:val="0"/>
              <w:jc w:val="both"/>
            </w:pPr>
            <w:r>
              <w:t>V</w:t>
            </w:r>
            <w:r w:rsidR="00AD7A76" w:rsidRPr="0057482A">
              <w:t xml:space="preserve">alstybės turto valdymo sritis priskirta Finansų ministerijai (Lietuvos Respublikos finansų ministerijos nuostatų, patvirtintų Lietuvos Respublikos Vyriausybės 1998 m. rugsėjo 8 d. nutarimu Nr.1088 „Dėl Lietuvos Respublikos finansų ministerijos nuostatų patvirtinimo“, 7.5 p.), kuri, formuodama valstybės politiką valstybės turto valdymo srityje, </w:t>
            </w:r>
            <w:bookmarkStart w:id="1" w:name="part_6e3adb3ed82f4176a5a569127fd7ccf0"/>
            <w:bookmarkEnd w:id="1"/>
            <w:r w:rsidR="00AD7A76" w:rsidRPr="0057482A">
              <w:t xml:space="preserve">rengia ir teikia Vyriausybei valstybės turto valdymo srities ir valstybės nekilnojamojo turto centralizuoto valdymo įgyvendinimą reglamentuojančių įstatymų ir </w:t>
            </w:r>
            <w:r w:rsidR="00AD7A76" w:rsidRPr="0057482A">
              <w:lastRenderedPageBreak/>
              <w:t>Vyriausybės nutarimų projektus (</w:t>
            </w:r>
            <w:bookmarkStart w:id="2" w:name="part_792c834785074e15bb6d9eb81a905e50"/>
            <w:bookmarkEnd w:id="2"/>
            <w:r w:rsidR="00AD7A76" w:rsidRPr="0057482A">
              <w:t>Finansų ministerijos nuostatų 8.5.1 p.).</w:t>
            </w:r>
          </w:p>
          <w:p w:rsidR="00AD7A76" w:rsidRPr="0057482A" w:rsidRDefault="00FC4377" w:rsidP="00E754DB">
            <w:pPr>
              <w:widowControl w:val="0"/>
              <w:jc w:val="both"/>
            </w:pPr>
            <w:r>
              <w:t>Atsižvelgiant į</w:t>
            </w:r>
            <w:r w:rsidRPr="0057482A">
              <w:t xml:space="preserve"> </w:t>
            </w:r>
            <w:r w:rsidR="00AD7A76" w:rsidRPr="0057482A">
              <w:t xml:space="preserve">minėtą teisinį </w:t>
            </w:r>
            <w:r w:rsidRPr="0057482A">
              <w:t>reguliavim</w:t>
            </w:r>
            <w:r>
              <w:t>ą,</w:t>
            </w:r>
            <w:r w:rsidRPr="0057482A">
              <w:t xml:space="preserve"> </w:t>
            </w:r>
            <w:r w:rsidR="00AD7A76" w:rsidRPr="0057482A">
              <w:t>darytina išvada, kad Socialinės apsaugos ir darbo ministerija nėra kompetentinga institucija įgyvendinti Lietuvos Respublikos civilinio kodekso 6.583 straipsnio 2 dalies nuostatas, susijusias su valstybės gyvenamųjų patalpų nuomos mokesčio apskaičiavimo tvarkos parengimu.</w:t>
            </w:r>
          </w:p>
          <w:p w:rsidR="00AD7A76" w:rsidRPr="0057482A" w:rsidRDefault="00AD7A76" w:rsidP="00E754DB">
            <w:pPr>
              <w:widowControl w:val="0"/>
              <w:jc w:val="both"/>
            </w:pPr>
            <w:r w:rsidRPr="0057482A">
              <w:t xml:space="preserve">Atsižvelgiant į tai, kas išdėstyta, įvertinus Lietuvos Respublikos specialiųjų tyrimų tarnybos išvadoje dėl korupcijos rizikos analizės Valstybinės mokesčių inspekcijos, Muitinės departamento prie Finansų ministerijos ir VĮ Turto banko valstybei perduotino turto administravimo ir realizavimo veiklos srityse pateiktą pasiūlymą Nr. 3.3 ir tai, kad Projektu įgyvendinamos su būsto nuomos ar išperkamosios būsto nuomos </w:t>
            </w:r>
            <w:r w:rsidRPr="00B870C1">
              <w:t>mokesči</w:t>
            </w:r>
            <w:r w:rsidR="00B870C1" w:rsidRPr="00B870C1">
              <w:t xml:space="preserve">o </w:t>
            </w:r>
            <w:r w:rsidRPr="00B870C1">
              <w:t>d</w:t>
            </w:r>
            <w:r w:rsidRPr="0057482A">
              <w:t>alies kompensacijos dydžio apskaičiavimu susijusios Įstatymo nuostatos, įsigalioj</w:t>
            </w:r>
            <w:r w:rsidR="00F150E1">
              <w:t>usios</w:t>
            </w:r>
            <w:r w:rsidRPr="0057482A">
              <w:t xml:space="preserve"> 2020 m. liepos 1 d. (</w:t>
            </w:r>
            <w:r w:rsidR="00F150E1">
              <w:t>todėl</w:t>
            </w:r>
            <w:r w:rsidRPr="0057482A">
              <w:t xml:space="preserve"> Projektas teikiamas skubos tvarka), </w:t>
            </w:r>
            <w:r w:rsidR="00914F83" w:rsidRPr="0057482A">
              <w:t xml:space="preserve">nepritartina siūlymui tikslinti </w:t>
            </w:r>
            <w:r w:rsidRPr="0057482A">
              <w:t>Projekt</w:t>
            </w:r>
            <w:r w:rsidR="00914F83" w:rsidRPr="0057482A">
              <w:t>ą.</w:t>
            </w:r>
            <w:r w:rsidRPr="0057482A">
              <w:t xml:space="preserve"> </w:t>
            </w:r>
          </w:p>
          <w:p w:rsidR="00AD7A76" w:rsidRPr="0057482A" w:rsidRDefault="00AD7A76" w:rsidP="00F6609D">
            <w:pPr>
              <w:widowControl w:val="0"/>
              <w:jc w:val="both"/>
            </w:pPr>
          </w:p>
        </w:tc>
      </w:tr>
      <w:tr w:rsidR="00012721" w:rsidRPr="0057482A" w:rsidTr="00A42DBC">
        <w:tc>
          <w:tcPr>
            <w:tcW w:w="851" w:type="dxa"/>
          </w:tcPr>
          <w:p w:rsidR="00012721" w:rsidRPr="0057482A" w:rsidRDefault="00012721" w:rsidP="00A42DBC">
            <w:pPr>
              <w:pStyle w:val="Sraopastraipa"/>
              <w:numPr>
                <w:ilvl w:val="0"/>
                <w:numId w:val="1"/>
              </w:numPr>
            </w:pPr>
          </w:p>
        </w:tc>
        <w:tc>
          <w:tcPr>
            <w:tcW w:w="1701" w:type="dxa"/>
            <w:vMerge w:val="restart"/>
            <w:shd w:val="clear" w:color="auto" w:fill="auto"/>
          </w:tcPr>
          <w:p w:rsidR="00012721" w:rsidRPr="0057482A" w:rsidRDefault="00012721" w:rsidP="004203B8">
            <w:r w:rsidRPr="0057482A">
              <w:t>Lietuvos savivaldybių asociacij</w:t>
            </w:r>
            <w:r w:rsidR="00975FBD">
              <w:t>os</w:t>
            </w:r>
            <w:r w:rsidRPr="0057482A">
              <w:t xml:space="preserve"> 2020 m. birželio 18 d. raštas Nr. (12)-SD-420</w:t>
            </w:r>
          </w:p>
        </w:tc>
        <w:tc>
          <w:tcPr>
            <w:tcW w:w="6379" w:type="dxa"/>
            <w:shd w:val="clear" w:color="auto" w:fill="auto"/>
          </w:tcPr>
          <w:p w:rsidR="00012721" w:rsidRPr="0057482A" w:rsidRDefault="00012721" w:rsidP="006611B4">
            <w:pPr>
              <w:contextualSpacing/>
              <w:jc w:val="both"/>
            </w:pPr>
            <w:r w:rsidRPr="0057482A">
              <w:t xml:space="preserve">2. Siūlome pakeisti Nutarimo projekto 2 punktą ir išdėstyti jį taip: </w:t>
            </w:r>
          </w:p>
          <w:p w:rsidR="00012721" w:rsidRPr="0057482A" w:rsidRDefault="00012721" w:rsidP="006611B4">
            <w:pPr>
              <w:contextualSpacing/>
              <w:jc w:val="both"/>
            </w:pPr>
          </w:p>
          <w:p w:rsidR="00012721" w:rsidRPr="0057482A" w:rsidRDefault="00012721" w:rsidP="006611B4">
            <w:pPr>
              <w:contextualSpacing/>
              <w:jc w:val="both"/>
            </w:pPr>
            <w:r w:rsidRPr="0057482A">
              <w:t xml:space="preserve"> „2.1. Klrv=1,8, kai kompensacija mokama 1 asmeniui</w:t>
            </w:r>
          </w:p>
          <w:p w:rsidR="00012721" w:rsidRPr="0057482A" w:rsidRDefault="00012721" w:rsidP="006611B4">
            <w:pPr>
              <w:contextualSpacing/>
              <w:jc w:val="both"/>
            </w:pPr>
          </w:p>
          <w:p w:rsidR="00012721" w:rsidRPr="0057482A" w:rsidRDefault="00012721" w:rsidP="006611B4">
            <w:pPr>
              <w:contextualSpacing/>
              <w:jc w:val="both"/>
            </w:pPr>
            <w:r w:rsidRPr="0057482A">
              <w:t xml:space="preserve">  2.2. Klrv=1,6, kai kompensacija mokama 2 asmenų šeimai;</w:t>
            </w:r>
          </w:p>
          <w:p w:rsidR="00012721" w:rsidRPr="0057482A" w:rsidRDefault="00012721" w:rsidP="006611B4">
            <w:pPr>
              <w:contextualSpacing/>
              <w:jc w:val="both"/>
            </w:pPr>
          </w:p>
          <w:p w:rsidR="00012721" w:rsidRPr="0057482A" w:rsidRDefault="00012721" w:rsidP="006611B4">
            <w:pPr>
              <w:contextualSpacing/>
              <w:jc w:val="both"/>
            </w:pPr>
            <w:r w:rsidRPr="0057482A">
              <w:t xml:space="preserve">  2.3. Klrv=1,6, kai kompensacija mokama 3 asmenų šeimai;</w:t>
            </w:r>
          </w:p>
          <w:p w:rsidR="00012721" w:rsidRPr="0057482A" w:rsidRDefault="00012721" w:rsidP="006611B4">
            <w:pPr>
              <w:contextualSpacing/>
              <w:jc w:val="both"/>
            </w:pPr>
          </w:p>
          <w:p w:rsidR="00012721" w:rsidRPr="0057482A" w:rsidRDefault="00012721" w:rsidP="006611B4">
            <w:pPr>
              <w:contextualSpacing/>
              <w:jc w:val="both"/>
            </w:pPr>
            <w:r w:rsidRPr="0057482A">
              <w:t xml:space="preserve">  2.4. Klrv=1,5, kai kompensacija mokama 4 asmenų šeimai;</w:t>
            </w:r>
          </w:p>
          <w:p w:rsidR="00012721" w:rsidRPr="0057482A" w:rsidRDefault="00012721" w:rsidP="006611B4">
            <w:pPr>
              <w:contextualSpacing/>
              <w:jc w:val="both"/>
            </w:pPr>
          </w:p>
          <w:p w:rsidR="00012721" w:rsidRPr="0057482A" w:rsidRDefault="00012721" w:rsidP="006611B4">
            <w:pPr>
              <w:contextualSpacing/>
              <w:jc w:val="both"/>
            </w:pPr>
            <w:r w:rsidRPr="0057482A">
              <w:t xml:space="preserve">  2.5. Klrv=1,5, kai kompensacija mokama 5 ar daugiau asmenų šeimai.“</w:t>
            </w:r>
          </w:p>
        </w:tc>
        <w:tc>
          <w:tcPr>
            <w:tcW w:w="6095" w:type="dxa"/>
            <w:shd w:val="clear" w:color="auto" w:fill="auto"/>
          </w:tcPr>
          <w:p w:rsidR="00012721" w:rsidRPr="0057482A" w:rsidRDefault="00012721" w:rsidP="006611B4">
            <w:pPr>
              <w:widowControl w:val="0"/>
              <w:jc w:val="both"/>
              <w:rPr>
                <w:b/>
              </w:rPr>
            </w:pPr>
            <w:r w:rsidRPr="0057482A">
              <w:rPr>
                <w:b/>
              </w:rPr>
              <w:t>Atsižvelgta iš dalies.</w:t>
            </w:r>
          </w:p>
          <w:p w:rsidR="00012721" w:rsidRPr="0057482A" w:rsidRDefault="00012721" w:rsidP="006611B4">
            <w:pPr>
              <w:widowControl w:val="0"/>
              <w:jc w:val="both"/>
            </w:pPr>
            <w:r w:rsidRPr="0057482A">
              <w:t xml:space="preserve">Manoma, kad Lietuvos savivaldybių asociacijos (toliau – LSA) siūlymas dėl </w:t>
            </w:r>
            <w:r w:rsidRPr="0057482A">
              <w:rPr>
                <w:bCs/>
              </w:rPr>
              <w:t>bazinio būsto nuomos ar išperkamosios būsto nuomos mokesčio dalies kompensacijos dydžio perskaičiavimo koeficientų (</w:t>
            </w:r>
            <w:proofErr w:type="spellStart"/>
            <w:r w:rsidRPr="0057482A">
              <w:t>K</w:t>
            </w:r>
            <w:r w:rsidRPr="00B870C1">
              <w:rPr>
                <w:vertAlign w:val="subscript"/>
              </w:rPr>
              <w:t>lrv</w:t>
            </w:r>
            <w:proofErr w:type="spellEnd"/>
            <w:r w:rsidRPr="0057482A">
              <w:t xml:space="preserve">) tikslinimo </w:t>
            </w:r>
            <w:r w:rsidRPr="0057482A">
              <w:rPr>
                <w:bCs/>
              </w:rPr>
              <w:t xml:space="preserve">neatitiktų Įstatymo pakeitimu numatyto tikslo – </w:t>
            </w:r>
            <w:r w:rsidRPr="0057482A">
              <w:t>efektyvinti šią priemonę</w:t>
            </w:r>
            <w:r w:rsidR="002445C1">
              <w:t>,</w:t>
            </w:r>
            <w:r w:rsidRPr="0057482A">
              <w:t xml:space="preserve"> ypa</w:t>
            </w:r>
            <w:r w:rsidR="002445C1">
              <w:t>č</w:t>
            </w:r>
            <w:r w:rsidRPr="0057482A">
              <w:t xml:space="preserve"> vieno asmens (asmens be šeimos) atveju</w:t>
            </w:r>
            <w:r w:rsidR="002445C1">
              <w:t>,</w:t>
            </w:r>
            <w:r w:rsidRPr="0057482A">
              <w:t xml:space="preserve"> ir valstybės biudžeto galimybių.</w:t>
            </w:r>
          </w:p>
          <w:p w:rsidR="00012721" w:rsidRPr="0057482A" w:rsidRDefault="00012721" w:rsidP="006611B4">
            <w:pPr>
              <w:widowControl w:val="0"/>
              <w:jc w:val="both"/>
            </w:pPr>
            <w:r w:rsidRPr="0057482A">
              <w:t>Įvertinus LSA pateiktus duomenis apie tai, kokį poveikį šeimoms, gaunančioms minėtas kompensacijas, turėtų priimtas Projektas, siekiant nepabloginti daugiavaik</w:t>
            </w:r>
            <w:r w:rsidR="00C43B87">
              <w:t>ių</w:t>
            </w:r>
            <w:r w:rsidRPr="0057482A">
              <w:t xml:space="preserve"> šeim</w:t>
            </w:r>
            <w:r w:rsidR="00C43B87">
              <w:t>ų</w:t>
            </w:r>
            <w:r w:rsidR="00C43B87" w:rsidRPr="0057482A">
              <w:t xml:space="preserve"> padėties</w:t>
            </w:r>
            <w:r w:rsidRPr="0057482A">
              <w:t xml:space="preserve">, siūloma patikslinti </w:t>
            </w:r>
            <w:r w:rsidR="002445C1" w:rsidRPr="0057482A">
              <w:t>5 ir daugiau</w:t>
            </w:r>
            <w:r w:rsidR="002445C1">
              <w:t xml:space="preserve"> </w:t>
            </w:r>
            <w:r w:rsidR="002445C1" w:rsidRPr="0057482A">
              <w:t xml:space="preserve">asmenų šeimoms </w:t>
            </w:r>
            <w:r w:rsidR="002445C1">
              <w:t xml:space="preserve">taikytiną </w:t>
            </w:r>
            <w:proofErr w:type="spellStart"/>
            <w:r w:rsidRPr="0057482A">
              <w:t>K</w:t>
            </w:r>
            <w:r w:rsidRPr="00B870C1">
              <w:rPr>
                <w:vertAlign w:val="subscript"/>
              </w:rPr>
              <w:t>lrv</w:t>
            </w:r>
            <w:proofErr w:type="spellEnd"/>
            <w:r w:rsidRPr="0057482A">
              <w:t xml:space="preserve"> (t. y. taikyti tokį patį </w:t>
            </w:r>
            <w:proofErr w:type="spellStart"/>
            <w:r w:rsidRPr="0057482A">
              <w:t>K</w:t>
            </w:r>
            <w:r w:rsidRPr="00B870C1">
              <w:rPr>
                <w:vertAlign w:val="subscript"/>
              </w:rPr>
              <w:t>lrv</w:t>
            </w:r>
            <w:proofErr w:type="spellEnd"/>
            <w:r w:rsidRPr="0057482A">
              <w:t>, koks būtų taikomas 4</w:t>
            </w:r>
            <w:r w:rsidR="00C43B87">
              <w:t> </w:t>
            </w:r>
            <w:r w:rsidRPr="0057482A">
              <w:t>asmenų šeimoms).</w:t>
            </w:r>
          </w:p>
          <w:p w:rsidR="00012721" w:rsidRPr="0057482A" w:rsidRDefault="00012721" w:rsidP="006611B4">
            <w:pPr>
              <w:widowControl w:val="0"/>
              <w:jc w:val="both"/>
            </w:pPr>
            <w:r w:rsidRPr="0057482A">
              <w:lastRenderedPageBreak/>
              <w:t xml:space="preserve">Be to, Projektas patikslintas, siekiant nepabloginti </w:t>
            </w:r>
            <w:r w:rsidR="002E03D5" w:rsidRPr="0057482A">
              <w:t xml:space="preserve">padėties </w:t>
            </w:r>
            <w:r w:rsidRPr="0057482A">
              <w:t xml:space="preserve">tų asmenų ir šeimų, kuriems nustatyta teisė į būsto nuomos ar išperkamosios būsto nuomos mokesčio dalies kompensaciją už mažesnio </w:t>
            </w:r>
            <w:r w:rsidR="00B870C1">
              <w:t xml:space="preserve">būsto </w:t>
            </w:r>
            <w:r w:rsidRPr="0057482A">
              <w:t>naudingojo ploto nuomą iki 2020 m. liepos 1 d.</w:t>
            </w:r>
          </w:p>
          <w:p w:rsidR="00012721" w:rsidRPr="0057482A" w:rsidRDefault="00012721" w:rsidP="0039750E">
            <w:pPr>
              <w:ind w:firstLine="33"/>
              <w:jc w:val="both"/>
              <w:rPr>
                <w:b/>
              </w:rPr>
            </w:pPr>
          </w:p>
        </w:tc>
      </w:tr>
      <w:tr w:rsidR="00012721" w:rsidRPr="0057482A" w:rsidTr="00A42DBC">
        <w:tc>
          <w:tcPr>
            <w:tcW w:w="851" w:type="dxa"/>
          </w:tcPr>
          <w:p w:rsidR="00012721" w:rsidRPr="0057482A" w:rsidRDefault="00012721" w:rsidP="00A42DBC">
            <w:pPr>
              <w:pStyle w:val="Sraopastraipa"/>
              <w:numPr>
                <w:ilvl w:val="0"/>
                <w:numId w:val="1"/>
              </w:numPr>
            </w:pPr>
          </w:p>
        </w:tc>
        <w:tc>
          <w:tcPr>
            <w:tcW w:w="1701" w:type="dxa"/>
            <w:vMerge/>
            <w:shd w:val="clear" w:color="auto" w:fill="auto"/>
          </w:tcPr>
          <w:p w:rsidR="00012721" w:rsidRPr="0057482A" w:rsidRDefault="00012721" w:rsidP="001310C6"/>
        </w:tc>
        <w:tc>
          <w:tcPr>
            <w:tcW w:w="6379" w:type="dxa"/>
            <w:shd w:val="clear" w:color="auto" w:fill="auto"/>
          </w:tcPr>
          <w:p w:rsidR="00012721" w:rsidRPr="0057482A" w:rsidRDefault="00012721" w:rsidP="006611B4">
            <w:pPr>
              <w:contextualSpacing/>
              <w:jc w:val="both"/>
            </w:pPr>
            <w:r w:rsidRPr="0057482A">
              <w:t>3. Taip pat siūlome šiuos pakeitimus: Nustatyti, kad būsto nuomos ar išperkamosios būsto nuomos mokesčio dalies kompensacijos dydis, perskaičiuotas pagal šio nutarimo 2 punkte išdėstytas metodikos nuostatas, taikomas nuo 2020 m. rugpjūčio liepos 1 d., mokant asmenims ir šeimoms būsto nuomos ar išperkamosios būsto nuomos mokesčio dalies kompensacijas už praėjusį mėnesį. Iš nutarimo projekte pateiktos formuluotės galima suprasti, kad įstatymas įsigalioja liepos 1 d., o metodika  rugpjūčio 1 d. Terminas turėtų būti suvienodintas. Nuomos mokesčio kompensacija mokama už praėjusį mėnesį, bet asmeniui kreipiantis į savivaldybes liepos mėnesį, turi būti priimamas sprendimas jau pagal naują metodiką. Pagal pateiktą formuluotę panašu, kad nauja nuomos mokesčio kompensacija taikoma nuo rugpjūčio 1 d.</w:t>
            </w:r>
          </w:p>
        </w:tc>
        <w:tc>
          <w:tcPr>
            <w:tcW w:w="6095" w:type="dxa"/>
            <w:shd w:val="clear" w:color="auto" w:fill="auto"/>
          </w:tcPr>
          <w:p w:rsidR="00012721" w:rsidRPr="0057482A" w:rsidRDefault="00012721" w:rsidP="006611B4">
            <w:pPr>
              <w:widowControl w:val="0"/>
              <w:jc w:val="both"/>
              <w:rPr>
                <w:b/>
              </w:rPr>
            </w:pPr>
            <w:r w:rsidRPr="0057482A">
              <w:rPr>
                <w:b/>
              </w:rPr>
              <w:t>Atsižvelgta iš dalies.</w:t>
            </w:r>
          </w:p>
          <w:p w:rsidR="00012721" w:rsidRPr="0057482A" w:rsidRDefault="00012721" w:rsidP="006611B4">
            <w:pPr>
              <w:widowControl w:val="0"/>
              <w:jc w:val="both"/>
            </w:pPr>
            <w:r w:rsidRPr="0057482A">
              <w:t>Pažymėtina, kad Įstatymo 2 straipsnio 12 dalies ir 18 straipsnio pakeitimai, susiję būsto nuomos ar išperkamosios būsto nuomos mokesčio dalies kompensacijos (toliau – kompensacija) dydžio nustatymu, kuriuos siūloma įgyvendinti Projektu, įsigalioj</w:t>
            </w:r>
            <w:r w:rsidR="002E03D5">
              <w:t>o</w:t>
            </w:r>
            <w:r w:rsidRPr="0057482A">
              <w:t xml:space="preserve"> 2020 m. liepos 1 d. </w:t>
            </w:r>
          </w:p>
          <w:p w:rsidR="00012721" w:rsidRPr="0057482A" w:rsidRDefault="00012721" w:rsidP="006611B4">
            <w:pPr>
              <w:widowControl w:val="0"/>
              <w:jc w:val="both"/>
            </w:pPr>
            <w:r w:rsidRPr="0057482A">
              <w:t>Projektu šios datos nesiekiama (ir negalima) pakeisti. Atsižvelgiant į tai, kad Įstatymo 17 straipsnio 3 dalyje nustatyta, jog kompensacija mokama už praėjusį mėnesį, siūloma atsisakyti Projekto 3 punkto.</w:t>
            </w:r>
          </w:p>
          <w:p w:rsidR="00012721" w:rsidRPr="0057482A" w:rsidRDefault="00012721" w:rsidP="006611B4">
            <w:pPr>
              <w:widowControl w:val="0"/>
              <w:jc w:val="both"/>
            </w:pPr>
          </w:p>
        </w:tc>
      </w:tr>
    </w:tbl>
    <w:p w:rsidR="006D51A7" w:rsidRPr="0057482A" w:rsidRDefault="006D51A7" w:rsidP="006D51A7">
      <w:pPr>
        <w:jc w:val="center"/>
      </w:pPr>
    </w:p>
    <w:sectPr w:rsidR="006D51A7" w:rsidRPr="0057482A" w:rsidSect="00A90E26">
      <w:headerReference w:type="default" r:id="rId9"/>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43" w:rsidRDefault="009B1943" w:rsidP="002E4284">
      <w:r>
        <w:separator/>
      </w:r>
    </w:p>
  </w:endnote>
  <w:endnote w:type="continuationSeparator" w:id="0">
    <w:p w:rsidR="009B1943" w:rsidRDefault="009B1943"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43" w:rsidRDefault="009B1943" w:rsidP="002E4284">
      <w:r>
        <w:separator/>
      </w:r>
    </w:p>
  </w:footnote>
  <w:footnote w:type="continuationSeparator" w:id="0">
    <w:p w:rsidR="009B1943" w:rsidRDefault="009B1943"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rsidR="00F85418" w:rsidRDefault="00F85418">
        <w:pPr>
          <w:pStyle w:val="Antrats"/>
          <w:jc w:val="center"/>
        </w:pPr>
        <w:r>
          <w:fldChar w:fldCharType="begin"/>
        </w:r>
        <w:r>
          <w:instrText>PAGE   \* MERGEFORMAT</w:instrText>
        </w:r>
        <w:r>
          <w:fldChar w:fldCharType="separate"/>
        </w:r>
        <w:r w:rsidR="00233A06">
          <w:rPr>
            <w:noProof/>
          </w:rPr>
          <w:t>2</w:t>
        </w:r>
        <w:r>
          <w:rPr>
            <w:noProof/>
          </w:rPr>
          <w:fldChar w:fldCharType="end"/>
        </w:r>
      </w:p>
    </w:sdtContent>
  </w:sdt>
  <w:p w:rsidR="00F85418" w:rsidRDefault="00F854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271F"/>
    <w:multiLevelType w:val="hybridMultilevel"/>
    <w:tmpl w:val="F864B6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D"/>
    <w:rsid w:val="00000FF1"/>
    <w:rsid w:val="00007CC3"/>
    <w:rsid w:val="000104DF"/>
    <w:rsid w:val="00010601"/>
    <w:rsid w:val="00012721"/>
    <w:rsid w:val="00012802"/>
    <w:rsid w:val="00014033"/>
    <w:rsid w:val="00014723"/>
    <w:rsid w:val="00022E22"/>
    <w:rsid w:val="000232B6"/>
    <w:rsid w:val="00025E5F"/>
    <w:rsid w:val="00025F1B"/>
    <w:rsid w:val="000261EE"/>
    <w:rsid w:val="00035A8C"/>
    <w:rsid w:val="00035B0C"/>
    <w:rsid w:val="000361B3"/>
    <w:rsid w:val="00036D8D"/>
    <w:rsid w:val="00042BE3"/>
    <w:rsid w:val="00042C3C"/>
    <w:rsid w:val="00047C1C"/>
    <w:rsid w:val="000567ED"/>
    <w:rsid w:val="00061D8A"/>
    <w:rsid w:val="000632A7"/>
    <w:rsid w:val="00066404"/>
    <w:rsid w:val="00066F54"/>
    <w:rsid w:val="00067939"/>
    <w:rsid w:val="00075C92"/>
    <w:rsid w:val="000806F5"/>
    <w:rsid w:val="000931E4"/>
    <w:rsid w:val="000961A2"/>
    <w:rsid w:val="000977D7"/>
    <w:rsid w:val="000A2CAC"/>
    <w:rsid w:val="000A6AB0"/>
    <w:rsid w:val="000B00A6"/>
    <w:rsid w:val="000B1B1B"/>
    <w:rsid w:val="000B3417"/>
    <w:rsid w:val="000B3F06"/>
    <w:rsid w:val="000B4F15"/>
    <w:rsid w:val="000B7AE4"/>
    <w:rsid w:val="000D19AD"/>
    <w:rsid w:val="000D45DC"/>
    <w:rsid w:val="000D57C5"/>
    <w:rsid w:val="000E0E9B"/>
    <w:rsid w:val="000E2357"/>
    <w:rsid w:val="000E3914"/>
    <w:rsid w:val="000E5B8D"/>
    <w:rsid w:val="000E68A1"/>
    <w:rsid w:val="000E7D16"/>
    <w:rsid w:val="000F045B"/>
    <w:rsid w:val="000F0AAF"/>
    <w:rsid w:val="000F0C3E"/>
    <w:rsid w:val="000F1811"/>
    <w:rsid w:val="000F1CB6"/>
    <w:rsid w:val="000F5510"/>
    <w:rsid w:val="000F6BE5"/>
    <w:rsid w:val="001030BC"/>
    <w:rsid w:val="0011395F"/>
    <w:rsid w:val="00113DB6"/>
    <w:rsid w:val="00116ABC"/>
    <w:rsid w:val="00122D9A"/>
    <w:rsid w:val="001231F2"/>
    <w:rsid w:val="00125341"/>
    <w:rsid w:val="001310C6"/>
    <w:rsid w:val="0013162A"/>
    <w:rsid w:val="00131C3F"/>
    <w:rsid w:val="00137938"/>
    <w:rsid w:val="00141EA8"/>
    <w:rsid w:val="00145A10"/>
    <w:rsid w:val="001468DC"/>
    <w:rsid w:val="00150703"/>
    <w:rsid w:val="00151DD4"/>
    <w:rsid w:val="00154503"/>
    <w:rsid w:val="00155647"/>
    <w:rsid w:val="00156E75"/>
    <w:rsid w:val="0016230F"/>
    <w:rsid w:val="001630D9"/>
    <w:rsid w:val="001632DA"/>
    <w:rsid w:val="00163EB1"/>
    <w:rsid w:val="001703F4"/>
    <w:rsid w:val="00175344"/>
    <w:rsid w:val="001758FB"/>
    <w:rsid w:val="00180DF6"/>
    <w:rsid w:val="00182EAA"/>
    <w:rsid w:val="00183878"/>
    <w:rsid w:val="00184ECF"/>
    <w:rsid w:val="001901A3"/>
    <w:rsid w:val="0019240B"/>
    <w:rsid w:val="00192B63"/>
    <w:rsid w:val="00192C65"/>
    <w:rsid w:val="00194ED2"/>
    <w:rsid w:val="00195A79"/>
    <w:rsid w:val="001A0102"/>
    <w:rsid w:val="001A236B"/>
    <w:rsid w:val="001A3EE9"/>
    <w:rsid w:val="001A6E00"/>
    <w:rsid w:val="001B3C57"/>
    <w:rsid w:val="001B409A"/>
    <w:rsid w:val="001B51A6"/>
    <w:rsid w:val="001B5608"/>
    <w:rsid w:val="001B7336"/>
    <w:rsid w:val="001C4023"/>
    <w:rsid w:val="001C6F2E"/>
    <w:rsid w:val="001D675B"/>
    <w:rsid w:val="001E1CEA"/>
    <w:rsid w:val="001E1E45"/>
    <w:rsid w:val="001E53DF"/>
    <w:rsid w:val="001E7EB7"/>
    <w:rsid w:val="001F09FD"/>
    <w:rsid w:val="00204BE1"/>
    <w:rsid w:val="00205648"/>
    <w:rsid w:val="00205E5D"/>
    <w:rsid w:val="00207526"/>
    <w:rsid w:val="002079AD"/>
    <w:rsid w:val="00214EE8"/>
    <w:rsid w:val="00216ECF"/>
    <w:rsid w:val="00222849"/>
    <w:rsid w:val="0022488A"/>
    <w:rsid w:val="00224E01"/>
    <w:rsid w:val="002254C5"/>
    <w:rsid w:val="00227FC3"/>
    <w:rsid w:val="00230695"/>
    <w:rsid w:val="00233565"/>
    <w:rsid w:val="00233A06"/>
    <w:rsid w:val="00236088"/>
    <w:rsid w:val="00237576"/>
    <w:rsid w:val="002376DF"/>
    <w:rsid w:val="00237A67"/>
    <w:rsid w:val="00237F63"/>
    <w:rsid w:val="00240B8B"/>
    <w:rsid w:val="002445C1"/>
    <w:rsid w:val="00253089"/>
    <w:rsid w:val="002555D7"/>
    <w:rsid w:val="00261D65"/>
    <w:rsid w:val="0027058E"/>
    <w:rsid w:val="0027189B"/>
    <w:rsid w:val="002729D7"/>
    <w:rsid w:val="00272F67"/>
    <w:rsid w:val="00273073"/>
    <w:rsid w:val="00284B70"/>
    <w:rsid w:val="00285514"/>
    <w:rsid w:val="00290171"/>
    <w:rsid w:val="002916A1"/>
    <w:rsid w:val="00291A0E"/>
    <w:rsid w:val="0029342D"/>
    <w:rsid w:val="00293F79"/>
    <w:rsid w:val="00294B6B"/>
    <w:rsid w:val="002A0233"/>
    <w:rsid w:val="002A3843"/>
    <w:rsid w:val="002A3A17"/>
    <w:rsid w:val="002A4026"/>
    <w:rsid w:val="002A4638"/>
    <w:rsid w:val="002A4B27"/>
    <w:rsid w:val="002A525B"/>
    <w:rsid w:val="002A722E"/>
    <w:rsid w:val="002A7C6A"/>
    <w:rsid w:val="002B022F"/>
    <w:rsid w:val="002B12FC"/>
    <w:rsid w:val="002B1ADC"/>
    <w:rsid w:val="002B4E21"/>
    <w:rsid w:val="002B5F5D"/>
    <w:rsid w:val="002C0020"/>
    <w:rsid w:val="002C1EF9"/>
    <w:rsid w:val="002C5920"/>
    <w:rsid w:val="002D1487"/>
    <w:rsid w:val="002D1E4A"/>
    <w:rsid w:val="002D3244"/>
    <w:rsid w:val="002D3449"/>
    <w:rsid w:val="002D6E1A"/>
    <w:rsid w:val="002E03D5"/>
    <w:rsid w:val="002E1C99"/>
    <w:rsid w:val="002E4284"/>
    <w:rsid w:val="002E439B"/>
    <w:rsid w:val="002F1736"/>
    <w:rsid w:val="002F19B4"/>
    <w:rsid w:val="002F2679"/>
    <w:rsid w:val="002F3C76"/>
    <w:rsid w:val="002F6FC9"/>
    <w:rsid w:val="002F77E5"/>
    <w:rsid w:val="003003D3"/>
    <w:rsid w:val="00310866"/>
    <w:rsid w:val="003121CD"/>
    <w:rsid w:val="00317BAE"/>
    <w:rsid w:val="00320CF8"/>
    <w:rsid w:val="003236F3"/>
    <w:rsid w:val="00333390"/>
    <w:rsid w:val="003334C2"/>
    <w:rsid w:val="00334586"/>
    <w:rsid w:val="00334A7E"/>
    <w:rsid w:val="00335B65"/>
    <w:rsid w:val="00337352"/>
    <w:rsid w:val="003417BF"/>
    <w:rsid w:val="00343C75"/>
    <w:rsid w:val="00343CF5"/>
    <w:rsid w:val="00343E50"/>
    <w:rsid w:val="00343E80"/>
    <w:rsid w:val="00347314"/>
    <w:rsid w:val="003547E6"/>
    <w:rsid w:val="00354E0E"/>
    <w:rsid w:val="0036154D"/>
    <w:rsid w:val="003636A4"/>
    <w:rsid w:val="00363DAC"/>
    <w:rsid w:val="003666D5"/>
    <w:rsid w:val="00367BFB"/>
    <w:rsid w:val="003701C3"/>
    <w:rsid w:val="00371749"/>
    <w:rsid w:val="0037439E"/>
    <w:rsid w:val="00374F67"/>
    <w:rsid w:val="00392089"/>
    <w:rsid w:val="00392DE3"/>
    <w:rsid w:val="0039750E"/>
    <w:rsid w:val="003A47E5"/>
    <w:rsid w:val="003A5E4C"/>
    <w:rsid w:val="003B0041"/>
    <w:rsid w:val="003B132D"/>
    <w:rsid w:val="003B180B"/>
    <w:rsid w:val="003B2C87"/>
    <w:rsid w:val="003B6207"/>
    <w:rsid w:val="003C1019"/>
    <w:rsid w:val="003C3CDD"/>
    <w:rsid w:val="003C6BCC"/>
    <w:rsid w:val="003D3A9B"/>
    <w:rsid w:val="003D4974"/>
    <w:rsid w:val="003E0216"/>
    <w:rsid w:val="003E1A2B"/>
    <w:rsid w:val="003E42B7"/>
    <w:rsid w:val="003E5445"/>
    <w:rsid w:val="003E6951"/>
    <w:rsid w:val="003F1058"/>
    <w:rsid w:val="003F4745"/>
    <w:rsid w:val="003F4EDB"/>
    <w:rsid w:val="00404732"/>
    <w:rsid w:val="004062B4"/>
    <w:rsid w:val="004068FF"/>
    <w:rsid w:val="004127FC"/>
    <w:rsid w:val="00415D53"/>
    <w:rsid w:val="004172CD"/>
    <w:rsid w:val="004200A2"/>
    <w:rsid w:val="004203B8"/>
    <w:rsid w:val="00424BEB"/>
    <w:rsid w:val="004309B0"/>
    <w:rsid w:val="004310C4"/>
    <w:rsid w:val="0043278B"/>
    <w:rsid w:val="0043476B"/>
    <w:rsid w:val="0044628A"/>
    <w:rsid w:val="00446D76"/>
    <w:rsid w:val="004471BD"/>
    <w:rsid w:val="00454351"/>
    <w:rsid w:val="00455DF0"/>
    <w:rsid w:val="0046139B"/>
    <w:rsid w:val="00461853"/>
    <w:rsid w:val="00463710"/>
    <w:rsid w:val="004720C6"/>
    <w:rsid w:val="0048245D"/>
    <w:rsid w:val="00486C5A"/>
    <w:rsid w:val="004A2355"/>
    <w:rsid w:val="004A63F2"/>
    <w:rsid w:val="004A7577"/>
    <w:rsid w:val="004A7C6A"/>
    <w:rsid w:val="004B08BA"/>
    <w:rsid w:val="004B2955"/>
    <w:rsid w:val="004B44B9"/>
    <w:rsid w:val="004C56C6"/>
    <w:rsid w:val="004C5AD5"/>
    <w:rsid w:val="004D075E"/>
    <w:rsid w:val="004D0CFF"/>
    <w:rsid w:val="004D24A0"/>
    <w:rsid w:val="004E2910"/>
    <w:rsid w:val="004E3543"/>
    <w:rsid w:val="004F3B67"/>
    <w:rsid w:val="004F563C"/>
    <w:rsid w:val="005017C3"/>
    <w:rsid w:val="00501A0D"/>
    <w:rsid w:val="00502CC1"/>
    <w:rsid w:val="00503364"/>
    <w:rsid w:val="00505AB3"/>
    <w:rsid w:val="0050765E"/>
    <w:rsid w:val="0051049E"/>
    <w:rsid w:val="00510EF5"/>
    <w:rsid w:val="0051555C"/>
    <w:rsid w:val="00522E2E"/>
    <w:rsid w:val="0052461F"/>
    <w:rsid w:val="005261C3"/>
    <w:rsid w:val="005275F0"/>
    <w:rsid w:val="0053008D"/>
    <w:rsid w:val="00531DCF"/>
    <w:rsid w:val="00533516"/>
    <w:rsid w:val="00533A3A"/>
    <w:rsid w:val="00535F9F"/>
    <w:rsid w:val="00536F3B"/>
    <w:rsid w:val="0054213C"/>
    <w:rsid w:val="00543DAF"/>
    <w:rsid w:val="00545921"/>
    <w:rsid w:val="005475BA"/>
    <w:rsid w:val="00550758"/>
    <w:rsid w:val="00551F5F"/>
    <w:rsid w:val="00552324"/>
    <w:rsid w:val="00553CBA"/>
    <w:rsid w:val="0055430C"/>
    <w:rsid w:val="0055758D"/>
    <w:rsid w:val="00560D96"/>
    <w:rsid w:val="00561BEA"/>
    <w:rsid w:val="00563C99"/>
    <w:rsid w:val="00565C10"/>
    <w:rsid w:val="00566E08"/>
    <w:rsid w:val="00570274"/>
    <w:rsid w:val="005721D8"/>
    <w:rsid w:val="0057482A"/>
    <w:rsid w:val="00575632"/>
    <w:rsid w:val="00576F15"/>
    <w:rsid w:val="005859F6"/>
    <w:rsid w:val="00586419"/>
    <w:rsid w:val="00587A3F"/>
    <w:rsid w:val="00590E93"/>
    <w:rsid w:val="00592590"/>
    <w:rsid w:val="0059462A"/>
    <w:rsid w:val="005964B3"/>
    <w:rsid w:val="005A3923"/>
    <w:rsid w:val="005A437F"/>
    <w:rsid w:val="005A536A"/>
    <w:rsid w:val="005B7C5D"/>
    <w:rsid w:val="005C482F"/>
    <w:rsid w:val="005D2C49"/>
    <w:rsid w:val="005D3678"/>
    <w:rsid w:val="005D7023"/>
    <w:rsid w:val="005E2254"/>
    <w:rsid w:val="005E25AE"/>
    <w:rsid w:val="005E7C50"/>
    <w:rsid w:val="005F59E3"/>
    <w:rsid w:val="0060441F"/>
    <w:rsid w:val="0060530D"/>
    <w:rsid w:val="006067CB"/>
    <w:rsid w:val="00607324"/>
    <w:rsid w:val="00611E8C"/>
    <w:rsid w:val="00615062"/>
    <w:rsid w:val="006153EF"/>
    <w:rsid w:val="00624621"/>
    <w:rsid w:val="00627DEE"/>
    <w:rsid w:val="00631618"/>
    <w:rsid w:val="006318AD"/>
    <w:rsid w:val="00637847"/>
    <w:rsid w:val="0064130F"/>
    <w:rsid w:val="00641A8A"/>
    <w:rsid w:val="0064301C"/>
    <w:rsid w:val="00646CF7"/>
    <w:rsid w:val="00650E75"/>
    <w:rsid w:val="006518E3"/>
    <w:rsid w:val="00655A1F"/>
    <w:rsid w:val="0066211A"/>
    <w:rsid w:val="006663D5"/>
    <w:rsid w:val="00667D6E"/>
    <w:rsid w:val="00675146"/>
    <w:rsid w:val="00675D56"/>
    <w:rsid w:val="00676B34"/>
    <w:rsid w:val="006800A4"/>
    <w:rsid w:val="00681A67"/>
    <w:rsid w:val="00681F60"/>
    <w:rsid w:val="00682582"/>
    <w:rsid w:val="00682B05"/>
    <w:rsid w:val="00685402"/>
    <w:rsid w:val="00685510"/>
    <w:rsid w:val="00686AD0"/>
    <w:rsid w:val="0069112A"/>
    <w:rsid w:val="00697470"/>
    <w:rsid w:val="006975D3"/>
    <w:rsid w:val="006A0EEB"/>
    <w:rsid w:val="006A1E9C"/>
    <w:rsid w:val="006A3B43"/>
    <w:rsid w:val="006A3FBE"/>
    <w:rsid w:val="006B1176"/>
    <w:rsid w:val="006C0051"/>
    <w:rsid w:val="006C105F"/>
    <w:rsid w:val="006D20D2"/>
    <w:rsid w:val="006D2A75"/>
    <w:rsid w:val="006D51A7"/>
    <w:rsid w:val="006E4D9C"/>
    <w:rsid w:val="006F4ADC"/>
    <w:rsid w:val="007013A0"/>
    <w:rsid w:val="00702A1E"/>
    <w:rsid w:val="007049FA"/>
    <w:rsid w:val="0070722F"/>
    <w:rsid w:val="00714035"/>
    <w:rsid w:val="0071434A"/>
    <w:rsid w:val="00720567"/>
    <w:rsid w:val="00723582"/>
    <w:rsid w:val="007238BD"/>
    <w:rsid w:val="0072400F"/>
    <w:rsid w:val="00727912"/>
    <w:rsid w:val="00727EE6"/>
    <w:rsid w:val="00727F6A"/>
    <w:rsid w:val="00730A76"/>
    <w:rsid w:val="00731291"/>
    <w:rsid w:val="007321BB"/>
    <w:rsid w:val="00733DCD"/>
    <w:rsid w:val="00735B9E"/>
    <w:rsid w:val="007434F0"/>
    <w:rsid w:val="00747707"/>
    <w:rsid w:val="00751539"/>
    <w:rsid w:val="0075328E"/>
    <w:rsid w:val="00755DD9"/>
    <w:rsid w:val="00755ED2"/>
    <w:rsid w:val="00756642"/>
    <w:rsid w:val="00761ABB"/>
    <w:rsid w:val="00762992"/>
    <w:rsid w:val="00770E54"/>
    <w:rsid w:val="007733F8"/>
    <w:rsid w:val="00774699"/>
    <w:rsid w:val="007770C4"/>
    <w:rsid w:val="007800C2"/>
    <w:rsid w:val="00780ADA"/>
    <w:rsid w:val="00785959"/>
    <w:rsid w:val="00785E23"/>
    <w:rsid w:val="0079270F"/>
    <w:rsid w:val="00792F0A"/>
    <w:rsid w:val="00794A7D"/>
    <w:rsid w:val="00795122"/>
    <w:rsid w:val="007A1861"/>
    <w:rsid w:val="007A3A55"/>
    <w:rsid w:val="007B1E8E"/>
    <w:rsid w:val="007B5C92"/>
    <w:rsid w:val="007C0CB8"/>
    <w:rsid w:val="007C17DE"/>
    <w:rsid w:val="007C6CF9"/>
    <w:rsid w:val="007D1659"/>
    <w:rsid w:val="007D4508"/>
    <w:rsid w:val="007D4521"/>
    <w:rsid w:val="007E2C24"/>
    <w:rsid w:val="007E7DD7"/>
    <w:rsid w:val="007F535C"/>
    <w:rsid w:val="007F5445"/>
    <w:rsid w:val="007F6B2E"/>
    <w:rsid w:val="007F6E28"/>
    <w:rsid w:val="00801C6F"/>
    <w:rsid w:val="00801EC8"/>
    <w:rsid w:val="0080768C"/>
    <w:rsid w:val="00816DCE"/>
    <w:rsid w:val="00826CC1"/>
    <w:rsid w:val="00830019"/>
    <w:rsid w:val="00832C62"/>
    <w:rsid w:val="008450D8"/>
    <w:rsid w:val="00847E94"/>
    <w:rsid w:val="008523D4"/>
    <w:rsid w:val="00853677"/>
    <w:rsid w:val="0086494E"/>
    <w:rsid w:val="00870F15"/>
    <w:rsid w:val="00874615"/>
    <w:rsid w:val="0087471F"/>
    <w:rsid w:val="00874758"/>
    <w:rsid w:val="00874B76"/>
    <w:rsid w:val="008752F4"/>
    <w:rsid w:val="00875751"/>
    <w:rsid w:val="0088096E"/>
    <w:rsid w:val="00880FBD"/>
    <w:rsid w:val="00883962"/>
    <w:rsid w:val="00885A7A"/>
    <w:rsid w:val="00892DE3"/>
    <w:rsid w:val="00893D98"/>
    <w:rsid w:val="008A07F8"/>
    <w:rsid w:val="008A09B7"/>
    <w:rsid w:val="008A659E"/>
    <w:rsid w:val="008A6F9F"/>
    <w:rsid w:val="008B3E82"/>
    <w:rsid w:val="008B49A6"/>
    <w:rsid w:val="008C10B9"/>
    <w:rsid w:val="008C3FA3"/>
    <w:rsid w:val="008C5B84"/>
    <w:rsid w:val="008C6778"/>
    <w:rsid w:val="008D2E78"/>
    <w:rsid w:val="008D3866"/>
    <w:rsid w:val="008D39FD"/>
    <w:rsid w:val="008D4ABB"/>
    <w:rsid w:val="008D553E"/>
    <w:rsid w:val="008E0F6F"/>
    <w:rsid w:val="008E6519"/>
    <w:rsid w:val="008E6978"/>
    <w:rsid w:val="008E6A3D"/>
    <w:rsid w:val="008F23CA"/>
    <w:rsid w:val="008F76A3"/>
    <w:rsid w:val="008F7C5F"/>
    <w:rsid w:val="008F7F84"/>
    <w:rsid w:val="00900C09"/>
    <w:rsid w:val="0090380D"/>
    <w:rsid w:val="00903ED3"/>
    <w:rsid w:val="00905635"/>
    <w:rsid w:val="0090603D"/>
    <w:rsid w:val="00906537"/>
    <w:rsid w:val="00911B34"/>
    <w:rsid w:val="00914F83"/>
    <w:rsid w:val="00917606"/>
    <w:rsid w:val="00917DFA"/>
    <w:rsid w:val="009221DF"/>
    <w:rsid w:val="00922E9A"/>
    <w:rsid w:val="00925E51"/>
    <w:rsid w:val="009273D5"/>
    <w:rsid w:val="00927E6F"/>
    <w:rsid w:val="00930F12"/>
    <w:rsid w:val="00932CAE"/>
    <w:rsid w:val="009360C6"/>
    <w:rsid w:val="009421AD"/>
    <w:rsid w:val="00944136"/>
    <w:rsid w:val="009459E3"/>
    <w:rsid w:val="00945E4F"/>
    <w:rsid w:val="009464A3"/>
    <w:rsid w:val="00946B3B"/>
    <w:rsid w:val="00954350"/>
    <w:rsid w:val="00954C74"/>
    <w:rsid w:val="00956646"/>
    <w:rsid w:val="009576DC"/>
    <w:rsid w:val="00961AE0"/>
    <w:rsid w:val="00965050"/>
    <w:rsid w:val="00965382"/>
    <w:rsid w:val="00965C79"/>
    <w:rsid w:val="009735D4"/>
    <w:rsid w:val="009739DF"/>
    <w:rsid w:val="00975FBD"/>
    <w:rsid w:val="009761EB"/>
    <w:rsid w:val="0098298A"/>
    <w:rsid w:val="009840AD"/>
    <w:rsid w:val="009A6B2E"/>
    <w:rsid w:val="009B1943"/>
    <w:rsid w:val="009B24CD"/>
    <w:rsid w:val="009B2908"/>
    <w:rsid w:val="009B32D6"/>
    <w:rsid w:val="009B38D0"/>
    <w:rsid w:val="009B6388"/>
    <w:rsid w:val="009B6B04"/>
    <w:rsid w:val="009B7C36"/>
    <w:rsid w:val="009C4305"/>
    <w:rsid w:val="009C4F18"/>
    <w:rsid w:val="009C5C6F"/>
    <w:rsid w:val="009C6ED4"/>
    <w:rsid w:val="009D09C0"/>
    <w:rsid w:val="009D1CA4"/>
    <w:rsid w:val="009D3698"/>
    <w:rsid w:val="009D515F"/>
    <w:rsid w:val="009D520C"/>
    <w:rsid w:val="009D6F0A"/>
    <w:rsid w:val="009D7330"/>
    <w:rsid w:val="009E7A14"/>
    <w:rsid w:val="009E7E0B"/>
    <w:rsid w:val="009F5BFE"/>
    <w:rsid w:val="009F74B1"/>
    <w:rsid w:val="009F7511"/>
    <w:rsid w:val="00A02DD9"/>
    <w:rsid w:val="00A02DDA"/>
    <w:rsid w:val="00A10D51"/>
    <w:rsid w:val="00A12018"/>
    <w:rsid w:val="00A12F5C"/>
    <w:rsid w:val="00A15A0B"/>
    <w:rsid w:val="00A23322"/>
    <w:rsid w:val="00A24532"/>
    <w:rsid w:val="00A31A0D"/>
    <w:rsid w:val="00A3548B"/>
    <w:rsid w:val="00A3766D"/>
    <w:rsid w:val="00A40498"/>
    <w:rsid w:val="00A41DEA"/>
    <w:rsid w:val="00A42DBC"/>
    <w:rsid w:val="00A47D89"/>
    <w:rsid w:val="00A50D1E"/>
    <w:rsid w:val="00A5170F"/>
    <w:rsid w:val="00A52068"/>
    <w:rsid w:val="00A57F50"/>
    <w:rsid w:val="00A60FA5"/>
    <w:rsid w:val="00A610A1"/>
    <w:rsid w:val="00A62EF0"/>
    <w:rsid w:val="00A65AED"/>
    <w:rsid w:val="00A72FF2"/>
    <w:rsid w:val="00A7313C"/>
    <w:rsid w:val="00A80661"/>
    <w:rsid w:val="00A8353B"/>
    <w:rsid w:val="00A84AD0"/>
    <w:rsid w:val="00A85F8D"/>
    <w:rsid w:val="00A86922"/>
    <w:rsid w:val="00A86A8E"/>
    <w:rsid w:val="00A90E26"/>
    <w:rsid w:val="00A91D15"/>
    <w:rsid w:val="00A93586"/>
    <w:rsid w:val="00A93F59"/>
    <w:rsid w:val="00AA181D"/>
    <w:rsid w:val="00AA303C"/>
    <w:rsid w:val="00AB00E5"/>
    <w:rsid w:val="00AB0B36"/>
    <w:rsid w:val="00AB1200"/>
    <w:rsid w:val="00AB3CEA"/>
    <w:rsid w:val="00AB4D18"/>
    <w:rsid w:val="00AB6A56"/>
    <w:rsid w:val="00AB7D8E"/>
    <w:rsid w:val="00AC3003"/>
    <w:rsid w:val="00AC5ACC"/>
    <w:rsid w:val="00AC5D7F"/>
    <w:rsid w:val="00AD0084"/>
    <w:rsid w:val="00AD091C"/>
    <w:rsid w:val="00AD4DFE"/>
    <w:rsid w:val="00AD7A76"/>
    <w:rsid w:val="00AE1777"/>
    <w:rsid w:val="00AE478C"/>
    <w:rsid w:val="00AE4E72"/>
    <w:rsid w:val="00AE5968"/>
    <w:rsid w:val="00AF10CE"/>
    <w:rsid w:val="00AF6332"/>
    <w:rsid w:val="00B04C12"/>
    <w:rsid w:val="00B04DD4"/>
    <w:rsid w:val="00B062C9"/>
    <w:rsid w:val="00B17239"/>
    <w:rsid w:val="00B22779"/>
    <w:rsid w:val="00B22942"/>
    <w:rsid w:val="00B2635D"/>
    <w:rsid w:val="00B33068"/>
    <w:rsid w:val="00B422B7"/>
    <w:rsid w:val="00B47B6E"/>
    <w:rsid w:val="00B57123"/>
    <w:rsid w:val="00B675C2"/>
    <w:rsid w:val="00B71398"/>
    <w:rsid w:val="00B73F8F"/>
    <w:rsid w:val="00B85064"/>
    <w:rsid w:val="00B861F4"/>
    <w:rsid w:val="00B870C1"/>
    <w:rsid w:val="00B8717B"/>
    <w:rsid w:val="00B876E8"/>
    <w:rsid w:val="00B90AA6"/>
    <w:rsid w:val="00B92855"/>
    <w:rsid w:val="00B92BD7"/>
    <w:rsid w:val="00B9606C"/>
    <w:rsid w:val="00BA6C3A"/>
    <w:rsid w:val="00BB139E"/>
    <w:rsid w:val="00BB3346"/>
    <w:rsid w:val="00BB580D"/>
    <w:rsid w:val="00BC212F"/>
    <w:rsid w:val="00BC5A35"/>
    <w:rsid w:val="00BC7654"/>
    <w:rsid w:val="00BD46EC"/>
    <w:rsid w:val="00BE080D"/>
    <w:rsid w:val="00C013CE"/>
    <w:rsid w:val="00C0186C"/>
    <w:rsid w:val="00C05080"/>
    <w:rsid w:val="00C0516B"/>
    <w:rsid w:val="00C15062"/>
    <w:rsid w:val="00C155A7"/>
    <w:rsid w:val="00C16A4F"/>
    <w:rsid w:val="00C20355"/>
    <w:rsid w:val="00C212AF"/>
    <w:rsid w:val="00C21580"/>
    <w:rsid w:val="00C23BB5"/>
    <w:rsid w:val="00C27B9B"/>
    <w:rsid w:val="00C35089"/>
    <w:rsid w:val="00C35756"/>
    <w:rsid w:val="00C370B9"/>
    <w:rsid w:val="00C37F6E"/>
    <w:rsid w:val="00C418A4"/>
    <w:rsid w:val="00C420AE"/>
    <w:rsid w:val="00C43B87"/>
    <w:rsid w:val="00C4465D"/>
    <w:rsid w:val="00C46A18"/>
    <w:rsid w:val="00C51DBF"/>
    <w:rsid w:val="00C57653"/>
    <w:rsid w:val="00C61605"/>
    <w:rsid w:val="00C656EA"/>
    <w:rsid w:val="00C664F6"/>
    <w:rsid w:val="00C86021"/>
    <w:rsid w:val="00C90C82"/>
    <w:rsid w:val="00C928DB"/>
    <w:rsid w:val="00C950A8"/>
    <w:rsid w:val="00C97E0F"/>
    <w:rsid w:val="00CB401F"/>
    <w:rsid w:val="00CB48E5"/>
    <w:rsid w:val="00CB6BE8"/>
    <w:rsid w:val="00CC026F"/>
    <w:rsid w:val="00CC6C94"/>
    <w:rsid w:val="00CD3B03"/>
    <w:rsid w:val="00CD6FDB"/>
    <w:rsid w:val="00CD7578"/>
    <w:rsid w:val="00CE3BCB"/>
    <w:rsid w:val="00CE673C"/>
    <w:rsid w:val="00CE711A"/>
    <w:rsid w:val="00CF1332"/>
    <w:rsid w:val="00CF1924"/>
    <w:rsid w:val="00D00593"/>
    <w:rsid w:val="00D00921"/>
    <w:rsid w:val="00D05BCC"/>
    <w:rsid w:val="00D06A3F"/>
    <w:rsid w:val="00D104E2"/>
    <w:rsid w:val="00D1128E"/>
    <w:rsid w:val="00D14F5A"/>
    <w:rsid w:val="00D151AE"/>
    <w:rsid w:val="00D165E1"/>
    <w:rsid w:val="00D23436"/>
    <w:rsid w:val="00D23937"/>
    <w:rsid w:val="00D23CDC"/>
    <w:rsid w:val="00D272D2"/>
    <w:rsid w:val="00D32585"/>
    <w:rsid w:val="00D35B5A"/>
    <w:rsid w:val="00D35BB5"/>
    <w:rsid w:val="00D428BE"/>
    <w:rsid w:val="00D42FDE"/>
    <w:rsid w:val="00D432D5"/>
    <w:rsid w:val="00D45A58"/>
    <w:rsid w:val="00D536DF"/>
    <w:rsid w:val="00D60CFD"/>
    <w:rsid w:val="00D61947"/>
    <w:rsid w:val="00D64CF6"/>
    <w:rsid w:val="00D67A56"/>
    <w:rsid w:val="00D70F9E"/>
    <w:rsid w:val="00D7208F"/>
    <w:rsid w:val="00D72EFF"/>
    <w:rsid w:val="00D7311D"/>
    <w:rsid w:val="00D736E8"/>
    <w:rsid w:val="00D7722D"/>
    <w:rsid w:val="00D853A5"/>
    <w:rsid w:val="00D92179"/>
    <w:rsid w:val="00D95200"/>
    <w:rsid w:val="00D9600E"/>
    <w:rsid w:val="00D96F4A"/>
    <w:rsid w:val="00DC5E51"/>
    <w:rsid w:val="00DD00AF"/>
    <w:rsid w:val="00DD3560"/>
    <w:rsid w:val="00DD3BA4"/>
    <w:rsid w:val="00DD496F"/>
    <w:rsid w:val="00DF27A1"/>
    <w:rsid w:val="00DF40F7"/>
    <w:rsid w:val="00DF5BC4"/>
    <w:rsid w:val="00DF7773"/>
    <w:rsid w:val="00E00A64"/>
    <w:rsid w:val="00E0533E"/>
    <w:rsid w:val="00E06E3C"/>
    <w:rsid w:val="00E128D4"/>
    <w:rsid w:val="00E12C7E"/>
    <w:rsid w:val="00E14D50"/>
    <w:rsid w:val="00E15EAA"/>
    <w:rsid w:val="00E16F20"/>
    <w:rsid w:val="00E214BF"/>
    <w:rsid w:val="00E22F4A"/>
    <w:rsid w:val="00E24117"/>
    <w:rsid w:val="00E2419A"/>
    <w:rsid w:val="00E26630"/>
    <w:rsid w:val="00E316E2"/>
    <w:rsid w:val="00E32932"/>
    <w:rsid w:val="00E368A3"/>
    <w:rsid w:val="00E440C3"/>
    <w:rsid w:val="00E4475F"/>
    <w:rsid w:val="00E46511"/>
    <w:rsid w:val="00E531E8"/>
    <w:rsid w:val="00E616B8"/>
    <w:rsid w:val="00E64EA4"/>
    <w:rsid w:val="00E654FF"/>
    <w:rsid w:val="00E7191D"/>
    <w:rsid w:val="00E754DB"/>
    <w:rsid w:val="00E8108A"/>
    <w:rsid w:val="00E81DE7"/>
    <w:rsid w:val="00E82FC4"/>
    <w:rsid w:val="00E843D1"/>
    <w:rsid w:val="00E91BE9"/>
    <w:rsid w:val="00E92343"/>
    <w:rsid w:val="00E943C6"/>
    <w:rsid w:val="00E945D2"/>
    <w:rsid w:val="00E95F7A"/>
    <w:rsid w:val="00E96079"/>
    <w:rsid w:val="00E975BF"/>
    <w:rsid w:val="00EB2D58"/>
    <w:rsid w:val="00EB33EE"/>
    <w:rsid w:val="00EB348D"/>
    <w:rsid w:val="00EB66BF"/>
    <w:rsid w:val="00EC699D"/>
    <w:rsid w:val="00EC6A37"/>
    <w:rsid w:val="00ED2473"/>
    <w:rsid w:val="00ED6170"/>
    <w:rsid w:val="00EE3800"/>
    <w:rsid w:val="00EE6AC8"/>
    <w:rsid w:val="00EE7F09"/>
    <w:rsid w:val="00EF3608"/>
    <w:rsid w:val="00EF701A"/>
    <w:rsid w:val="00EF77E7"/>
    <w:rsid w:val="00F147B8"/>
    <w:rsid w:val="00F150E1"/>
    <w:rsid w:val="00F23748"/>
    <w:rsid w:val="00F25BF0"/>
    <w:rsid w:val="00F310EB"/>
    <w:rsid w:val="00F34EE1"/>
    <w:rsid w:val="00F353AA"/>
    <w:rsid w:val="00F36F11"/>
    <w:rsid w:val="00F3749A"/>
    <w:rsid w:val="00F37F20"/>
    <w:rsid w:val="00F44CCF"/>
    <w:rsid w:val="00F44F78"/>
    <w:rsid w:val="00F465BA"/>
    <w:rsid w:val="00F46AAC"/>
    <w:rsid w:val="00F47055"/>
    <w:rsid w:val="00F47EA2"/>
    <w:rsid w:val="00F5276A"/>
    <w:rsid w:val="00F53733"/>
    <w:rsid w:val="00F61EBD"/>
    <w:rsid w:val="00F65446"/>
    <w:rsid w:val="00F65620"/>
    <w:rsid w:val="00F656B3"/>
    <w:rsid w:val="00F6609D"/>
    <w:rsid w:val="00F66DC2"/>
    <w:rsid w:val="00F70D28"/>
    <w:rsid w:val="00F82D5E"/>
    <w:rsid w:val="00F839E2"/>
    <w:rsid w:val="00F84380"/>
    <w:rsid w:val="00F85418"/>
    <w:rsid w:val="00F85811"/>
    <w:rsid w:val="00F878A7"/>
    <w:rsid w:val="00F933DA"/>
    <w:rsid w:val="00F93FC7"/>
    <w:rsid w:val="00F94ECB"/>
    <w:rsid w:val="00F95A37"/>
    <w:rsid w:val="00FB24CC"/>
    <w:rsid w:val="00FB6DC6"/>
    <w:rsid w:val="00FB71A8"/>
    <w:rsid w:val="00FC1813"/>
    <w:rsid w:val="00FC2BDC"/>
    <w:rsid w:val="00FC4377"/>
    <w:rsid w:val="00FC4CE6"/>
    <w:rsid w:val="00FC4F1F"/>
    <w:rsid w:val="00FC6230"/>
    <w:rsid w:val="00FE054F"/>
    <w:rsid w:val="00FE5ECE"/>
    <w:rsid w:val="00FE6B2C"/>
    <w:rsid w:val="00FE74A0"/>
    <w:rsid w:val="00FF7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954C74"/>
    <w:rPr>
      <w:sz w:val="16"/>
      <w:szCs w:val="16"/>
    </w:rPr>
  </w:style>
  <w:style w:type="paragraph" w:styleId="Komentarotekstas">
    <w:name w:val="annotation text"/>
    <w:basedOn w:val="prastasis"/>
    <w:link w:val="KomentarotekstasDiagrama"/>
    <w:unhideWhenUsed/>
    <w:rsid w:val="00954C74"/>
    <w:rPr>
      <w:sz w:val="20"/>
      <w:szCs w:val="20"/>
    </w:rPr>
  </w:style>
  <w:style w:type="character" w:customStyle="1" w:styleId="KomentarotekstasDiagrama">
    <w:name w:val="Komentaro tekstas Diagrama"/>
    <w:basedOn w:val="Numatytasispastraiposriftas"/>
    <w:link w:val="Komentarotekstas"/>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nhideWhenUsed/>
    <w:rsid w:val="00870F15"/>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rsid w:val="00870F15"/>
    <w:rPr>
      <w:rFonts w:ascii="Consolas" w:eastAsia="Times New Roman" w:hAnsi="Consolas" w:cs="Consolas"/>
      <w:sz w:val="20"/>
      <w:szCs w:val="20"/>
      <w:lang w:eastAsia="lt-LT"/>
    </w:rPr>
  </w:style>
  <w:style w:type="paragraph" w:customStyle="1" w:styleId="CM4">
    <w:name w:val="CM4"/>
    <w:basedOn w:val="prastasis"/>
    <w:next w:val="prastasis"/>
    <w:uiPriority w:val="99"/>
    <w:rsid w:val="007F6E28"/>
    <w:pPr>
      <w:autoSpaceDE w:val="0"/>
      <w:autoSpaceDN w:val="0"/>
      <w:adjustRightInd w:val="0"/>
    </w:pPr>
    <w:rPr>
      <w:rFonts w:eastAsiaTheme="minorHAnsi"/>
      <w:lang w:eastAsia="en-US"/>
    </w:rPr>
  </w:style>
  <w:style w:type="paragraph" w:styleId="Pataisymai">
    <w:name w:val="Revision"/>
    <w:hidden/>
    <w:uiPriority w:val="99"/>
    <w:semiHidden/>
    <w:rsid w:val="002F2679"/>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2F2679"/>
    <w:rPr>
      <w:color w:val="0000FF" w:themeColor="hyperlink"/>
      <w:u w:val="single"/>
    </w:rPr>
  </w:style>
  <w:style w:type="paragraph" w:customStyle="1" w:styleId="Default">
    <w:name w:val="Default"/>
    <w:rsid w:val="00014033"/>
    <w:pPr>
      <w:autoSpaceDE w:val="0"/>
      <w:autoSpaceDN w:val="0"/>
      <w:adjustRightInd w:val="0"/>
      <w:spacing w:after="0" w:line="240" w:lineRule="auto"/>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954C74"/>
    <w:rPr>
      <w:sz w:val="16"/>
      <w:szCs w:val="16"/>
    </w:rPr>
  </w:style>
  <w:style w:type="paragraph" w:styleId="Komentarotekstas">
    <w:name w:val="annotation text"/>
    <w:basedOn w:val="prastasis"/>
    <w:link w:val="KomentarotekstasDiagrama"/>
    <w:unhideWhenUsed/>
    <w:rsid w:val="00954C74"/>
    <w:rPr>
      <w:sz w:val="20"/>
      <w:szCs w:val="20"/>
    </w:rPr>
  </w:style>
  <w:style w:type="character" w:customStyle="1" w:styleId="KomentarotekstasDiagrama">
    <w:name w:val="Komentaro tekstas Diagrama"/>
    <w:basedOn w:val="Numatytasispastraiposriftas"/>
    <w:link w:val="Komentarotekstas"/>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nhideWhenUsed/>
    <w:rsid w:val="00870F15"/>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rsid w:val="00870F15"/>
    <w:rPr>
      <w:rFonts w:ascii="Consolas" w:eastAsia="Times New Roman" w:hAnsi="Consolas" w:cs="Consolas"/>
      <w:sz w:val="20"/>
      <w:szCs w:val="20"/>
      <w:lang w:eastAsia="lt-LT"/>
    </w:rPr>
  </w:style>
  <w:style w:type="paragraph" w:customStyle="1" w:styleId="CM4">
    <w:name w:val="CM4"/>
    <w:basedOn w:val="prastasis"/>
    <w:next w:val="prastasis"/>
    <w:uiPriority w:val="99"/>
    <w:rsid w:val="007F6E28"/>
    <w:pPr>
      <w:autoSpaceDE w:val="0"/>
      <w:autoSpaceDN w:val="0"/>
      <w:adjustRightInd w:val="0"/>
    </w:pPr>
    <w:rPr>
      <w:rFonts w:eastAsiaTheme="minorHAnsi"/>
      <w:lang w:eastAsia="en-US"/>
    </w:rPr>
  </w:style>
  <w:style w:type="paragraph" w:styleId="Pataisymai">
    <w:name w:val="Revision"/>
    <w:hidden/>
    <w:uiPriority w:val="99"/>
    <w:semiHidden/>
    <w:rsid w:val="002F2679"/>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2F2679"/>
    <w:rPr>
      <w:color w:val="0000FF" w:themeColor="hyperlink"/>
      <w:u w:val="single"/>
    </w:rPr>
  </w:style>
  <w:style w:type="paragraph" w:customStyle="1" w:styleId="Default">
    <w:name w:val="Default"/>
    <w:rsid w:val="00014033"/>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4935">
      <w:bodyDiv w:val="1"/>
      <w:marLeft w:val="0"/>
      <w:marRight w:val="0"/>
      <w:marTop w:val="0"/>
      <w:marBottom w:val="0"/>
      <w:divBdr>
        <w:top w:val="none" w:sz="0" w:space="0" w:color="auto"/>
        <w:left w:val="none" w:sz="0" w:space="0" w:color="auto"/>
        <w:bottom w:val="none" w:sz="0" w:space="0" w:color="auto"/>
        <w:right w:val="none" w:sz="0" w:space="0" w:color="auto"/>
      </w:divBdr>
    </w:div>
    <w:div w:id="397556649">
      <w:bodyDiv w:val="1"/>
      <w:marLeft w:val="0"/>
      <w:marRight w:val="0"/>
      <w:marTop w:val="0"/>
      <w:marBottom w:val="0"/>
      <w:divBdr>
        <w:top w:val="none" w:sz="0" w:space="0" w:color="auto"/>
        <w:left w:val="none" w:sz="0" w:space="0" w:color="auto"/>
        <w:bottom w:val="none" w:sz="0" w:space="0" w:color="auto"/>
        <w:right w:val="none" w:sz="0" w:space="0" w:color="auto"/>
      </w:divBdr>
    </w:div>
    <w:div w:id="461577507">
      <w:bodyDiv w:val="1"/>
      <w:marLeft w:val="0"/>
      <w:marRight w:val="0"/>
      <w:marTop w:val="0"/>
      <w:marBottom w:val="0"/>
      <w:divBdr>
        <w:top w:val="none" w:sz="0" w:space="0" w:color="auto"/>
        <w:left w:val="none" w:sz="0" w:space="0" w:color="auto"/>
        <w:bottom w:val="none" w:sz="0" w:space="0" w:color="auto"/>
        <w:right w:val="none" w:sz="0" w:space="0" w:color="auto"/>
      </w:divBdr>
    </w:div>
    <w:div w:id="770123658">
      <w:bodyDiv w:val="1"/>
      <w:marLeft w:val="0"/>
      <w:marRight w:val="0"/>
      <w:marTop w:val="0"/>
      <w:marBottom w:val="0"/>
      <w:divBdr>
        <w:top w:val="none" w:sz="0" w:space="0" w:color="auto"/>
        <w:left w:val="none" w:sz="0" w:space="0" w:color="auto"/>
        <w:bottom w:val="none" w:sz="0" w:space="0" w:color="auto"/>
        <w:right w:val="none" w:sz="0" w:space="0" w:color="auto"/>
      </w:divBdr>
    </w:div>
    <w:div w:id="784007429">
      <w:bodyDiv w:val="1"/>
      <w:marLeft w:val="225"/>
      <w:marRight w:val="225"/>
      <w:marTop w:val="0"/>
      <w:marBottom w:val="0"/>
      <w:divBdr>
        <w:top w:val="none" w:sz="0" w:space="0" w:color="auto"/>
        <w:left w:val="none" w:sz="0" w:space="0" w:color="auto"/>
        <w:bottom w:val="none" w:sz="0" w:space="0" w:color="auto"/>
        <w:right w:val="none" w:sz="0" w:space="0" w:color="auto"/>
      </w:divBdr>
      <w:divsChild>
        <w:div w:id="1004478391">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18497006">
      <w:bodyDiv w:val="1"/>
      <w:marLeft w:val="0"/>
      <w:marRight w:val="0"/>
      <w:marTop w:val="0"/>
      <w:marBottom w:val="0"/>
      <w:divBdr>
        <w:top w:val="none" w:sz="0" w:space="0" w:color="auto"/>
        <w:left w:val="none" w:sz="0" w:space="0" w:color="auto"/>
        <w:bottom w:val="none" w:sz="0" w:space="0" w:color="auto"/>
        <w:right w:val="none" w:sz="0" w:space="0" w:color="auto"/>
      </w:divBdr>
    </w:div>
    <w:div w:id="832642757">
      <w:bodyDiv w:val="1"/>
      <w:marLeft w:val="0"/>
      <w:marRight w:val="0"/>
      <w:marTop w:val="0"/>
      <w:marBottom w:val="0"/>
      <w:divBdr>
        <w:top w:val="none" w:sz="0" w:space="0" w:color="auto"/>
        <w:left w:val="none" w:sz="0" w:space="0" w:color="auto"/>
        <w:bottom w:val="none" w:sz="0" w:space="0" w:color="auto"/>
        <w:right w:val="none" w:sz="0" w:space="0" w:color="auto"/>
      </w:divBdr>
    </w:div>
    <w:div w:id="840852435">
      <w:bodyDiv w:val="1"/>
      <w:marLeft w:val="0"/>
      <w:marRight w:val="0"/>
      <w:marTop w:val="0"/>
      <w:marBottom w:val="0"/>
      <w:divBdr>
        <w:top w:val="none" w:sz="0" w:space="0" w:color="auto"/>
        <w:left w:val="none" w:sz="0" w:space="0" w:color="auto"/>
        <w:bottom w:val="none" w:sz="0" w:space="0" w:color="auto"/>
        <w:right w:val="none" w:sz="0" w:space="0" w:color="auto"/>
      </w:divBdr>
      <w:divsChild>
        <w:div w:id="1040858641">
          <w:marLeft w:val="0"/>
          <w:marRight w:val="0"/>
          <w:marTop w:val="0"/>
          <w:marBottom w:val="0"/>
          <w:divBdr>
            <w:top w:val="none" w:sz="0" w:space="0" w:color="auto"/>
            <w:left w:val="none" w:sz="0" w:space="0" w:color="auto"/>
            <w:bottom w:val="none" w:sz="0" w:space="0" w:color="auto"/>
            <w:right w:val="none" w:sz="0" w:space="0" w:color="auto"/>
          </w:divBdr>
          <w:divsChild>
            <w:div w:id="1704012147">
              <w:marLeft w:val="0"/>
              <w:marRight w:val="0"/>
              <w:marTop w:val="0"/>
              <w:marBottom w:val="0"/>
              <w:divBdr>
                <w:top w:val="none" w:sz="0" w:space="0" w:color="auto"/>
                <w:left w:val="none" w:sz="0" w:space="0" w:color="auto"/>
                <w:bottom w:val="none" w:sz="0" w:space="0" w:color="auto"/>
                <w:right w:val="none" w:sz="0" w:space="0" w:color="auto"/>
              </w:divBdr>
              <w:divsChild>
                <w:div w:id="873735814">
                  <w:marLeft w:val="0"/>
                  <w:marRight w:val="0"/>
                  <w:marTop w:val="0"/>
                  <w:marBottom w:val="0"/>
                  <w:divBdr>
                    <w:top w:val="none" w:sz="0" w:space="0" w:color="auto"/>
                    <w:left w:val="none" w:sz="0" w:space="0" w:color="auto"/>
                    <w:bottom w:val="none" w:sz="0" w:space="0" w:color="auto"/>
                    <w:right w:val="none" w:sz="0" w:space="0" w:color="auto"/>
                  </w:divBdr>
                  <w:divsChild>
                    <w:div w:id="1871264720">
                      <w:marLeft w:val="1"/>
                      <w:marRight w:val="1"/>
                      <w:marTop w:val="0"/>
                      <w:marBottom w:val="0"/>
                      <w:divBdr>
                        <w:top w:val="none" w:sz="0" w:space="0" w:color="auto"/>
                        <w:left w:val="none" w:sz="0" w:space="0" w:color="auto"/>
                        <w:bottom w:val="none" w:sz="0" w:space="0" w:color="auto"/>
                        <w:right w:val="none" w:sz="0" w:space="0" w:color="auto"/>
                      </w:divBdr>
                      <w:divsChild>
                        <w:div w:id="596597442">
                          <w:marLeft w:val="0"/>
                          <w:marRight w:val="0"/>
                          <w:marTop w:val="0"/>
                          <w:marBottom w:val="0"/>
                          <w:divBdr>
                            <w:top w:val="none" w:sz="0" w:space="0" w:color="auto"/>
                            <w:left w:val="none" w:sz="0" w:space="0" w:color="auto"/>
                            <w:bottom w:val="none" w:sz="0" w:space="0" w:color="auto"/>
                            <w:right w:val="none" w:sz="0" w:space="0" w:color="auto"/>
                          </w:divBdr>
                          <w:divsChild>
                            <w:div w:id="1504390565">
                              <w:marLeft w:val="0"/>
                              <w:marRight w:val="0"/>
                              <w:marTop w:val="0"/>
                              <w:marBottom w:val="360"/>
                              <w:divBdr>
                                <w:top w:val="none" w:sz="0" w:space="0" w:color="auto"/>
                                <w:left w:val="none" w:sz="0" w:space="0" w:color="auto"/>
                                <w:bottom w:val="none" w:sz="0" w:space="0" w:color="auto"/>
                                <w:right w:val="none" w:sz="0" w:space="0" w:color="auto"/>
                              </w:divBdr>
                              <w:divsChild>
                                <w:div w:id="1150944562">
                                  <w:marLeft w:val="0"/>
                                  <w:marRight w:val="0"/>
                                  <w:marTop w:val="0"/>
                                  <w:marBottom w:val="0"/>
                                  <w:divBdr>
                                    <w:top w:val="none" w:sz="0" w:space="0" w:color="auto"/>
                                    <w:left w:val="none" w:sz="0" w:space="0" w:color="auto"/>
                                    <w:bottom w:val="none" w:sz="0" w:space="0" w:color="auto"/>
                                    <w:right w:val="none" w:sz="0" w:space="0" w:color="auto"/>
                                  </w:divBdr>
                                  <w:divsChild>
                                    <w:div w:id="1143618015">
                                      <w:marLeft w:val="0"/>
                                      <w:marRight w:val="0"/>
                                      <w:marTop w:val="0"/>
                                      <w:marBottom w:val="0"/>
                                      <w:divBdr>
                                        <w:top w:val="none" w:sz="0" w:space="0" w:color="auto"/>
                                        <w:left w:val="none" w:sz="0" w:space="0" w:color="auto"/>
                                        <w:bottom w:val="none" w:sz="0" w:space="0" w:color="auto"/>
                                        <w:right w:val="none" w:sz="0" w:space="0" w:color="auto"/>
                                      </w:divBdr>
                                      <w:divsChild>
                                        <w:div w:id="668489139">
                                          <w:marLeft w:val="0"/>
                                          <w:marRight w:val="0"/>
                                          <w:marTop w:val="0"/>
                                          <w:marBottom w:val="0"/>
                                          <w:divBdr>
                                            <w:top w:val="none" w:sz="0" w:space="0" w:color="auto"/>
                                            <w:left w:val="none" w:sz="0" w:space="0" w:color="auto"/>
                                            <w:bottom w:val="none" w:sz="0" w:space="0" w:color="auto"/>
                                            <w:right w:val="none" w:sz="0" w:space="0" w:color="auto"/>
                                          </w:divBdr>
                                          <w:divsChild>
                                            <w:div w:id="1056010372">
                                              <w:marLeft w:val="0"/>
                                              <w:marRight w:val="0"/>
                                              <w:marTop w:val="0"/>
                                              <w:marBottom w:val="0"/>
                                              <w:divBdr>
                                                <w:top w:val="none" w:sz="0" w:space="0" w:color="auto"/>
                                                <w:left w:val="none" w:sz="0" w:space="0" w:color="auto"/>
                                                <w:bottom w:val="none" w:sz="0" w:space="0" w:color="auto"/>
                                                <w:right w:val="none" w:sz="0" w:space="0" w:color="auto"/>
                                              </w:divBdr>
                                              <w:divsChild>
                                                <w:div w:id="166796045">
                                                  <w:marLeft w:val="0"/>
                                                  <w:marRight w:val="0"/>
                                                  <w:marTop w:val="0"/>
                                                  <w:marBottom w:val="0"/>
                                                  <w:divBdr>
                                                    <w:top w:val="none" w:sz="0" w:space="0" w:color="auto"/>
                                                    <w:left w:val="none" w:sz="0" w:space="0" w:color="auto"/>
                                                    <w:bottom w:val="none" w:sz="0" w:space="0" w:color="auto"/>
                                                    <w:right w:val="none" w:sz="0" w:space="0" w:color="auto"/>
                                                  </w:divBdr>
                                                  <w:divsChild>
                                                    <w:div w:id="18613585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973412214">
      <w:bodyDiv w:val="1"/>
      <w:marLeft w:val="0"/>
      <w:marRight w:val="0"/>
      <w:marTop w:val="0"/>
      <w:marBottom w:val="0"/>
      <w:divBdr>
        <w:top w:val="none" w:sz="0" w:space="0" w:color="auto"/>
        <w:left w:val="none" w:sz="0" w:space="0" w:color="auto"/>
        <w:bottom w:val="none" w:sz="0" w:space="0" w:color="auto"/>
        <w:right w:val="none" w:sz="0" w:space="0" w:color="auto"/>
      </w:divBdr>
    </w:div>
    <w:div w:id="985234465">
      <w:bodyDiv w:val="1"/>
      <w:marLeft w:val="0"/>
      <w:marRight w:val="0"/>
      <w:marTop w:val="0"/>
      <w:marBottom w:val="0"/>
      <w:divBdr>
        <w:top w:val="none" w:sz="0" w:space="0" w:color="auto"/>
        <w:left w:val="none" w:sz="0" w:space="0" w:color="auto"/>
        <w:bottom w:val="none" w:sz="0" w:space="0" w:color="auto"/>
        <w:right w:val="none" w:sz="0" w:space="0" w:color="auto"/>
      </w:divBdr>
    </w:div>
    <w:div w:id="1026370514">
      <w:bodyDiv w:val="1"/>
      <w:marLeft w:val="0"/>
      <w:marRight w:val="0"/>
      <w:marTop w:val="0"/>
      <w:marBottom w:val="0"/>
      <w:divBdr>
        <w:top w:val="none" w:sz="0" w:space="0" w:color="auto"/>
        <w:left w:val="none" w:sz="0" w:space="0" w:color="auto"/>
        <w:bottom w:val="none" w:sz="0" w:space="0" w:color="auto"/>
        <w:right w:val="none" w:sz="0" w:space="0" w:color="auto"/>
      </w:divBdr>
    </w:div>
    <w:div w:id="1054308362">
      <w:bodyDiv w:val="1"/>
      <w:marLeft w:val="0"/>
      <w:marRight w:val="0"/>
      <w:marTop w:val="0"/>
      <w:marBottom w:val="0"/>
      <w:divBdr>
        <w:top w:val="none" w:sz="0" w:space="0" w:color="auto"/>
        <w:left w:val="none" w:sz="0" w:space="0" w:color="auto"/>
        <w:bottom w:val="none" w:sz="0" w:space="0" w:color="auto"/>
        <w:right w:val="none" w:sz="0" w:space="0" w:color="auto"/>
      </w:divBdr>
      <w:divsChild>
        <w:div w:id="1150898907">
          <w:marLeft w:val="0"/>
          <w:marRight w:val="0"/>
          <w:marTop w:val="0"/>
          <w:marBottom w:val="0"/>
          <w:divBdr>
            <w:top w:val="none" w:sz="0" w:space="0" w:color="auto"/>
            <w:left w:val="none" w:sz="0" w:space="0" w:color="auto"/>
            <w:bottom w:val="none" w:sz="0" w:space="0" w:color="auto"/>
            <w:right w:val="none" w:sz="0" w:space="0" w:color="auto"/>
          </w:divBdr>
          <w:divsChild>
            <w:div w:id="1617525030">
              <w:marLeft w:val="0"/>
              <w:marRight w:val="0"/>
              <w:marTop w:val="0"/>
              <w:marBottom w:val="0"/>
              <w:divBdr>
                <w:top w:val="none" w:sz="0" w:space="0" w:color="auto"/>
                <w:left w:val="none" w:sz="0" w:space="0" w:color="auto"/>
                <w:bottom w:val="none" w:sz="0" w:space="0" w:color="auto"/>
                <w:right w:val="none" w:sz="0" w:space="0" w:color="auto"/>
              </w:divBdr>
              <w:divsChild>
                <w:div w:id="495387000">
                  <w:marLeft w:val="0"/>
                  <w:marRight w:val="0"/>
                  <w:marTop w:val="0"/>
                  <w:marBottom w:val="0"/>
                  <w:divBdr>
                    <w:top w:val="none" w:sz="0" w:space="0" w:color="auto"/>
                    <w:left w:val="none" w:sz="0" w:space="0" w:color="auto"/>
                    <w:bottom w:val="none" w:sz="0" w:space="0" w:color="auto"/>
                    <w:right w:val="none" w:sz="0" w:space="0" w:color="auto"/>
                  </w:divBdr>
                  <w:divsChild>
                    <w:div w:id="1869176076">
                      <w:marLeft w:val="0"/>
                      <w:marRight w:val="0"/>
                      <w:marTop w:val="0"/>
                      <w:marBottom w:val="0"/>
                      <w:divBdr>
                        <w:top w:val="none" w:sz="0" w:space="0" w:color="auto"/>
                        <w:left w:val="none" w:sz="0" w:space="0" w:color="auto"/>
                        <w:bottom w:val="none" w:sz="0" w:space="0" w:color="auto"/>
                        <w:right w:val="none" w:sz="0" w:space="0" w:color="auto"/>
                      </w:divBdr>
                    </w:div>
                    <w:div w:id="1066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5577">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71022286">
      <w:bodyDiv w:val="1"/>
      <w:marLeft w:val="0"/>
      <w:marRight w:val="0"/>
      <w:marTop w:val="0"/>
      <w:marBottom w:val="0"/>
      <w:divBdr>
        <w:top w:val="none" w:sz="0" w:space="0" w:color="auto"/>
        <w:left w:val="none" w:sz="0" w:space="0" w:color="auto"/>
        <w:bottom w:val="none" w:sz="0" w:space="0" w:color="auto"/>
        <w:right w:val="none" w:sz="0" w:space="0" w:color="auto"/>
      </w:divBdr>
    </w:div>
    <w:div w:id="1479149072">
      <w:bodyDiv w:val="1"/>
      <w:marLeft w:val="225"/>
      <w:marRight w:val="225"/>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
      </w:divsChild>
    </w:div>
    <w:div w:id="1603339953">
      <w:bodyDiv w:val="1"/>
      <w:marLeft w:val="0"/>
      <w:marRight w:val="0"/>
      <w:marTop w:val="0"/>
      <w:marBottom w:val="0"/>
      <w:divBdr>
        <w:top w:val="none" w:sz="0" w:space="0" w:color="auto"/>
        <w:left w:val="none" w:sz="0" w:space="0" w:color="auto"/>
        <w:bottom w:val="none" w:sz="0" w:space="0" w:color="auto"/>
        <w:right w:val="none" w:sz="0" w:space="0" w:color="auto"/>
      </w:divBdr>
      <w:divsChild>
        <w:div w:id="1208838134">
          <w:marLeft w:val="0"/>
          <w:marRight w:val="0"/>
          <w:marTop w:val="0"/>
          <w:marBottom w:val="0"/>
          <w:divBdr>
            <w:top w:val="none" w:sz="0" w:space="0" w:color="auto"/>
            <w:left w:val="none" w:sz="0" w:space="0" w:color="auto"/>
            <w:bottom w:val="none" w:sz="0" w:space="0" w:color="auto"/>
            <w:right w:val="none" w:sz="0" w:space="0" w:color="auto"/>
          </w:divBdr>
          <w:divsChild>
            <w:div w:id="1706323484">
              <w:marLeft w:val="0"/>
              <w:marRight w:val="0"/>
              <w:marTop w:val="0"/>
              <w:marBottom w:val="0"/>
              <w:divBdr>
                <w:top w:val="none" w:sz="0" w:space="0" w:color="auto"/>
                <w:left w:val="none" w:sz="0" w:space="0" w:color="auto"/>
                <w:bottom w:val="none" w:sz="0" w:space="0" w:color="auto"/>
                <w:right w:val="none" w:sz="0" w:space="0" w:color="auto"/>
              </w:divBdr>
              <w:divsChild>
                <w:div w:id="382364298">
                  <w:marLeft w:val="0"/>
                  <w:marRight w:val="0"/>
                  <w:marTop w:val="0"/>
                  <w:marBottom w:val="0"/>
                  <w:divBdr>
                    <w:top w:val="none" w:sz="0" w:space="0" w:color="auto"/>
                    <w:left w:val="none" w:sz="0" w:space="0" w:color="auto"/>
                    <w:bottom w:val="none" w:sz="0" w:space="0" w:color="auto"/>
                    <w:right w:val="none" w:sz="0" w:space="0" w:color="auto"/>
                  </w:divBdr>
                  <w:divsChild>
                    <w:div w:id="1448620339">
                      <w:marLeft w:val="0"/>
                      <w:marRight w:val="0"/>
                      <w:marTop w:val="0"/>
                      <w:marBottom w:val="0"/>
                      <w:divBdr>
                        <w:top w:val="none" w:sz="0" w:space="0" w:color="auto"/>
                        <w:left w:val="none" w:sz="0" w:space="0" w:color="auto"/>
                        <w:bottom w:val="none" w:sz="0" w:space="0" w:color="auto"/>
                        <w:right w:val="none" w:sz="0" w:space="0" w:color="auto"/>
                      </w:divBdr>
                      <w:divsChild>
                        <w:div w:id="792597395">
                          <w:marLeft w:val="0"/>
                          <w:marRight w:val="0"/>
                          <w:marTop w:val="0"/>
                          <w:marBottom w:val="0"/>
                          <w:divBdr>
                            <w:top w:val="none" w:sz="0" w:space="0" w:color="auto"/>
                            <w:left w:val="none" w:sz="0" w:space="0" w:color="auto"/>
                            <w:bottom w:val="none" w:sz="0" w:space="0" w:color="auto"/>
                            <w:right w:val="none" w:sz="0" w:space="0" w:color="auto"/>
                          </w:divBdr>
                        </w:div>
                        <w:div w:id="1077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895918">
      <w:bodyDiv w:val="1"/>
      <w:marLeft w:val="0"/>
      <w:marRight w:val="0"/>
      <w:marTop w:val="0"/>
      <w:marBottom w:val="0"/>
      <w:divBdr>
        <w:top w:val="none" w:sz="0" w:space="0" w:color="auto"/>
        <w:left w:val="none" w:sz="0" w:space="0" w:color="auto"/>
        <w:bottom w:val="none" w:sz="0" w:space="0" w:color="auto"/>
        <w:right w:val="none" w:sz="0" w:space="0" w:color="auto"/>
      </w:divBdr>
    </w:div>
    <w:div w:id="21098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F51B-3424-4FA7-9A13-D19CA3C9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8665</Words>
  <Characters>4940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2020-07-14T11:46:00Z</dcterms:created>
  <dc:creator>Asta Misiukienė</dc:creator>
  <cp:lastModifiedBy>Asta Misiukienė</cp:lastModifiedBy>
  <cp:lastPrinted>2020-02-24T12:52:00Z</cp:lastPrinted>
  <dcterms:modified xsi:type="dcterms:W3CDTF">2020-07-14T11:49:00Z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-642197475</vt:i4>
  </property>
  <property fmtid="{D5CDD505-2E9C-101B-9397-08002B2CF9AE}" pid="3" name="_NewReviewCycle">
    <vt:lpwstr/>
  </property>
  <property fmtid="{D5CDD505-2E9C-101B-9397-08002B2CF9AE}" pid="4" name="_EmailSubject">
    <vt:lpwstr>patikslinimai</vt:lpwstr>
  </property>
  <property fmtid="{D5CDD505-2E9C-101B-9397-08002B2CF9AE}" pid="5" name="_AuthorEmail">
    <vt:lpwstr>Asta.Misiukiene@socmin.lt</vt:lpwstr>
  </property>
  <property fmtid="{D5CDD505-2E9C-101B-9397-08002B2CF9AE}" pid="6" name="_AuthorEmailDisplayName">
    <vt:lpwstr>Asta Misiukienė</vt:lpwstr>
  </property>
  <property fmtid="{D5CDD505-2E9C-101B-9397-08002B2CF9AE}" pid="7" name="_PreviousAdHocReviewCycleID">
    <vt:i4>196136571</vt:i4>
  </property>
  <property fmtid="{D5CDD505-2E9C-101B-9397-08002B2CF9AE}" pid="8" name="_ReviewingToolsShownOnce">
    <vt:lpwstr/>
  </property>
</Properties>
</file>