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FDF34" w14:textId="604CB0BD" w:rsidR="00C6481F" w:rsidRPr="00234180" w:rsidRDefault="00D91BF2" w:rsidP="00A6490A">
      <w:pPr>
        <w:jc w:val="center"/>
        <w:rPr>
          <w:b/>
          <w:color w:val="000000" w:themeColor="text1"/>
          <w:lang w:eastAsia="lt-LT"/>
        </w:rPr>
      </w:pPr>
      <w:bookmarkStart w:id="0" w:name="_GoBack"/>
      <w:bookmarkEnd w:id="0"/>
      <w:r w:rsidRPr="00F857C8">
        <w:rPr>
          <w:b/>
          <w:color w:val="000000" w:themeColor="text1"/>
          <w:lang w:eastAsia="lt-LT"/>
        </w:rPr>
        <w:t xml:space="preserve">LIETUVOS RESPUBLIKOS </w:t>
      </w:r>
      <w:r w:rsidR="00A6490A" w:rsidRPr="00F857C8">
        <w:rPr>
          <w:b/>
          <w:color w:val="000000" w:themeColor="text1"/>
          <w:lang w:eastAsia="lt-LT"/>
        </w:rPr>
        <w:t xml:space="preserve">VYRIAUSYBĖS NUTARIMO </w:t>
      </w:r>
      <w:r w:rsidR="003A69FD" w:rsidRPr="00F857C8">
        <w:rPr>
          <w:b/>
          <w:color w:val="000000" w:themeColor="text1"/>
          <w:lang w:eastAsia="lt-LT"/>
        </w:rPr>
        <w:t>„</w:t>
      </w:r>
      <w:r w:rsidR="003A69FD" w:rsidRPr="00F857C8">
        <w:rPr>
          <w:rFonts w:eastAsia="Calibri"/>
          <w:b/>
          <w:lang w:eastAsia="lt-LT"/>
        </w:rPr>
        <w:t>DĖL LIETUVOS RESPUBLIKOS VYRIAUSYBĖS 200</w:t>
      </w:r>
      <w:r w:rsidR="00F857C8" w:rsidRPr="00F857C8">
        <w:rPr>
          <w:rFonts w:eastAsia="Calibri"/>
          <w:b/>
          <w:lang w:eastAsia="lt-LT"/>
        </w:rPr>
        <w:t>6</w:t>
      </w:r>
      <w:r w:rsidR="003A69FD" w:rsidRPr="00F857C8">
        <w:rPr>
          <w:rFonts w:eastAsia="Calibri"/>
          <w:b/>
          <w:lang w:eastAsia="lt-LT"/>
        </w:rPr>
        <w:t xml:space="preserve"> M. </w:t>
      </w:r>
      <w:r w:rsidR="00F857C8" w:rsidRPr="00F857C8">
        <w:rPr>
          <w:rFonts w:eastAsia="Calibri"/>
          <w:b/>
          <w:lang w:eastAsia="lt-LT"/>
        </w:rPr>
        <w:t>GRUODŽIO</w:t>
      </w:r>
      <w:r w:rsidR="003A69FD" w:rsidRPr="00F857C8">
        <w:rPr>
          <w:rFonts w:eastAsia="Calibri"/>
          <w:b/>
          <w:lang w:eastAsia="lt-LT"/>
        </w:rPr>
        <w:t xml:space="preserve"> </w:t>
      </w:r>
      <w:r w:rsidR="00F857C8" w:rsidRPr="00F857C8">
        <w:rPr>
          <w:rFonts w:eastAsia="Calibri"/>
          <w:b/>
          <w:lang w:eastAsia="lt-LT"/>
        </w:rPr>
        <w:t>6</w:t>
      </w:r>
      <w:r w:rsidR="003A69FD" w:rsidRPr="00F857C8">
        <w:rPr>
          <w:rFonts w:eastAsia="Calibri"/>
          <w:b/>
          <w:lang w:eastAsia="lt-LT"/>
        </w:rPr>
        <w:t xml:space="preserve"> D. NUTARIMO NR. 1</w:t>
      </w:r>
      <w:r w:rsidR="00F857C8" w:rsidRPr="00F857C8">
        <w:rPr>
          <w:rFonts w:eastAsia="Calibri"/>
          <w:b/>
          <w:lang w:eastAsia="lt-LT"/>
        </w:rPr>
        <w:t>212</w:t>
      </w:r>
      <w:r w:rsidR="003A69FD" w:rsidRPr="00F857C8">
        <w:rPr>
          <w:rFonts w:eastAsia="Calibri"/>
          <w:b/>
          <w:lang w:eastAsia="lt-LT"/>
        </w:rPr>
        <w:t xml:space="preserve"> „DĖL LIETUVOS RESPUBLIKOS </w:t>
      </w:r>
      <w:r w:rsidR="00F857C8" w:rsidRPr="00F857C8">
        <w:rPr>
          <w:rFonts w:eastAsia="Calibri"/>
          <w:b/>
          <w:lang w:eastAsia="lt-LT"/>
        </w:rPr>
        <w:t>JŪRININKŲ REGISTRO</w:t>
      </w:r>
      <w:r w:rsidR="003A69FD" w:rsidRPr="00F857C8">
        <w:rPr>
          <w:rFonts w:eastAsia="Calibri"/>
          <w:b/>
          <w:lang w:eastAsia="lt-LT"/>
        </w:rPr>
        <w:t xml:space="preserve">“ PAKEITIMO“ </w:t>
      </w:r>
      <w:r w:rsidR="00C6481F" w:rsidRPr="00F857C8">
        <w:rPr>
          <w:b/>
          <w:color w:val="000000" w:themeColor="text1"/>
        </w:rPr>
        <w:t>DERINIMO PAŽYMA</w:t>
      </w:r>
    </w:p>
    <w:p w14:paraId="2B6F7E96" w14:textId="6CA9CA3E" w:rsidR="00225FE7" w:rsidRPr="00225FE7" w:rsidRDefault="00225FE7" w:rsidP="00225FE7">
      <w:pPr>
        <w:jc w:val="center"/>
        <w:rPr>
          <w:rFonts w:eastAsia="Calibri"/>
          <w:b/>
          <w:lang w:eastAsia="lt-LT"/>
        </w:rPr>
      </w:pPr>
    </w:p>
    <w:p w14:paraId="3E6FDF35" w14:textId="77777777" w:rsidR="00A6490A" w:rsidRPr="00234180" w:rsidRDefault="00A6490A" w:rsidP="00C6481F">
      <w:pPr>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6662"/>
      </w:tblGrid>
      <w:tr w:rsidR="00234180" w:rsidRPr="00234180" w14:paraId="3E6FDF3B" w14:textId="77777777" w:rsidTr="00AD79E1">
        <w:tc>
          <w:tcPr>
            <w:tcW w:w="1668" w:type="dxa"/>
          </w:tcPr>
          <w:p w14:paraId="3E6FDF37" w14:textId="77777777" w:rsidR="00A166BC" w:rsidRPr="00234180" w:rsidRDefault="00A166BC" w:rsidP="0079518D">
            <w:pPr>
              <w:jc w:val="center"/>
              <w:rPr>
                <w:color w:val="000000" w:themeColor="text1"/>
              </w:rPr>
            </w:pPr>
            <w:r w:rsidRPr="00234180">
              <w:rPr>
                <w:color w:val="000000" w:themeColor="text1"/>
              </w:rPr>
              <w:t>Institucijos pavadinimas,</w:t>
            </w:r>
          </w:p>
          <w:p w14:paraId="3E6FDF38" w14:textId="77777777" w:rsidR="00A166BC" w:rsidRPr="00234180" w:rsidRDefault="00A166BC" w:rsidP="0079518D">
            <w:pPr>
              <w:jc w:val="center"/>
              <w:rPr>
                <w:color w:val="000000" w:themeColor="text1"/>
              </w:rPr>
            </w:pPr>
            <w:r w:rsidRPr="00234180">
              <w:rPr>
                <w:color w:val="000000" w:themeColor="text1"/>
              </w:rPr>
              <w:t>rašto data ir numeris</w:t>
            </w:r>
          </w:p>
        </w:tc>
        <w:tc>
          <w:tcPr>
            <w:tcW w:w="6804" w:type="dxa"/>
          </w:tcPr>
          <w:p w14:paraId="3E6FDF39" w14:textId="77777777" w:rsidR="00A166BC" w:rsidRPr="00234180" w:rsidRDefault="00A166BC" w:rsidP="0079518D">
            <w:pPr>
              <w:jc w:val="center"/>
              <w:rPr>
                <w:color w:val="000000" w:themeColor="text1"/>
              </w:rPr>
            </w:pPr>
            <w:r w:rsidRPr="00234180">
              <w:rPr>
                <w:color w:val="000000" w:themeColor="text1"/>
              </w:rPr>
              <w:t>Pastabos ir pasiūlymai</w:t>
            </w:r>
          </w:p>
        </w:tc>
        <w:tc>
          <w:tcPr>
            <w:tcW w:w="6662" w:type="dxa"/>
          </w:tcPr>
          <w:p w14:paraId="3E6FDF3A" w14:textId="77777777" w:rsidR="00A166BC" w:rsidRPr="00234180" w:rsidRDefault="00E86B53" w:rsidP="0079518D">
            <w:pPr>
              <w:jc w:val="center"/>
              <w:rPr>
                <w:color w:val="000000" w:themeColor="text1"/>
              </w:rPr>
            </w:pPr>
            <w:r w:rsidRPr="00234180">
              <w:rPr>
                <w:color w:val="000000" w:themeColor="text1"/>
              </w:rPr>
              <w:t>Argumentai, kodėl neatsižvelgta arba atsižvelgta iš dalies į pastabas ir pasiūlymus</w:t>
            </w:r>
          </w:p>
        </w:tc>
      </w:tr>
      <w:tr w:rsidR="00234180" w:rsidRPr="00234180" w14:paraId="538259EF" w14:textId="77777777" w:rsidTr="00AD79E1">
        <w:tc>
          <w:tcPr>
            <w:tcW w:w="1668" w:type="dxa"/>
          </w:tcPr>
          <w:p w14:paraId="27460C90" w14:textId="0092BD9D" w:rsidR="00B160D7" w:rsidRPr="005721C4" w:rsidRDefault="005721C4" w:rsidP="00B160D7">
            <w:pPr>
              <w:rPr>
                <w:color w:val="000000" w:themeColor="text1"/>
              </w:rPr>
            </w:pPr>
            <w:r w:rsidRPr="005721C4">
              <w:rPr>
                <w:color w:val="000000" w:themeColor="text1"/>
              </w:rPr>
              <w:t>Lietuvos Respublikos Vyriausybės</w:t>
            </w:r>
            <w:r w:rsidR="00B160D7" w:rsidRPr="005721C4">
              <w:rPr>
                <w:color w:val="000000" w:themeColor="text1"/>
              </w:rPr>
              <w:t xml:space="preserve"> 201</w:t>
            </w:r>
            <w:r w:rsidRPr="005721C4">
              <w:rPr>
                <w:color w:val="000000" w:themeColor="text1"/>
              </w:rPr>
              <w:t xml:space="preserve">9 </w:t>
            </w:r>
            <w:r w:rsidR="00B160D7" w:rsidRPr="005721C4">
              <w:rPr>
                <w:color w:val="000000" w:themeColor="text1"/>
              </w:rPr>
              <w:t xml:space="preserve">m. </w:t>
            </w:r>
            <w:r w:rsidRPr="005721C4">
              <w:rPr>
                <w:color w:val="000000" w:themeColor="text1"/>
              </w:rPr>
              <w:t>sausio 4 d.</w:t>
            </w:r>
            <w:r w:rsidR="00B160D7" w:rsidRPr="005721C4">
              <w:rPr>
                <w:color w:val="000000" w:themeColor="text1"/>
              </w:rPr>
              <w:t xml:space="preserve"> raštas</w:t>
            </w:r>
          </w:p>
          <w:p w14:paraId="6E00A89E" w14:textId="5D4734DE" w:rsidR="00B160D7" w:rsidRPr="005721C4" w:rsidRDefault="00B160D7" w:rsidP="00234180">
            <w:pPr>
              <w:rPr>
                <w:color w:val="000000" w:themeColor="text1"/>
              </w:rPr>
            </w:pPr>
            <w:r w:rsidRPr="005721C4">
              <w:rPr>
                <w:color w:val="000000" w:themeColor="text1"/>
              </w:rPr>
              <w:t>Nr.</w:t>
            </w:r>
            <w:r w:rsidR="00234180" w:rsidRPr="005721C4">
              <w:rPr>
                <w:rFonts w:ascii="Arial" w:hAnsi="Arial" w:cs="Arial"/>
                <w:color w:val="000000" w:themeColor="text1"/>
                <w:sz w:val="20"/>
                <w:szCs w:val="20"/>
              </w:rPr>
              <w:t xml:space="preserve"> </w:t>
            </w:r>
            <w:r w:rsidR="005721C4" w:rsidRPr="005721C4">
              <w:rPr>
                <w:color w:val="000000" w:themeColor="text1"/>
              </w:rPr>
              <w:t>NV-22</w:t>
            </w:r>
            <w:r w:rsidRPr="005721C4">
              <w:rPr>
                <w:color w:val="000000" w:themeColor="text1"/>
              </w:rPr>
              <w:t xml:space="preserve"> </w:t>
            </w:r>
          </w:p>
        </w:tc>
        <w:tc>
          <w:tcPr>
            <w:tcW w:w="6804" w:type="dxa"/>
          </w:tcPr>
          <w:p w14:paraId="438CAAD4" w14:textId="3BE7EF62" w:rsidR="000759B1" w:rsidRPr="000759B1" w:rsidRDefault="00992409" w:rsidP="000759B1">
            <w:pPr>
              <w:numPr>
                <w:ilvl w:val="0"/>
                <w:numId w:val="36"/>
              </w:numPr>
              <w:autoSpaceDE w:val="0"/>
              <w:autoSpaceDN w:val="0"/>
              <w:adjustRightInd w:val="0"/>
              <w:rPr>
                <w:rFonts w:ascii="TimesNewRomanPSMT" w:hAnsi="TimesNewRomanPSMT" w:cs="TimesNewRomanPSMT"/>
                <w:color w:val="000000" w:themeColor="text1"/>
                <w:lang w:eastAsia="lt-LT"/>
              </w:rPr>
            </w:pPr>
            <w:r w:rsidRPr="00992409">
              <w:rPr>
                <w:rFonts w:ascii="TimesNewRomanPSMT" w:hAnsi="TimesNewRomanPSMT" w:cs="TimesNewRomanPSMT"/>
                <w:color w:val="000000" w:themeColor="text1"/>
                <w:lang w:eastAsia="lt-LT"/>
              </w:rPr>
              <w:t xml:space="preserve">Siūlome įvertinti, ar Nuostatuose siūlomas teisinis reguliavimas tinkamai įgyvendina Reglamento (ES) 2016/679 nuostatas. Pavyzdžiui, Nuostatų 9 ir 10 punktų reguliavimas įvertintinas tuo aspektu, ar jis užtikrina Reglamento (ES) 2016/679 28 straipsnio 3 dalies nuostatų, kuriomis nustatomi reikalavimai teisės aktams, reglamentuojantiems duomenų valdytojo ir duomenų tvarkytojo santykius, kai jie apibrėžiami ne sutartimi, o teisės aktu, įgyvendinimą; </w:t>
            </w:r>
          </w:p>
          <w:p w14:paraId="4FC26626"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7068A121"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21891995"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5EE9E1FE"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1D41EC69"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66B49021"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778F7D89"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03A12385" w14:textId="77777777" w:rsidR="000759B1" w:rsidRDefault="000759B1" w:rsidP="00992409">
            <w:pPr>
              <w:numPr>
                <w:ilvl w:val="0"/>
                <w:numId w:val="36"/>
              </w:numPr>
              <w:autoSpaceDE w:val="0"/>
              <w:autoSpaceDN w:val="0"/>
              <w:adjustRightInd w:val="0"/>
              <w:rPr>
                <w:rFonts w:ascii="TimesNewRomanPSMT" w:hAnsi="TimesNewRomanPSMT" w:cs="TimesNewRomanPSMT"/>
                <w:color w:val="000000" w:themeColor="text1"/>
                <w:lang w:eastAsia="lt-LT"/>
              </w:rPr>
            </w:pPr>
          </w:p>
          <w:p w14:paraId="68366FF3" w14:textId="77777777" w:rsidR="000759B1" w:rsidRPr="00C61D53" w:rsidRDefault="000759B1" w:rsidP="00C61D53">
            <w:pPr>
              <w:autoSpaceDE w:val="0"/>
              <w:autoSpaceDN w:val="0"/>
              <w:adjustRightInd w:val="0"/>
              <w:rPr>
                <w:rFonts w:ascii="TimesNewRomanPSMT" w:hAnsi="TimesNewRomanPSMT" w:cs="TimesNewRomanPSMT"/>
                <w:color w:val="000000" w:themeColor="text1"/>
                <w:lang w:eastAsia="lt-LT"/>
              </w:rPr>
            </w:pPr>
          </w:p>
          <w:p w14:paraId="6DBE13CA" w14:textId="5C267B51" w:rsidR="00C61D53" w:rsidRDefault="00C61D53" w:rsidP="00C61D53">
            <w:pPr>
              <w:autoSpaceDE w:val="0"/>
              <w:autoSpaceDN w:val="0"/>
              <w:adjustRightInd w:val="0"/>
              <w:rPr>
                <w:rFonts w:ascii="TimesNewRomanPSMT" w:hAnsi="TimesNewRomanPSMT" w:cs="TimesNewRomanPSMT"/>
                <w:color w:val="000000" w:themeColor="text1"/>
                <w:lang w:eastAsia="lt-LT"/>
              </w:rPr>
            </w:pPr>
          </w:p>
          <w:p w14:paraId="4B55AC31" w14:textId="77777777" w:rsidR="009E7D61" w:rsidRDefault="009E7D61" w:rsidP="00C61D53">
            <w:pPr>
              <w:autoSpaceDE w:val="0"/>
              <w:autoSpaceDN w:val="0"/>
              <w:adjustRightInd w:val="0"/>
              <w:rPr>
                <w:rFonts w:ascii="TimesNewRomanPSMT" w:hAnsi="TimesNewRomanPSMT" w:cs="TimesNewRomanPSMT"/>
                <w:color w:val="000000" w:themeColor="text1"/>
                <w:lang w:eastAsia="lt-LT"/>
              </w:rPr>
            </w:pPr>
          </w:p>
          <w:p w14:paraId="73F3B3FB" w14:textId="78F1C276" w:rsidR="00992409" w:rsidRPr="00992409" w:rsidRDefault="00992409" w:rsidP="00C61D53">
            <w:pPr>
              <w:autoSpaceDE w:val="0"/>
              <w:autoSpaceDN w:val="0"/>
              <w:adjustRightInd w:val="0"/>
              <w:rPr>
                <w:rFonts w:ascii="TimesNewRomanPSMT" w:hAnsi="TimesNewRomanPSMT" w:cs="TimesNewRomanPSMT"/>
                <w:color w:val="000000" w:themeColor="text1"/>
                <w:lang w:eastAsia="lt-LT"/>
              </w:rPr>
            </w:pPr>
            <w:r w:rsidRPr="00992409">
              <w:rPr>
                <w:rFonts w:ascii="TimesNewRomanPSMT" w:hAnsi="TimesNewRomanPSMT" w:cs="TimesNewRomanPSMT"/>
                <w:color w:val="000000" w:themeColor="text1"/>
                <w:lang w:eastAsia="lt-LT"/>
              </w:rPr>
              <w:t xml:space="preserve">Nuostatų 54 punktas tikslintinas atsižvelgiant į tai, kad nei Reglamentas (ES) 2016/679, nei Asmens duomenų teisinės apsaugos </w:t>
            </w:r>
            <w:r w:rsidRPr="00992409">
              <w:rPr>
                <w:rFonts w:ascii="TimesNewRomanPSMT" w:hAnsi="TimesNewRomanPSMT" w:cs="TimesNewRomanPSMT"/>
                <w:color w:val="000000" w:themeColor="text1"/>
                <w:lang w:eastAsia="lt-LT"/>
              </w:rPr>
              <w:lastRenderedPageBreak/>
              <w:t>įstatymas nenustato asmens duomenų teikimo tvarkos, todėl nuorodos į minėtus teisės aktus yra nepakankamos, o turėtų būti įtvirtintos konkrečios asmens duomenų teikimą įtvirtinančios nuostatos ir kita.</w:t>
            </w:r>
          </w:p>
          <w:p w14:paraId="2A51A9C4" w14:textId="2CC09A7F" w:rsidR="00B160D7" w:rsidRPr="00234180" w:rsidRDefault="00B160D7" w:rsidP="00B160D7">
            <w:pPr>
              <w:autoSpaceDE w:val="0"/>
              <w:autoSpaceDN w:val="0"/>
              <w:adjustRightInd w:val="0"/>
              <w:rPr>
                <w:color w:val="000000" w:themeColor="text1"/>
              </w:rPr>
            </w:pPr>
          </w:p>
        </w:tc>
        <w:tc>
          <w:tcPr>
            <w:tcW w:w="6662" w:type="dxa"/>
          </w:tcPr>
          <w:p w14:paraId="1EDAACA3" w14:textId="77777777" w:rsidR="00B160D7" w:rsidRDefault="00B160D7" w:rsidP="00B160D7">
            <w:pPr>
              <w:tabs>
                <w:tab w:val="left" w:pos="993"/>
              </w:tabs>
              <w:rPr>
                <w:bCs/>
                <w:color w:val="000000" w:themeColor="text1"/>
              </w:rPr>
            </w:pPr>
            <w:r w:rsidRPr="00234180">
              <w:rPr>
                <w:b/>
                <w:bCs/>
                <w:color w:val="000000" w:themeColor="text1"/>
              </w:rPr>
              <w:lastRenderedPageBreak/>
              <w:t>Neatsižvelgta.</w:t>
            </w:r>
          </w:p>
          <w:p w14:paraId="1F38251A" w14:textId="43A71E4B" w:rsidR="000759B1" w:rsidRDefault="00B71BE8" w:rsidP="00B71BE8">
            <w:pPr>
              <w:tabs>
                <w:tab w:val="left" w:pos="993"/>
              </w:tabs>
              <w:rPr>
                <w:color w:val="000000" w:themeColor="text1"/>
              </w:rPr>
            </w:pPr>
            <w:r w:rsidRPr="00B71BE8">
              <w:rPr>
                <w:color w:val="000000" w:themeColor="text1"/>
                <w:u w:val="single"/>
              </w:rPr>
              <w:t>Dėl 9 p.:</w:t>
            </w:r>
            <w:r>
              <w:rPr>
                <w:color w:val="000000" w:themeColor="text1"/>
              </w:rPr>
              <w:t xml:space="preserve"> </w:t>
            </w:r>
            <w:r w:rsidR="000759B1" w:rsidRPr="000759B1">
              <w:rPr>
                <w:color w:val="000000" w:themeColor="text1"/>
              </w:rPr>
              <w:t xml:space="preserve">Manome, kad tinkamai įgyvendinamos Reglamento </w:t>
            </w:r>
            <w:r w:rsidR="00F226DC" w:rsidRPr="00992409">
              <w:rPr>
                <w:rFonts w:ascii="TimesNewRomanPSMT" w:hAnsi="TimesNewRomanPSMT" w:cs="TimesNewRomanPSMT"/>
                <w:color w:val="000000" w:themeColor="text1"/>
                <w:lang w:eastAsia="lt-LT"/>
              </w:rPr>
              <w:t xml:space="preserve">(ES) 2016/679 </w:t>
            </w:r>
            <w:r w:rsidR="000759B1" w:rsidRPr="000759B1">
              <w:rPr>
                <w:color w:val="000000" w:themeColor="text1"/>
              </w:rPr>
              <w:t xml:space="preserve">nuostatos. Išrašyti Reglamente </w:t>
            </w:r>
            <w:r w:rsidR="00F226DC" w:rsidRPr="00992409">
              <w:rPr>
                <w:rFonts w:ascii="TimesNewRomanPSMT" w:hAnsi="TimesNewRomanPSMT" w:cs="TimesNewRomanPSMT"/>
                <w:color w:val="000000" w:themeColor="text1"/>
                <w:lang w:eastAsia="lt-LT"/>
              </w:rPr>
              <w:t xml:space="preserve">(ES) 2016/679 </w:t>
            </w:r>
            <w:r w:rsidR="000759B1" w:rsidRPr="000759B1">
              <w:rPr>
                <w:color w:val="000000" w:themeColor="text1"/>
              </w:rPr>
              <w:t xml:space="preserve">visas minimas duomenų valdytojo prievoles ar išrašyti visus su prievolėmis susijusius Reglamento </w:t>
            </w:r>
            <w:r w:rsidR="00F226DC" w:rsidRPr="00992409">
              <w:rPr>
                <w:rFonts w:ascii="TimesNewRomanPSMT" w:hAnsi="TimesNewRomanPSMT" w:cs="TimesNewRomanPSMT"/>
                <w:color w:val="000000" w:themeColor="text1"/>
                <w:lang w:eastAsia="lt-LT"/>
              </w:rPr>
              <w:t xml:space="preserve">(ES) 2016/679 </w:t>
            </w:r>
            <w:r w:rsidR="000759B1" w:rsidRPr="000759B1">
              <w:rPr>
                <w:color w:val="000000" w:themeColor="text1"/>
              </w:rPr>
              <w:t xml:space="preserve">straipsnius nėra tikslinga, nes Reglamentas </w:t>
            </w:r>
            <w:r w:rsidR="00F226DC" w:rsidRPr="00992409">
              <w:rPr>
                <w:rFonts w:ascii="TimesNewRomanPSMT" w:hAnsi="TimesNewRomanPSMT" w:cs="TimesNewRomanPSMT"/>
                <w:color w:val="000000" w:themeColor="text1"/>
                <w:lang w:eastAsia="lt-LT"/>
              </w:rPr>
              <w:t xml:space="preserve">(ES) 2016/679 </w:t>
            </w:r>
            <w:r w:rsidR="000759B1" w:rsidRPr="000759B1">
              <w:rPr>
                <w:color w:val="000000" w:themeColor="text1"/>
              </w:rPr>
              <w:t>yra tiesioginio taikymo aktas, todėl atitinkamai Nuostat</w:t>
            </w:r>
            <w:r w:rsidR="00782BFD">
              <w:rPr>
                <w:color w:val="000000" w:themeColor="text1"/>
              </w:rPr>
              <w:t>ų projekt</w:t>
            </w:r>
            <w:r w:rsidR="00D60FCB">
              <w:rPr>
                <w:color w:val="000000" w:themeColor="text1"/>
              </w:rPr>
              <w:t>o 9 p.</w:t>
            </w:r>
            <w:r w:rsidR="000759B1" w:rsidRPr="000759B1">
              <w:rPr>
                <w:color w:val="000000" w:themeColor="text1"/>
              </w:rPr>
              <w:t xml:space="preserve"> buvo detalizuota, kad registro valdytojas įgyvendina duomenų valdytojo prievoles, numatytas Reglamente</w:t>
            </w:r>
            <w:r w:rsidR="00F226DC">
              <w:rPr>
                <w:color w:val="000000" w:themeColor="text1"/>
              </w:rPr>
              <w:t xml:space="preserve"> </w:t>
            </w:r>
            <w:r w:rsidR="00F226DC" w:rsidRPr="00992409">
              <w:rPr>
                <w:rFonts w:ascii="TimesNewRomanPSMT" w:hAnsi="TimesNewRomanPSMT" w:cs="TimesNewRomanPSMT"/>
                <w:color w:val="000000" w:themeColor="text1"/>
                <w:lang w:eastAsia="lt-LT"/>
              </w:rPr>
              <w:t>(ES) 2016/679</w:t>
            </w:r>
            <w:r w:rsidR="000759B1" w:rsidRPr="000759B1">
              <w:rPr>
                <w:color w:val="000000" w:themeColor="text1"/>
              </w:rPr>
              <w:t>.</w:t>
            </w:r>
          </w:p>
          <w:p w14:paraId="73811E0E" w14:textId="3DD98094" w:rsidR="000759B1" w:rsidRDefault="00B71BE8" w:rsidP="00B160D7">
            <w:pPr>
              <w:tabs>
                <w:tab w:val="left" w:pos="993"/>
              </w:tabs>
              <w:rPr>
                <w:color w:val="000000" w:themeColor="text1"/>
              </w:rPr>
            </w:pPr>
            <w:r w:rsidRPr="00B71BE8">
              <w:rPr>
                <w:color w:val="000000" w:themeColor="text1"/>
                <w:u w:val="single"/>
              </w:rPr>
              <w:t>Dėl 10 p.:</w:t>
            </w:r>
            <w:r>
              <w:rPr>
                <w:color w:val="000000" w:themeColor="text1"/>
              </w:rPr>
              <w:t xml:space="preserve"> </w:t>
            </w:r>
            <w:r w:rsidR="009E7D61" w:rsidRPr="000759B1">
              <w:rPr>
                <w:color w:val="000000" w:themeColor="text1"/>
              </w:rPr>
              <w:t xml:space="preserve">Manome, kad tinkamai įgyvendinamos Reglamento </w:t>
            </w:r>
            <w:r w:rsidR="009E7D61" w:rsidRPr="00992409">
              <w:rPr>
                <w:rFonts w:ascii="TimesNewRomanPSMT" w:hAnsi="TimesNewRomanPSMT" w:cs="TimesNewRomanPSMT"/>
                <w:color w:val="000000" w:themeColor="text1"/>
                <w:lang w:eastAsia="lt-LT"/>
              </w:rPr>
              <w:t xml:space="preserve">(ES) 2016/679 </w:t>
            </w:r>
            <w:r w:rsidR="009E7D61" w:rsidRPr="000759B1">
              <w:rPr>
                <w:color w:val="000000" w:themeColor="text1"/>
              </w:rPr>
              <w:t xml:space="preserve">nuostatos. </w:t>
            </w:r>
            <w:r w:rsidR="00F226DC" w:rsidRPr="00234180">
              <w:rPr>
                <w:color w:val="000000" w:themeColor="text1"/>
                <w:lang w:eastAsia="lt-LT"/>
              </w:rPr>
              <w:t xml:space="preserve">Atsižvelgiant į tai, kad </w:t>
            </w:r>
            <w:r w:rsidR="00F226DC" w:rsidRPr="00234180">
              <w:rPr>
                <w:color w:val="000000" w:themeColor="text1"/>
              </w:rPr>
              <w:t xml:space="preserve">Reglamentas (ES) 2016/679 yra tiesioginio taikymo aktas, o Nuostatų </w:t>
            </w:r>
            <w:r w:rsidR="009E7D61">
              <w:rPr>
                <w:color w:val="000000" w:themeColor="text1"/>
              </w:rPr>
              <w:t xml:space="preserve">projekto </w:t>
            </w:r>
            <w:r w:rsidR="00F226DC" w:rsidRPr="00234180">
              <w:rPr>
                <w:color w:val="000000" w:themeColor="text1"/>
              </w:rPr>
              <w:t>10.</w:t>
            </w:r>
            <w:r w:rsidR="009E7D61">
              <w:rPr>
                <w:color w:val="000000" w:themeColor="text1"/>
              </w:rPr>
              <w:t>1</w:t>
            </w:r>
            <w:r w:rsidR="00F226DC" w:rsidRPr="00234180">
              <w:rPr>
                <w:color w:val="000000" w:themeColor="text1"/>
              </w:rPr>
              <w:t xml:space="preserve"> p. yra nurodyta, kad Registro tvarkytojas </w:t>
            </w:r>
            <w:r w:rsidR="009E7D61">
              <w:rPr>
                <w:color w:val="000000" w:themeColor="text1"/>
              </w:rPr>
              <w:t>vykdo</w:t>
            </w:r>
            <w:r w:rsidR="00F226DC" w:rsidRPr="00234180">
              <w:rPr>
                <w:color w:val="000000" w:themeColor="text1"/>
              </w:rPr>
              <w:t xml:space="preserve"> Reglamente (ES) 2016/679 nustatytas </w:t>
            </w:r>
            <w:r w:rsidR="009E7D61">
              <w:rPr>
                <w:color w:val="000000" w:themeColor="text1"/>
              </w:rPr>
              <w:t xml:space="preserve">duomenų tvarkytojo </w:t>
            </w:r>
            <w:r w:rsidR="00F226DC" w:rsidRPr="00234180">
              <w:rPr>
                <w:color w:val="000000" w:themeColor="text1"/>
              </w:rPr>
              <w:t>prievoles, todėl papildyti Nuostat</w:t>
            </w:r>
            <w:r w:rsidR="009E7D61">
              <w:rPr>
                <w:color w:val="000000" w:themeColor="text1"/>
              </w:rPr>
              <w:t>ų projektą</w:t>
            </w:r>
            <w:r w:rsidR="00F226DC" w:rsidRPr="00234180">
              <w:rPr>
                <w:color w:val="000000" w:themeColor="text1"/>
              </w:rPr>
              <w:t>, perkeliant (atkartojant) Reglamento (ES) 2016/679 28 straipsnio 3 dalies nuostatas, nėra tikslinga.</w:t>
            </w:r>
          </w:p>
          <w:p w14:paraId="116C1BAB" w14:textId="4D68F5AE" w:rsidR="000759B1" w:rsidRDefault="000759B1" w:rsidP="00B160D7">
            <w:pPr>
              <w:tabs>
                <w:tab w:val="left" w:pos="993"/>
              </w:tabs>
              <w:rPr>
                <w:color w:val="000000" w:themeColor="text1"/>
              </w:rPr>
            </w:pPr>
          </w:p>
          <w:p w14:paraId="04FF96BC" w14:textId="30BB9E81" w:rsidR="00F226DC" w:rsidRDefault="00F226DC" w:rsidP="00B160D7">
            <w:pPr>
              <w:tabs>
                <w:tab w:val="left" w:pos="993"/>
              </w:tabs>
              <w:rPr>
                <w:color w:val="000000" w:themeColor="text1"/>
              </w:rPr>
            </w:pPr>
          </w:p>
          <w:p w14:paraId="28BC9860" w14:textId="77777777" w:rsidR="009E7D61" w:rsidRDefault="009E7D61" w:rsidP="00B160D7">
            <w:pPr>
              <w:tabs>
                <w:tab w:val="left" w:pos="993"/>
              </w:tabs>
              <w:rPr>
                <w:color w:val="000000" w:themeColor="text1"/>
              </w:rPr>
            </w:pPr>
          </w:p>
          <w:p w14:paraId="50EA6844" w14:textId="7D41F211" w:rsidR="000759B1" w:rsidRPr="000759B1" w:rsidRDefault="000759B1" w:rsidP="00AB356E">
            <w:pPr>
              <w:tabs>
                <w:tab w:val="left" w:pos="993"/>
              </w:tabs>
              <w:rPr>
                <w:color w:val="000000" w:themeColor="text1"/>
              </w:rPr>
            </w:pPr>
            <w:r w:rsidRPr="000759B1">
              <w:rPr>
                <w:color w:val="000000" w:themeColor="text1"/>
              </w:rPr>
              <w:lastRenderedPageBreak/>
              <w:t xml:space="preserve">Nuostatų projekto </w:t>
            </w:r>
            <w:r w:rsidR="00EE45FA">
              <w:rPr>
                <w:color w:val="000000" w:themeColor="text1"/>
              </w:rPr>
              <w:t>60</w:t>
            </w:r>
            <w:r w:rsidRPr="000759B1">
              <w:rPr>
                <w:color w:val="000000" w:themeColor="text1"/>
              </w:rPr>
              <w:t xml:space="preserve"> p. nustato registro duomenų teikimo tvarką. Į registro duomenis patenka ir asmens duomenys, todėl atskirai nėra išskirta asmens duomenų teikimo tvarka. Taip pat manome, kad nėra tikslinga Nuostatų projekto </w:t>
            </w:r>
            <w:r w:rsidR="00EE45FA">
              <w:rPr>
                <w:color w:val="000000" w:themeColor="text1"/>
              </w:rPr>
              <w:t xml:space="preserve">60 </w:t>
            </w:r>
            <w:r w:rsidRPr="000759B1">
              <w:rPr>
                <w:color w:val="000000" w:themeColor="text1"/>
              </w:rPr>
              <w:t xml:space="preserve">p. įrašyti „registro duomenys, įskaitant asmens duomenis, teikiami...“, nes ypatingai šiame Nuostatų projekto skyriuje </w:t>
            </w:r>
            <w:r w:rsidR="00EE45FA">
              <w:rPr>
                <w:color w:val="000000" w:themeColor="text1"/>
              </w:rPr>
              <w:t>beveik</w:t>
            </w:r>
            <w:r w:rsidRPr="000759B1">
              <w:rPr>
                <w:color w:val="000000" w:themeColor="text1"/>
              </w:rPr>
              <w:t xml:space="preserve"> kiekviename punkte reikėtų įrašyti</w:t>
            </w:r>
            <w:r w:rsidR="00EE45FA">
              <w:rPr>
                <w:color w:val="000000" w:themeColor="text1"/>
              </w:rPr>
              <w:t xml:space="preserve"> </w:t>
            </w:r>
            <w:r w:rsidRPr="000759B1">
              <w:rPr>
                <w:color w:val="000000" w:themeColor="text1"/>
              </w:rPr>
              <w:t xml:space="preserve">„registro duomenys, įskaitant ir asmens duomenis,“, </w:t>
            </w:r>
            <w:r w:rsidR="003732B4">
              <w:rPr>
                <w:color w:val="000000" w:themeColor="text1"/>
              </w:rPr>
              <w:t>tai,</w:t>
            </w:r>
            <w:r w:rsidR="003732B4" w:rsidRPr="000759B1">
              <w:rPr>
                <w:color w:val="000000" w:themeColor="text1"/>
              </w:rPr>
              <w:t xml:space="preserve"> </w:t>
            </w:r>
            <w:r w:rsidRPr="000759B1">
              <w:rPr>
                <w:color w:val="000000" w:themeColor="text1"/>
              </w:rPr>
              <w:t>mūsų nuomone</w:t>
            </w:r>
            <w:r w:rsidR="003732B4">
              <w:rPr>
                <w:color w:val="000000" w:themeColor="text1"/>
              </w:rPr>
              <w:t>,</w:t>
            </w:r>
            <w:r w:rsidRPr="000759B1">
              <w:rPr>
                <w:color w:val="000000" w:themeColor="text1"/>
              </w:rPr>
              <w:t xml:space="preserve"> nėra tikslinga. </w:t>
            </w:r>
          </w:p>
          <w:p w14:paraId="19EA7B21" w14:textId="0AB15DA5" w:rsidR="000759B1" w:rsidRPr="00234180" w:rsidRDefault="000759B1" w:rsidP="00B160D7">
            <w:pPr>
              <w:tabs>
                <w:tab w:val="left" w:pos="993"/>
              </w:tabs>
              <w:rPr>
                <w:color w:val="000000" w:themeColor="text1"/>
              </w:rPr>
            </w:pPr>
          </w:p>
        </w:tc>
      </w:tr>
      <w:tr w:rsidR="00234180" w:rsidRPr="00234180" w14:paraId="3E6FDF48" w14:textId="77777777" w:rsidTr="00AD79E1">
        <w:tc>
          <w:tcPr>
            <w:tcW w:w="1668" w:type="dxa"/>
          </w:tcPr>
          <w:p w14:paraId="4C6CB07C" w14:textId="77777777" w:rsidR="005770E8" w:rsidRPr="005770E8" w:rsidRDefault="005770E8" w:rsidP="005770E8">
            <w:pPr>
              <w:rPr>
                <w:color w:val="000000" w:themeColor="text1"/>
              </w:rPr>
            </w:pPr>
            <w:r w:rsidRPr="005770E8">
              <w:rPr>
                <w:color w:val="000000" w:themeColor="text1"/>
              </w:rPr>
              <w:lastRenderedPageBreak/>
              <w:t>Lietuvos Respublikos Vyriausybės 2019 m. sausio 4 d. raštas</w:t>
            </w:r>
          </w:p>
          <w:p w14:paraId="3E6FDF44" w14:textId="00BB6436" w:rsidR="00B160D7" w:rsidRPr="00234180" w:rsidRDefault="005770E8" w:rsidP="005770E8">
            <w:pPr>
              <w:rPr>
                <w:color w:val="000000" w:themeColor="text1"/>
              </w:rPr>
            </w:pPr>
            <w:r w:rsidRPr="005770E8">
              <w:rPr>
                <w:color w:val="000000" w:themeColor="text1"/>
              </w:rPr>
              <w:t>Nr. NV-22</w:t>
            </w:r>
          </w:p>
        </w:tc>
        <w:tc>
          <w:tcPr>
            <w:tcW w:w="6804" w:type="dxa"/>
          </w:tcPr>
          <w:p w14:paraId="3E6FDF45" w14:textId="7677E882" w:rsidR="00B160D7" w:rsidRPr="00234180" w:rsidRDefault="003D0785" w:rsidP="001B052C">
            <w:pPr>
              <w:autoSpaceDE w:val="0"/>
              <w:autoSpaceDN w:val="0"/>
              <w:adjustRightInd w:val="0"/>
              <w:rPr>
                <w:color w:val="000000" w:themeColor="text1"/>
              </w:rPr>
            </w:pPr>
            <w:r w:rsidRPr="003D0785">
              <w:rPr>
                <w:color w:val="000000" w:themeColor="text1"/>
              </w:rPr>
              <w:t>Saugios laivybos įstatymo 16 straipsnio 1 dalyje nustatyta, kad Lietuvos Respublikos jūrininkų registre (toliau – Registras) registruojami asmenys, kuriems išduoti Lietuvos Respublikos jūrinio laipsnio diplomai, kvalifikacijos liudijimai ir jūrininko knygelės, todėl lieka neaiškus įstatyminis pagrindas Registre registruojamų kitų objektų nei nurodyta Saugios laivybos įstatymo 16 straipsnio 1 dalyje (vadovaujantis Valstybės informacinių išteklių valdymo įstatymo (toliau – Įstatymas) 18 straipsniu, valstybės registro objektą nustato įstatymas).</w:t>
            </w:r>
            <w:r w:rsidRPr="003D0785">
              <w:rPr>
                <w:i/>
                <w:iCs/>
                <w:color w:val="000000" w:themeColor="text1"/>
              </w:rPr>
              <w:t xml:space="preserve"> </w:t>
            </w:r>
            <w:r w:rsidRPr="003D0785">
              <w:rPr>
                <w:color w:val="000000" w:themeColor="text1"/>
              </w:rPr>
              <w:t>Atsižvelgiant į tai, kad</w:t>
            </w:r>
            <w:r w:rsidRPr="003D0785">
              <w:rPr>
                <w:i/>
                <w:iCs/>
                <w:color w:val="000000" w:themeColor="text1"/>
              </w:rPr>
              <w:t xml:space="preserve"> </w:t>
            </w:r>
            <w:r w:rsidRPr="003D0785">
              <w:rPr>
                <w:color w:val="000000" w:themeColor="text1"/>
              </w:rPr>
              <w:t xml:space="preserve">Projektu nauja redakcija dėstomų Lietuvos Respublikos jūrininkų registro nuostatų (toliau – Nuostatai) 11 punkte nurodytas Registro objekto apibūdinimas yra daug platesnis (taip pat ir kituose, susijusiuose Nuostatų punktuose) nei tą numato </w:t>
            </w:r>
            <w:bookmarkStart w:id="1" w:name="_Hlk534290839"/>
            <w:r w:rsidRPr="003D0785">
              <w:rPr>
                <w:color w:val="000000" w:themeColor="text1"/>
              </w:rPr>
              <w:t>Saugios laivybos įstatymas</w:t>
            </w:r>
            <w:bookmarkEnd w:id="1"/>
            <w:r w:rsidRPr="003D0785">
              <w:rPr>
                <w:color w:val="000000" w:themeColor="text1"/>
              </w:rPr>
              <w:t xml:space="preserve">, todėl esant poreikiui Registre registruoti Nuostatų 11 punkte nurodytus objektus, siūlome atitinkamai papildyti Saugios laivybos įstatymo 16 straipsnio 1 dalį arba pagrįsti ir patikslinti (nurodant įstatyminį pagrindą) siūlomą teisinį reguliavimą. </w:t>
            </w:r>
          </w:p>
        </w:tc>
        <w:tc>
          <w:tcPr>
            <w:tcW w:w="6662" w:type="dxa"/>
          </w:tcPr>
          <w:p w14:paraId="2A3F0C97" w14:textId="77777777" w:rsidR="003B6E31" w:rsidRPr="003B6E31" w:rsidRDefault="003B6E31" w:rsidP="00B160D7">
            <w:pPr>
              <w:autoSpaceDE w:val="0"/>
              <w:autoSpaceDN w:val="0"/>
              <w:adjustRightInd w:val="0"/>
              <w:rPr>
                <w:b/>
                <w:color w:val="000000" w:themeColor="text1"/>
              </w:rPr>
            </w:pPr>
            <w:r w:rsidRPr="003B6E31">
              <w:rPr>
                <w:b/>
                <w:color w:val="000000" w:themeColor="text1"/>
              </w:rPr>
              <w:t>Bus atsižvelgta.</w:t>
            </w:r>
          </w:p>
          <w:p w14:paraId="3E6FDF47" w14:textId="65F079AC" w:rsidR="00B160D7" w:rsidRPr="00234180" w:rsidRDefault="003D0785" w:rsidP="00B160D7">
            <w:pPr>
              <w:autoSpaceDE w:val="0"/>
              <w:autoSpaceDN w:val="0"/>
              <w:adjustRightInd w:val="0"/>
              <w:rPr>
                <w:color w:val="000000" w:themeColor="text1"/>
              </w:rPr>
            </w:pPr>
            <w:r>
              <w:rPr>
                <w:color w:val="000000" w:themeColor="text1"/>
              </w:rPr>
              <w:t>V</w:t>
            </w:r>
            <w:r w:rsidRPr="003D0785">
              <w:rPr>
                <w:color w:val="000000" w:themeColor="text1"/>
              </w:rPr>
              <w:t>ykd</w:t>
            </w:r>
            <w:r w:rsidR="003732B4">
              <w:rPr>
                <w:color w:val="000000" w:themeColor="text1"/>
              </w:rPr>
              <w:t>ydama</w:t>
            </w:r>
            <w:r w:rsidRPr="003D0785">
              <w:rPr>
                <w:color w:val="000000" w:themeColor="text1"/>
              </w:rPr>
              <w:t xml:space="preserve"> Vyriausybės 2018 m. spalio 24 d. posėdžio sprendimą (protokolas Nr. 48, 19 klausimas), Susisiekimo ministerija pareng</w:t>
            </w:r>
            <w:r>
              <w:rPr>
                <w:color w:val="000000" w:themeColor="text1"/>
              </w:rPr>
              <w:t>s</w:t>
            </w:r>
            <w:r w:rsidRPr="003D0785">
              <w:rPr>
                <w:color w:val="000000" w:themeColor="text1"/>
              </w:rPr>
              <w:t xml:space="preserve"> Saugios laivybos įstatymo pakeitimo </w:t>
            </w:r>
            <w:r w:rsidR="003732B4">
              <w:rPr>
                <w:color w:val="000000" w:themeColor="text1"/>
              </w:rPr>
              <w:t xml:space="preserve">įstatymo </w:t>
            </w:r>
            <w:r w:rsidRPr="003D0785">
              <w:rPr>
                <w:color w:val="000000" w:themeColor="text1"/>
              </w:rPr>
              <w:t xml:space="preserve">projektą dėl </w:t>
            </w:r>
            <w:r w:rsidR="00EF51E9">
              <w:rPr>
                <w:color w:val="000000" w:themeColor="text1"/>
              </w:rPr>
              <w:t>R</w:t>
            </w:r>
            <w:r w:rsidRPr="003D0785">
              <w:rPr>
                <w:color w:val="000000" w:themeColor="text1"/>
              </w:rPr>
              <w:t>egistr</w:t>
            </w:r>
            <w:r w:rsidR="00EF51E9">
              <w:rPr>
                <w:color w:val="000000" w:themeColor="text1"/>
              </w:rPr>
              <w:t>o</w:t>
            </w:r>
            <w:r w:rsidRPr="003D0785">
              <w:rPr>
                <w:color w:val="000000" w:themeColor="text1"/>
              </w:rPr>
              <w:t xml:space="preserve"> duomenų teikimo neatlygintinai</w:t>
            </w:r>
            <w:r>
              <w:rPr>
                <w:color w:val="000000" w:themeColor="text1"/>
              </w:rPr>
              <w:t xml:space="preserve">, </w:t>
            </w:r>
            <w:r w:rsidRPr="003D0785">
              <w:rPr>
                <w:color w:val="000000" w:themeColor="text1"/>
              </w:rPr>
              <w:t xml:space="preserve">šiame projekte </w:t>
            </w:r>
            <w:r>
              <w:rPr>
                <w:color w:val="000000" w:themeColor="text1"/>
              </w:rPr>
              <w:t>bus</w:t>
            </w:r>
            <w:r w:rsidRPr="003D0785">
              <w:rPr>
                <w:color w:val="000000" w:themeColor="text1"/>
              </w:rPr>
              <w:t xml:space="preserve"> įvertintos ir Vyriausybės kanceliarijos Teisės grupės išvadoje teikiamos pastabo</w:t>
            </w:r>
            <w:r>
              <w:rPr>
                <w:color w:val="000000" w:themeColor="text1"/>
              </w:rPr>
              <w:t>s, susijusios su Saugios laivybos įstatymo keitimu.</w:t>
            </w:r>
          </w:p>
        </w:tc>
      </w:tr>
      <w:tr w:rsidR="00234180" w:rsidRPr="00234180" w14:paraId="590018A3" w14:textId="77777777" w:rsidTr="00AD79E1">
        <w:tc>
          <w:tcPr>
            <w:tcW w:w="1668" w:type="dxa"/>
          </w:tcPr>
          <w:p w14:paraId="79608DC4" w14:textId="77777777" w:rsidR="005770E8" w:rsidRPr="005770E8" w:rsidRDefault="005770E8" w:rsidP="005770E8">
            <w:pPr>
              <w:rPr>
                <w:color w:val="000000" w:themeColor="text1"/>
              </w:rPr>
            </w:pPr>
            <w:r w:rsidRPr="005770E8">
              <w:rPr>
                <w:color w:val="000000" w:themeColor="text1"/>
              </w:rPr>
              <w:t>Lietuvos Respublikos Vyriausybės 2019 m. sausio 4 d. raštas</w:t>
            </w:r>
          </w:p>
          <w:p w14:paraId="0B00C4EA" w14:textId="082B8E72" w:rsidR="00F20251" w:rsidRPr="00234180" w:rsidRDefault="005770E8" w:rsidP="005770E8">
            <w:pPr>
              <w:rPr>
                <w:color w:val="000000" w:themeColor="text1"/>
              </w:rPr>
            </w:pPr>
            <w:r w:rsidRPr="005770E8">
              <w:rPr>
                <w:color w:val="000000" w:themeColor="text1"/>
              </w:rPr>
              <w:lastRenderedPageBreak/>
              <w:t>Nr. NV-22</w:t>
            </w:r>
          </w:p>
        </w:tc>
        <w:tc>
          <w:tcPr>
            <w:tcW w:w="6804" w:type="dxa"/>
          </w:tcPr>
          <w:p w14:paraId="69824D9C" w14:textId="77777777" w:rsidR="003D0785" w:rsidRPr="003D0785" w:rsidRDefault="003D0785" w:rsidP="003D0785">
            <w:pPr>
              <w:numPr>
                <w:ilvl w:val="0"/>
                <w:numId w:val="38"/>
              </w:numPr>
              <w:autoSpaceDE w:val="0"/>
              <w:autoSpaceDN w:val="0"/>
              <w:adjustRightInd w:val="0"/>
              <w:rPr>
                <w:rFonts w:ascii="TimesNewRomanPSMT" w:hAnsi="TimesNewRomanPSMT" w:cs="TimesNewRomanPSMT"/>
                <w:color w:val="000000" w:themeColor="text1"/>
                <w:lang w:eastAsia="lt-LT"/>
              </w:rPr>
            </w:pPr>
            <w:r w:rsidRPr="003D0785">
              <w:rPr>
                <w:rFonts w:ascii="TimesNewRomanPSMT" w:hAnsi="TimesNewRomanPSMT" w:cs="TimesNewRomanPSMT"/>
                <w:color w:val="000000" w:themeColor="text1"/>
                <w:lang w:eastAsia="lt-LT"/>
              </w:rPr>
              <w:lastRenderedPageBreak/>
              <w:t xml:space="preserve">Įstatymo 29 straipsnyje nustatyta, kad registro duomenys, registro informacija, registrui pateikti dokumentai ir (arba) jų kopijos </w:t>
            </w:r>
            <w:r w:rsidRPr="003D0785">
              <w:rPr>
                <w:rFonts w:ascii="TimesNewRomanPSMT" w:hAnsi="TimesNewRomanPSMT" w:cs="TimesNewRomanPSMT"/>
                <w:i/>
                <w:iCs/>
                <w:color w:val="000000" w:themeColor="text1"/>
                <w:lang w:eastAsia="lt-LT"/>
              </w:rPr>
              <w:t>teikiami už atlyginimą</w:t>
            </w:r>
            <w:r w:rsidRPr="003D0785">
              <w:rPr>
                <w:rFonts w:ascii="TimesNewRomanPSMT" w:hAnsi="TimesNewRomanPSMT" w:cs="TimesNewRomanPSMT"/>
                <w:color w:val="000000" w:themeColor="text1"/>
                <w:lang w:eastAsia="lt-LT"/>
              </w:rPr>
              <w:t xml:space="preserve">, </w:t>
            </w:r>
            <w:r w:rsidRPr="003D0785">
              <w:rPr>
                <w:rFonts w:ascii="TimesNewRomanPSMT" w:hAnsi="TimesNewRomanPSMT" w:cs="TimesNewRomanPSMT"/>
                <w:i/>
                <w:iCs/>
                <w:color w:val="000000" w:themeColor="text1"/>
                <w:lang w:eastAsia="lt-LT"/>
              </w:rPr>
              <w:t>išskyrus</w:t>
            </w:r>
            <w:r w:rsidRPr="003D0785">
              <w:rPr>
                <w:rFonts w:ascii="TimesNewRomanPSMT" w:hAnsi="TimesNewRomanPSMT" w:cs="TimesNewRomanPSMT"/>
                <w:color w:val="000000" w:themeColor="text1"/>
                <w:lang w:eastAsia="lt-LT"/>
              </w:rPr>
              <w:t xml:space="preserve"> šio ir kitų Lietuvos Respublikos įstatymuose, Europos Sąjungos teisės aktuose ir </w:t>
            </w:r>
            <w:r w:rsidRPr="003D0785">
              <w:rPr>
                <w:rFonts w:ascii="TimesNewRomanPSMT" w:hAnsi="TimesNewRomanPSMT" w:cs="TimesNewRomanPSMT"/>
                <w:i/>
                <w:iCs/>
                <w:color w:val="000000" w:themeColor="text1"/>
                <w:lang w:eastAsia="lt-LT"/>
              </w:rPr>
              <w:t>registrų nuostatuose nustatytas išimtis</w:t>
            </w:r>
            <w:r w:rsidRPr="003D0785">
              <w:rPr>
                <w:rFonts w:ascii="TimesNewRomanPSMT" w:hAnsi="TimesNewRomanPSMT" w:cs="TimesNewRomanPSMT"/>
                <w:color w:val="000000" w:themeColor="text1"/>
                <w:lang w:eastAsia="lt-LT"/>
              </w:rPr>
              <w:t xml:space="preserve">. Vertinant Nuostatų 58 punktą, kuriame nustatyta, kad </w:t>
            </w:r>
            <w:r w:rsidRPr="003D0785">
              <w:rPr>
                <w:rFonts w:ascii="TimesNewRomanPSMT" w:hAnsi="TimesNewRomanPSMT" w:cs="TimesNewRomanPSMT"/>
                <w:color w:val="000000" w:themeColor="text1"/>
                <w:lang w:eastAsia="lt-LT"/>
              </w:rPr>
              <w:lastRenderedPageBreak/>
              <w:t xml:space="preserve">Registro duomenys teikiami neatlygintinai, pažymėtina, kad šia nuostata nenustatoma išimtis, tačiau suformuluojama nauja neatlygintino duomenų teikimo taisyklė. Mūsų manymu, toks reguliavimas nėra suderinamas su teisinės valstybės ir iš jo kylančiu teisės aktų hierarchijos principu, pagal kurį žemesnės teisinės galios teisės aktai neturi prieštarauti aukštesnės galios teisės aktams, poįstatyminiais teisės aktais gali būti realizuojamos įstatymo normos, tačiau toks teisės aktas negali sukurti naujų bendro pobūdžio normų, kurios konkuruotų su nustatytomis įstatymuose, Vyriausybės nutarimu negalima keisti ar sąlygoti įstatymo normų, jų turinio, nes kitaip būtų pažeistas konstitucinis įstatymų viršenybės principas. </w:t>
            </w:r>
          </w:p>
          <w:p w14:paraId="46E83DB3" w14:textId="77777777" w:rsidR="003D0785" w:rsidRPr="003D0785" w:rsidRDefault="003D0785" w:rsidP="003D0785">
            <w:pPr>
              <w:autoSpaceDE w:val="0"/>
              <w:autoSpaceDN w:val="0"/>
              <w:adjustRightInd w:val="0"/>
              <w:rPr>
                <w:rFonts w:ascii="TimesNewRomanPSMT" w:hAnsi="TimesNewRomanPSMT" w:cs="TimesNewRomanPSMT"/>
                <w:color w:val="000000" w:themeColor="text1"/>
                <w:lang w:eastAsia="lt-LT"/>
              </w:rPr>
            </w:pPr>
            <w:r w:rsidRPr="003D0785">
              <w:rPr>
                <w:rFonts w:ascii="TimesNewRomanPSMT" w:hAnsi="TimesNewRomanPSMT" w:cs="TimesNewRomanPSMT"/>
                <w:color w:val="000000" w:themeColor="text1"/>
                <w:lang w:eastAsia="lt-LT"/>
              </w:rPr>
              <w:tab/>
              <w:t>Atsižvelgiant į tai, manytume, kad išlieka aktualus poreikis tikslinti įstatyminį reguliavimą taip, kad įstatymų lygiu būtų įtvirtinta galimybė numatyti neatlygintiną duomenų teikimą ne tik tam tikrų išimčių pagrindų, bet ir apskritai, pvz., remiantis tam tikrais kriterijais, pvz., proporcingai vertinant Registro duomenų teikimo sąnaudas. Taip pat atkreiptinas dėmesys, kad Saugios laivybos įstatymo 16 straipsnio 3 dalis neatitinka Įstatymo 2 straipsnio 11 dalies ir 23 straipsnio 1 dalies nuostatų dėl registro tvarkytojo paskyrimo – šiame įstatyme gali būti nustatyti tik įgaliojimai Vyriausybei jį paskirti, o jis paskiriamas turėtų būti tik Nuostatuose.</w:t>
            </w:r>
          </w:p>
          <w:p w14:paraId="378EF6D6" w14:textId="26DBECBE" w:rsidR="00F20251" w:rsidRPr="00234180" w:rsidRDefault="00F20251" w:rsidP="00F20251">
            <w:pPr>
              <w:autoSpaceDE w:val="0"/>
              <w:autoSpaceDN w:val="0"/>
              <w:adjustRightInd w:val="0"/>
              <w:rPr>
                <w:rFonts w:ascii="TimesNewRomanPSMT" w:hAnsi="TimesNewRomanPSMT" w:cs="TimesNewRomanPSMT"/>
                <w:color w:val="000000" w:themeColor="text1"/>
                <w:lang w:eastAsia="lt-LT"/>
              </w:rPr>
            </w:pPr>
          </w:p>
        </w:tc>
        <w:tc>
          <w:tcPr>
            <w:tcW w:w="6662" w:type="dxa"/>
          </w:tcPr>
          <w:p w14:paraId="2E806762" w14:textId="77777777" w:rsidR="003B6E31" w:rsidRPr="003B6E31" w:rsidRDefault="003B6E31" w:rsidP="00B160D7">
            <w:pPr>
              <w:tabs>
                <w:tab w:val="left" w:pos="993"/>
              </w:tabs>
              <w:rPr>
                <w:b/>
                <w:color w:val="000000" w:themeColor="text1"/>
              </w:rPr>
            </w:pPr>
            <w:r w:rsidRPr="003B6E31">
              <w:rPr>
                <w:b/>
                <w:color w:val="000000" w:themeColor="text1"/>
              </w:rPr>
              <w:lastRenderedPageBreak/>
              <w:t>Bus atsižvelgta.</w:t>
            </w:r>
          </w:p>
          <w:p w14:paraId="02A04191" w14:textId="5578B34B" w:rsidR="00F20251" w:rsidRPr="00234180" w:rsidRDefault="003D0785" w:rsidP="00B160D7">
            <w:pPr>
              <w:tabs>
                <w:tab w:val="left" w:pos="993"/>
              </w:tabs>
              <w:rPr>
                <w:b/>
                <w:color w:val="000000" w:themeColor="text1"/>
              </w:rPr>
            </w:pPr>
            <w:r>
              <w:rPr>
                <w:color w:val="000000" w:themeColor="text1"/>
              </w:rPr>
              <w:t>V</w:t>
            </w:r>
            <w:r w:rsidRPr="003D0785">
              <w:rPr>
                <w:color w:val="000000" w:themeColor="text1"/>
              </w:rPr>
              <w:t>ykd</w:t>
            </w:r>
            <w:r w:rsidR="003732B4">
              <w:rPr>
                <w:color w:val="000000" w:themeColor="text1"/>
              </w:rPr>
              <w:t>ydama</w:t>
            </w:r>
            <w:r w:rsidRPr="003D0785">
              <w:rPr>
                <w:color w:val="000000" w:themeColor="text1"/>
              </w:rPr>
              <w:t xml:space="preserve"> Vyriausybės 2018 m. spalio 24 d. posėdžio sprendimą (protokolas Nr. 48, 19 klausimas), Susisiekimo ministerija pareng</w:t>
            </w:r>
            <w:r>
              <w:rPr>
                <w:color w:val="000000" w:themeColor="text1"/>
              </w:rPr>
              <w:t>s</w:t>
            </w:r>
            <w:r w:rsidRPr="003D0785">
              <w:rPr>
                <w:color w:val="000000" w:themeColor="text1"/>
              </w:rPr>
              <w:t xml:space="preserve"> </w:t>
            </w:r>
            <w:r w:rsidRPr="00EF51E9">
              <w:rPr>
                <w:color w:val="000000" w:themeColor="text1"/>
              </w:rPr>
              <w:t>Saugios laivybos įstatymo</w:t>
            </w:r>
            <w:r w:rsidRPr="003D0785">
              <w:rPr>
                <w:color w:val="000000" w:themeColor="text1"/>
              </w:rPr>
              <w:t xml:space="preserve"> pakeitimo </w:t>
            </w:r>
            <w:r w:rsidR="003732B4">
              <w:rPr>
                <w:color w:val="000000" w:themeColor="text1"/>
              </w:rPr>
              <w:t xml:space="preserve">įstatymo </w:t>
            </w:r>
            <w:r w:rsidRPr="003D0785">
              <w:rPr>
                <w:color w:val="000000" w:themeColor="text1"/>
              </w:rPr>
              <w:t xml:space="preserve">projektą dėl </w:t>
            </w:r>
            <w:r w:rsidR="00EF51E9">
              <w:rPr>
                <w:color w:val="000000" w:themeColor="text1"/>
              </w:rPr>
              <w:t>R</w:t>
            </w:r>
            <w:r w:rsidRPr="003D0785">
              <w:rPr>
                <w:color w:val="000000" w:themeColor="text1"/>
              </w:rPr>
              <w:t>egistr</w:t>
            </w:r>
            <w:r w:rsidR="00EF51E9">
              <w:rPr>
                <w:color w:val="000000" w:themeColor="text1"/>
              </w:rPr>
              <w:t>o</w:t>
            </w:r>
            <w:r w:rsidRPr="003D0785">
              <w:rPr>
                <w:color w:val="000000" w:themeColor="text1"/>
              </w:rPr>
              <w:t xml:space="preserve"> duomenų teikimo neatlygintinai</w:t>
            </w:r>
            <w:r>
              <w:rPr>
                <w:color w:val="000000" w:themeColor="text1"/>
              </w:rPr>
              <w:t>.</w:t>
            </w:r>
          </w:p>
        </w:tc>
      </w:tr>
    </w:tbl>
    <w:p w14:paraId="3E6FDF5D" w14:textId="34462EC4" w:rsidR="003B5A20" w:rsidRPr="00234180" w:rsidRDefault="00A166BC" w:rsidP="00E85949">
      <w:pPr>
        <w:jc w:val="center"/>
        <w:rPr>
          <w:color w:val="000000" w:themeColor="text1"/>
        </w:rPr>
      </w:pPr>
      <w:r w:rsidRPr="00234180">
        <w:rPr>
          <w:color w:val="000000" w:themeColor="text1"/>
        </w:rPr>
        <w:t>–––––––––––––––––––––––––––––––––––––––––––</w:t>
      </w:r>
    </w:p>
    <w:sectPr w:rsidR="003B5A20" w:rsidRPr="00234180"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1D0BB" w14:textId="77777777" w:rsidR="002629EC" w:rsidRDefault="002629EC">
      <w:r>
        <w:separator/>
      </w:r>
    </w:p>
  </w:endnote>
  <w:endnote w:type="continuationSeparator" w:id="0">
    <w:p w14:paraId="5A164497" w14:textId="77777777" w:rsidR="002629EC" w:rsidRDefault="0026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4839F" w14:textId="77777777" w:rsidR="002629EC" w:rsidRDefault="002629EC">
      <w:r>
        <w:separator/>
      </w:r>
    </w:p>
  </w:footnote>
  <w:footnote w:type="continuationSeparator" w:id="0">
    <w:p w14:paraId="67A3796E" w14:textId="77777777" w:rsidR="002629EC" w:rsidRDefault="00262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F62"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615AFB" w:rsidRDefault="00615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F64"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64BB">
      <w:rPr>
        <w:rStyle w:val="Puslapionumeris"/>
        <w:noProof/>
      </w:rPr>
      <w:t>2</w:t>
    </w:r>
    <w:r>
      <w:rPr>
        <w:rStyle w:val="Puslapionumeris"/>
      </w:rPr>
      <w:fldChar w:fldCharType="end"/>
    </w:r>
  </w:p>
  <w:p w14:paraId="3E6FDF65" w14:textId="77777777" w:rsidR="00615AFB" w:rsidRDefault="00615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1F082736"/>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17"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9"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0"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3"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2C5E1B"/>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33"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691F18"/>
    <w:multiLevelType w:val="hybridMultilevel"/>
    <w:tmpl w:val="9216E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3"/>
  </w:num>
  <w:num w:numId="3">
    <w:abstractNumId w:val="25"/>
  </w:num>
  <w:num w:numId="4">
    <w:abstractNumId w:val="28"/>
  </w:num>
  <w:num w:numId="5">
    <w:abstractNumId w:val="1"/>
  </w:num>
  <w:num w:numId="6">
    <w:abstractNumId w:val="23"/>
  </w:num>
  <w:num w:numId="7">
    <w:abstractNumId w:val="35"/>
  </w:num>
  <w:num w:numId="8">
    <w:abstractNumId w:val="26"/>
  </w:num>
  <w:num w:numId="9">
    <w:abstractNumId w:val="29"/>
  </w:num>
  <w:num w:numId="10">
    <w:abstractNumId w:val="18"/>
  </w:num>
  <w:num w:numId="11">
    <w:abstractNumId w:val="36"/>
  </w:num>
  <w:num w:numId="12">
    <w:abstractNumId w:val="7"/>
  </w:num>
  <w:num w:numId="13">
    <w:abstractNumId w:val="24"/>
  </w:num>
  <w:num w:numId="14">
    <w:abstractNumId w:val="6"/>
  </w:num>
  <w:num w:numId="15">
    <w:abstractNumId w:val="9"/>
  </w:num>
  <w:num w:numId="16">
    <w:abstractNumId w:val="19"/>
  </w:num>
  <w:num w:numId="17">
    <w:abstractNumId w:val="5"/>
  </w:num>
  <w:num w:numId="18">
    <w:abstractNumId w:val="21"/>
  </w:num>
  <w:num w:numId="19">
    <w:abstractNumId w:val="8"/>
  </w:num>
  <w:num w:numId="20">
    <w:abstractNumId w:val="2"/>
  </w:num>
  <w:num w:numId="21">
    <w:abstractNumId w:val="27"/>
  </w:num>
  <w:num w:numId="22">
    <w:abstractNumId w:val="4"/>
  </w:num>
  <w:num w:numId="23">
    <w:abstractNumId w:val="14"/>
  </w:num>
  <w:num w:numId="24">
    <w:abstractNumId w:val="30"/>
  </w:num>
  <w:num w:numId="25">
    <w:abstractNumId w:val="12"/>
  </w:num>
  <w:num w:numId="26">
    <w:abstractNumId w:val="20"/>
  </w:num>
  <w:num w:numId="27">
    <w:abstractNumId w:val="10"/>
  </w:num>
  <w:num w:numId="28">
    <w:abstractNumId w:val="13"/>
  </w:num>
  <w:num w:numId="29">
    <w:abstractNumId w:val="17"/>
  </w:num>
  <w:num w:numId="30">
    <w:abstractNumId w:val="22"/>
  </w:num>
  <w:num w:numId="31">
    <w:abstractNumId w:val="34"/>
  </w:num>
  <w:num w:numId="32">
    <w:abstractNumId w:val="33"/>
  </w:num>
  <w:num w:numId="33">
    <w:abstractNumId w:val="11"/>
  </w:num>
  <w:num w:numId="34">
    <w:abstractNumId w:val="0"/>
  </w:num>
  <w:num w:numId="35">
    <w:abstractNumId w:val="31"/>
  </w:num>
  <w:num w:numId="36">
    <w:abstractNumId w:val="32"/>
  </w:num>
  <w:num w:numId="37">
    <w:abstractNumId w:val="3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44"/>
    <w:rsid w:val="00000FFD"/>
    <w:rsid w:val="00002102"/>
    <w:rsid w:val="00002BE2"/>
    <w:rsid w:val="00004D6C"/>
    <w:rsid w:val="00005341"/>
    <w:rsid w:val="00005F38"/>
    <w:rsid w:val="00007424"/>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0221"/>
    <w:rsid w:val="00052DCF"/>
    <w:rsid w:val="00061B80"/>
    <w:rsid w:val="00061C20"/>
    <w:rsid w:val="00063382"/>
    <w:rsid w:val="0006368F"/>
    <w:rsid w:val="0006701F"/>
    <w:rsid w:val="00067C37"/>
    <w:rsid w:val="00071A94"/>
    <w:rsid w:val="000726A7"/>
    <w:rsid w:val="000759B1"/>
    <w:rsid w:val="000802E3"/>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3ED3"/>
    <w:rsid w:val="000C4DA4"/>
    <w:rsid w:val="000C5252"/>
    <w:rsid w:val="000D21B8"/>
    <w:rsid w:val="000D4268"/>
    <w:rsid w:val="000D4F18"/>
    <w:rsid w:val="000D68B1"/>
    <w:rsid w:val="000D750F"/>
    <w:rsid w:val="000D768B"/>
    <w:rsid w:val="000E0F7E"/>
    <w:rsid w:val="000E1F2A"/>
    <w:rsid w:val="000E4866"/>
    <w:rsid w:val="000F13CF"/>
    <w:rsid w:val="000F2A57"/>
    <w:rsid w:val="00103023"/>
    <w:rsid w:val="001110F4"/>
    <w:rsid w:val="001126C2"/>
    <w:rsid w:val="00112BEE"/>
    <w:rsid w:val="001221E1"/>
    <w:rsid w:val="00124052"/>
    <w:rsid w:val="00125819"/>
    <w:rsid w:val="00130284"/>
    <w:rsid w:val="00130EB9"/>
    <w:rsid w:val="00132B68"/>
    <w:rsid w:val="001344E4"/>
    <w:rsid w:val="001349E2"/>
    <w:rsid w:val="00144217"/>
    <w:rsid w:val="001447AF"/>
    <w:rsid w:val="00147FAB"/>
    <w:rsid w:val="00153459"/>
    <w:rsid w:val="001555B9"/>
    <w:rsid w:val="00161DEA"/>
    <w:rsid w:val="001635CF"/>
    <w:rsid w:val="00166706"/>
    <w:rsid w:val="00167063"/>
    <w:rsid w:val="00167465"/>
    <w:rsid w:val="00170E06"/>
    <w:rsid w:val="00171199"/>
    <w:rsid w:val="0017204E"/>
    <w:rsid w:val="00174D9D"/>
    <w:rsid w:val="00175048"/>
    <w:rsid w:val="0017534E"/>
    <w:rsid w:val="00175F48"/>
    <w:rsid w:val="00187EA9"/>
    <w:rsid w:val="00190F93"/>
    <w:rsid w:val="00194F30"/>
    <w:rsid w:val="001A07A5"/>
    <w:rsid w:val="001A1B4E"/>
    <w:rsid w:val="001A3B52"/>
    <w:rsid w:val="001A4F49"/>
    <w:rsid w:val="001B052C"/>
    <w:rsid w:val="001B16D9"/>
    <w:rsid w:val="001B27BF"/>
    <w:rsid w:val="001B483B"/>
    <w:rsid w:val="001B6A8F"/>
    <w:rsid w:val="001C5C94"/>
    <w:rsid w:val="001D08AD"/>
    <w:rsid w:val="001D2481"/>
    <w:rsid w:val="001E10CA"/>
    <w:rsid w:val="001E2F1F"/>
    <w:rsid w:val="001E3346"/>
    <w:rsid w:val="001E4DD5"/>
    <w:rsid w:val="001F2E10"/>
    <w:rsid w:val="001F5B61"/>
    <w:rsid w:val="00200C60"/>
    <w:rsid w:val="00202FA0"/>
    <w:rsid w:val="00203C8E"/>
    <w:rsid w:val="002052FF"/>
    <w:rsid w:val="0020734B"/>
    <w:rsid w:val="00210F41"/>
    <w:rsid w:val="00212975"/>
    <w:rsid w:val="00215C38"/>
    <w:rsid w:val="00224505"/>
    <w:rsid w:val="00224D54"/>
    <w:rsid w:val="00224E2B"/>
    <w:rsid w:val="0022528B"/>
    <w:rsid w:val="00225FE7"/>
    <w:rsid w:val="00226883"/>
    <w:rsid w:val="00231434"/>
    <w:rsid w:val="00234180"/>
    <w:rsid w:val="00234FC7"/>
    <w:rsid w:val="00242E16"/>
    <w:rsid w:val="00250CDB"/>
    <w:rsid w:val="0025224A"/>
    <w:rsid w:val="00252705"/>
    <w:rsid w:val="002543CC"/>
    <w:rsid w:val="00254C14"/>
    <w:rsid w:val="00255B03"/>
    <w:rsid w:val="002561F5"/>
    <w:rsid w:val="002629EC"/>
    <w:rsid w:val="002633BF"/>
    <w:rsid w:val="00264453"/>
    <w:rsid w:val="00266D65"/>
    <w:rsid w:val="002673A4"/>
    <w:rsid w:val="002804C5"/>
    <w:rsid w:val="0028188B"/>
    <w:rsid w:val="002A2AC2"/>
    <w:rsid w:val="002A5465"/>
    <w:rsid w:val="002B25B2"/>
    <w:rsid w:val="002B7D9A"/>
    <w:rsid w:val="002C247C"/>
    <w:rsid w:val="002C69D8"/>
    <w:rsid w:val="002C6E44"/>
    <w:rsid w:val="002D6369"/>
    <w:rsid w:val="002D6623"/>
    <w:rsid w:val="002D7852"/>
    <w:rsid w:val="002D7F46"/>
    <w:rsid w:val="002E088A"/>
    <w:rsid w:val="002E0DBF"/>
    <w:rsid w:val="002F08F8"/>
    <w:rsid w:val="002F10C1"/>
    <w:rsid w:val="002F28D9"/>
    <w:rsid w:val="00300E4A"/>
    <w:rsid w:val="0030269B"/>
    <w:rsid w:val="003026B8"/>
    <w:rsid w:val="00303268"/>
    <w:rsid w:val="00304EAB"/>
    <w:rsid w:val="00312CC5"/>
    <w:rsid w:val="00314055"/>
    <w:rsid w:val="003147A5"/>
    <w:rsid w:val="00320919"/>
    <w:rsid w:val="00320AD8"/>
    <w:rsid w:val="00324E7C"/>
    <w:rsid w:val="003276DE"/>
    <w:rsid w:val="00332168"/>
    <w:rsid w:val="00346908"/>
    <w:rsid w:val="003503CF"/>
    <w:rsid w:val="00350B2D"/>
    <w:rsid w:val="003649A9"/>
    <w:rsid w:val="00366809"/>
    <w:rsid w:val="003669FD"/>
    <w:rsid w:val="003732B4"/>
    <w:rsid w:val="003803B1"/>
    <w:rsid w:val="00382E49"/>
    <w:rsid w:val="0038505B"/>
    <w:rsid w:val="00387BE2"/>
    <w:rsid w:val="00387F30"/>
    <w:rsid w:val="0039026B"/>
    <w:rsid w:val="00393F53"/>
    <w:rsid w:val="0039450F"/>
    <w:rsid w:val="003A0C4B"/>
    <w:rsid w:val="003A20EC"/>
    <w:rsid w:val="003A69FD"/>
    <w:rsid w:val="003A78E7"/>
    <w:rsid w:val="003B5A20"/>
    <w:rsid w:val="003B6E31"/>
    <w:rsid w:val="003C1025"/>
    <w:rsid w:val="003D0785"/>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23168"/>
    <w:rsid w:val="00434955"/>
    <w:rsid w:val="00437F20"/>
    <w:rsid w:val="00440AB7"/>
    <w:rsid w:val="004447B5"/>
    <w:rsid w:val="004519D8"/>
    <w:rsid w:val="00451DC1"/>
    <w:rsid w:val="004601A1"/>
    <w:rsid w:val="00460B0C"/>
    <w:rsid w:val="004623A4"/>
    <w:rsid w:val="0046412D"/>
    <w:rsid w:val="0046453D"/>
    <w:rsid w:val="0047489D"/>
    <w:rsid w:val="0048748A"/>
    <w:rsid w:val="00492F41"/>
    <w:rsid w:val="00494A16"/>
    <w:rsid w:val="004A1E16"/>
    <w:rsid w:val="004A5235"/>
    <w:rsid w:val="004A6ADD"/>
    <w:rsid w:val="004A71A7"/>
    <w:rsid w:val="004B1DB5"/>
    <w:rsid w:val="004B4F31"/>
    <w:rsid w:val="004C17EC"/>
    <w:rsid w:val="004C62A0"/>
    <w:rsid w:val="004C7A4A"/>
    <w:rsid w:val="004D2D81"/>
    <w:rsid w:val="004D2DF8"/>
    <w:rsid w:val="004D486D"/>
    <w:rsid w:val="004E4143"/>
    <w:rsid w:val="004E68E1"/>
    <w:rsid w:val="00500379"/>
    <w:rsid w:val="00504A44"/>
    <w:rsid w:val="00505DD7"/>
    <w:rsid w:val="005077FA"/>
    <w:rsid w:val="00510B57"/>
    <w:rsid w:val="00511C08"/>
    <w:rsid w:val="00513534"/>
    <w:rsid w:val="00515F8A"/>
    <w:rsid w:val="00522D70"/>
    <w:rsid w:val="00523531"/>
    <w:rsid w:val="00526205"/>
    <w:rsid w:val="00540C21"/>
    <w:rsid w:val="00545768"/>
    <w:rsid w:val="00546080"/>
    <w:rsid w:val="00557683"/>
    <w:rsid w:val="00560B62"/>
    <w:rsid w:val="005613DD"/>
    <w:rsid w:val="00566BE8"/>
    <w:rsid w:val="005721C4"/>
    <w:rsid w:val="005770E8"/>
    <w:rsid w:val="00580864"/>
    <w:rsid w:val="00586BF1"/>
    <w:rsid w:val="00590B1E"/>
    <w:rsid w:val="005910A0"/>
    <w:rsid w:val="005930C9"/>
    <w:rsid w:val="00593BA6"/>
    <w:rsid w:val="00597688"/>
    <w:rsid w:val="005A557A"/>
    <w:rsid w:val="005A76E9"/>
    <w:rsid w:val="005A7D0C"/>
    <w:rsid w:val="005B44DC"/>
    <w:rsid w:val="005B45CB"/>
    <w:rsid w:val="005B5DDE"/>
    <w:rsid w:val="005C1A43"/>
    <w:rsid w:val="005C44C6"/>
    <w:rsid w:val="005C48F7"/>
    <w:rsid w:val="005C6AB5"/>
    <w:rsid w:val="005D3CCC"/>
    <w:rsid w:val="005E5C17"/>
    <w:rsid w:val="005E68FF"/>
    <w:rsid w:val="005F527D"/>
    <w:rsid w:val="005F7F04"/>
    <w:rsid w:val="006005DB"/>
    <w:rsid w:val="00601DF3"/>
    <w:rsid w:val="00604C6E"/>
    <w:rsid w:val="006104D6"/>
    <w:rsid w:val="00611AF4"/>
    <w:rsid w:val="00611DCE"/>
    <w:rsid w:val="00613ACF"/>
    <w:rsid w:val="0061483E"/>
    <w:rsid w:val="00614E0A"/>
    <w:rsid w:val="00615AFB"/>
    <w:rsid w:val="006170D2"/>
    <w:rsid w:val="006239CC"/>
    <w:rsid w:val="00625121"/>
    <w:rsid w:val="00627629"/>
    <w:rsid w:val="006312B0"/>
    <w:rsid w:val="006328EE"/>
    <w:rsid w:val="00632B73"/>
    <w:rsid w:val="00633D9F"/>
    <w:rsid w:val="006347F5"/>
    <w:rsid w:val="006359F4"/>
    <w:rsid w:val="006365A7"/>
    <w:rsid w:val="006404CD"/>
    <w:rsid w:val="00653370"/>
    <w:rsid w:val="00660D3A"/>
    <w:rsid w:val="00664715"/>
    <w:rsid w:val="00664918"/>
    <w:rsid w:val="00666C05"/>
    <w:rsid w:val="00672ADD"/>
    <w:rsid w:val="00672B26"/>
    <w:rsid w:val="00673B9F"/>
    <w:rsid w:val="00675F41"/>
    <w:rsid w:val="006769DA"/>
    <w:rsid w:val="00681F0C"/>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66CF"/>
    <w:rsid w:val="006E4493"/>
    <w:rsid w:val="006E75F3"/>
    <w:rsid w:val="006E7844"/>
    <w:rsid w:val="006F424A"/>
    <w:rsid w:val="006F7C21"/>
    <w:rsid w:val="00701E42"/>
    <w:rsid w:val="00702705"/>
    <w:rsid w:val="00704AD4"/>
    <w:rsid w:val="00712D1A"/>
    <w:rsid w:val="0071362E"/>
    <w:rsid w:val="00714025"/>
    <w:rsid w:val="00721BCD"/>
    <w:rsid w:val="007221FE"/>
    <w:rsid w:val="00725BBF"/>
    <w:rsid w:val="007303DB"/>
    <w:rsid w:val="00733CE9"/>
    <w:rsid w:val="00734834"/>
    <w:rsid w:val="00736601"/>
    <w:rsid w:val="007443CD"/>
    <w:rsid w:val="00744A21"/>
    <w:rsid w:val="00747C3D"/>
    <w:rsid w:val="0075178B"/>
    <w:rsid w:val="007534F1"/>
    <w:rsid w:val="00754E97"/>
    <w:rsid w:val="0076017B"/>
    <w:rsid w:val="007610BE"/>
    <w:rsid w:val="007731A7"/>
    <w:rsid w:val="00774386"/>
    <w:rsid w:val="00780892"/>
    <w:rsid w:val="007820E1"/>
    <w:rsid w:val="00782BFD"/>
    <w:rsid w:val="00786E79"/>
    <w:rsid w:val="00791A09"/>
    <w:rsid w:val="00792611"/>
    <w:rsid w:val="00793168"/>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1C7A"/>
    <w:rsid w:val="007E25DF"/>
    <w:rsid w:val="007E2D61"/>
    <w:rsid w:val="007E4DD4"/>
    <w:rsid w:val="007E527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51C59"/>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7820"/>
    <w:rsid w:val="00893E97"/>
    <w:rsid w:val="00896DA8"/>
    <w:rsid w:val="008A17AB"/>
    <w:rsid w:val="008A3D69"/>
    <w:rsid w:val="008A4946"/>
    <w:rsid w:val="008A6ADF"/>
    <w:rsid w:val="008A6F68"/>
    <w:rsid w:val="008B372F"/>
    <w:rsid w:val="008B5D6C"/>
    <w:rsid w:val="008C2582"/>
    <w:rsid w:val="008C29A3"/>
    <w:rsid w:val="008C2E2D"/>
    <w:rsid w:val="008C4E9E"/>
    <w:rsid w:val="008C6DCE"/>
    <w:rsid w:val="008C7353"/>
    <w:rsid w:val="008D30CF"/>
    <w:rsid w:val="008D64BB"/>
    <w:rsid w:val="008D7977"/>
    <w:rsid w:val="008E002B"/>
    <w:rsid w:val="008E065E"/>
    <w:rsid w:val="008E23C2"/>
    <w:rsid w:val="008E2D32"/>
    <w:rsid w:val="008E34FD"/>
    <w:rsid w:val="008E4643"/>
    <w:rsid w:val="008E5687"/>
    <w:rsid w:val="008F131F"/>
    <w:rsid w:val="008F2D7A"/>
    <w:rsid w:val="008F69D7"/>
    <w:rsid w:val="00903162"/>
    <w:rsid w:val="009042C4"/>
    <w:rsid w:val="00904B9E"/>
    <w:rsid w:val="00905574"/>
    <w:rsid w:val="00905AFD"/>
    <w:rsid w:val="00907C4E"/>
    <w:rsid w:val="009109CB"/>
    <w:rsid w:val="009111D1"/>
    <w:rsid w:val="00911ED8"/>
    <w:rsid w:val="0091419F"/>
    <w:rsid w:val="00915233"/>
    <w:rsid w:val="009157C9"/>
    <w:rsid w:val="00922B2F"/>
    <w:rsid w:val="00926429"/>
    <w:rsid w:val="00926C11"/>
    <w:rsid w:val="00930B0C"/>
    <w:rsid w:val="00931312"/>
    <w:rsid w:val="0093268D"/>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22BF"/>
    <w:rsid w:val="00972A36"/>
    <w:rsid w:val="00973FDE"/>
    <w:rsid w:val="00981FB1"/>
    <w:rsid w:val="00985053"/>
    <w:rsid w:val="00985F51"/>
    <w:rsid w:val="009902A4"/>
    <w:rsid w:val="009907AF"/>
    <w:rsid w:val="009912D7"/>
    <w:rsid w:val="00992409"/>
    <w:rsid w:val="00993670"/>
    <w:rsid w:val="00994B68"/>
    <w:rsid w:val="00997EA5"/>
    <w:rsid w:val="009A1C04"/>
    <w:rsid w:val="009A4CBB"/>
    <w:rsid w:val="009A5A2F"/>
    <w:rsid w:val="009B1714"/>
    <w:rsid w:val="009B5526"/>
    <w:rsid w:val="009B617C"/>
    <w:rsid w:val="009B694A"/>
    <w:rsid w:val="009B7A42"/>
    <w:rsid w:val="009D0C11"/>
    <w:rsid w:val="009D3A69"/>
    <w:rsid w:val="009D6305"/>
    <w:rsid w:val="009E1F93"/>
    <w:rsid w:val="009E7D61"/>
    <w:rsid w:val="009F0EBF"/>
    <w:rsid w:val="009F14C0"/>
    <w:rsid w:val="009F2EA4"/>
    <w:rsid w:val="009F30E1"/>
    <w:rsid w:val="009F379B"/>
    <w:rsid w:val="009F54AA"/>
    <w:rsid w:val="00A0521B"/>
    <w:rsid w:val="00A057CD"/>
    <w:rsid w:val="00A1550B"/>
    <w:rsid w:val="00A166BC"/>
    <w:rsid w:val="00A24EB9"/>
    <w:rsid w:val="00A253CC"/>
    <w:rsid w:val="00A268B5"/>
    <w:rsid w:val="00A27DE7"/>
    <w:rsid w:val="00A31EFB"/>
    <w:rsid w:val="00A40408"/>
    <w:rsid w:val="00A45CEA"/>
    <w:rsid w:val="00A47953"/>
    <w:rsid w:val="00A50F09"/>
    <w:rsid w:val="00A52582"/>
    <w:rsid w:val="00A53B16"/>
    <w:rsid w:val="00A55EC2"/>
    <w:rsid w:val="00A56ED7"/>
    <w:rsid w:val="00A61DEF"/>
    <w:rsid w:val="00A631AA"/>
    <w:rsid w:val="00A6490A"/>
    <w:rsid w:val="00A64A50"/>
    <w:rsid w:val="00A75A3F"/>
    <w:rsid w:val="00A764E0"/>
    <w:rsid w:val="00A80167"/>
    <w:rsid w:val="00A87F2F"/>
    <w:rsid w:val="00A910FB"/>
    <w:rsid w:val="00A92639"/>
    <w:rsid w:val="00A93725"/>
    <w:rsid w:val="00A950A1"/>
    <w:rsid w:val="00A96D13"/>
    <w:rsid w:val="00AA0DC5"/>
    <w:rsid w:val="00AA103F"/>
    <w:rsid w:val="00AA496D"/>
    <w:rsid w:val="00AB10AA"/>
    <w:rsid w:val="00AB2197"/>
    <w:rsid w:val="00AB24C7"/>
    <w:rsid w:val="00AB2BE3"/>
    <w:rsid w:val="00AB356E"/>
    <w:rsid w:val="00AB3C8C"/>
    <w:rsid w:val="00AB4373"/>
    <w:rsid w:val="00AB4577"/>
    <w:rsid w:val="00AC2D32"/>
    <w:rsid w:val="00AC32FF"/>
    <w:rsid w:val="00AC35D5"/>
    <w:rsid w:val="00AD0D2E"/>
    <w:rsid w:val="00AD1439"/>
    <w:rsid w:val="00AD5C4C"/>
    <w:rsid w:val="00AD79E1"/>
    <w:rsid w:val="00AE2017"/>
    <w:rsid w:val="00AE236E"/>
    <w:rsid w:val="00AE3488"/>
    <w:rsid w:val="00AF1E79"/>
    <w:rsid w:val="00AF28FB"/>
    <w:rsid w:val="00AF4364"/>
    <w:rsid w:val="00AF5225"/>
    <w:rsid w:val="00AF6B54"/>
    <w:rsid w:val="00AF7290"/>
    <w:rsid w:val="00B05BF8"/>
    <w:rsid w:val="00B063DB"/>
    <w:rsid w:val="00B06AF0"/>
    <w:rsid w:val="00B07103"/>
    <w:rsid w:val="00B10B23"/>
    <w:rsid w:val="00B15063"/>
    <w:rsid w:val="00B160D7"/>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1BE8"/>
    <w:rsid w:val="00B77592"/>
    <w:rsid w:val="00B846C1"/>
    <w:rsid w:val="00B85D95"/>
    <w:rsid w:val="00B87C0D"/>
    <w:rsid w:val="00B908A3"/>
    <w:rsid w:val="00B90B20"/>
    <w:rsid w:val="00B90F72"/>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2D92"/>
    <w:rsid w:val="00BC68FC"/>
    <w:rsid w:val="00BC69E3"/>
    <w:rsid w:val="00BD6821"/>
    <w:rsid w:val="00BD74A5"/>
    <w:rsid w:val="00BF3146"/>
    <w:rsid w:val="00BF67DB"/>
    <w:rsid w:val="00BF729F"/>
    <w:rsid w:val="00C0325D"/>
    <w:rsid w:val="00C0329E"/>
    <w:rsid w:val="00C059E5"/>
    <w:rsid w:val="00C105F1"/>
    <w:rsid w:val="00C174CB"/>
    <w:rsid w:val="00C2021E"/>
    <w:rsid w:val="00C23EBA"/>
    <w:rsid w:val="00C23EFF"/>
    <w:rsid w:val="00C26153"/>
    <w:rsid w:val="00C31652"/>
    <w:rsid w:val="00C33530"/>
    <w:rsid w:val="00C37BC3"/>
    <w:rsid w:val="00C43BB8"/>
    <w:rsid w:val="00C57E2C"/>
    <w:rsid w:val="00C61D53"/>
    <w:rsid w:val="00C623BB"/>
    <w:rsid w:val="00C62709"/>
    <w:rsid w:val="00C644B4"/>
    <w:rsid w:val="00C6481F"/>
    <w:rsid w:val="00C652F8"/>
    <w:rsid w:val="00C766B5"/>
    <w:rsid w:val="00C77251"/>
    <w:rsid w:val="00C813EB"/>
    <w:rsid w:val="00C87DEC"/>
    <w:rsid w:val="00C92326"/>
    <w:rsid w:val="00C92A6B"/>
    <w:rsid w:val="00C947B7"/>
    <w:rsid w:val="00C95809"/>
    <w:rsid w:val="00C9748C"/>
    <w:rsid w:val="00CA1235"/>
    <w:rsid w:val="00CA1CBA"/>
    <w:rsid w:val="00CA1F6D"/>
    <w:rsid w:val="00CA2375"/>
    <w:rsid w:val="00CB18D3"/>
    <w:rsid w:val="00CB5CAF"/>
    <w:rsid w:val="00CB7DBA"/>
    <w:rsid w:val="00CC01BA"/>
    <w:rsid w:val="00CC4234"/>
    <w:rsid w:val="00CC624C"/>
    <w:rsid w:val="00CD0C23"/>
    <w:rsid w:val="00CD0C39"/>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31CBE"/>
    <w:rsid w:val="00D33719"/>
    <w:rsid w:val="00D40C8A"/>
    <w:rsid w:val="00D413F1"/>
    <w:rsid w:val="00D41508"/>
    <w:rsid w:val="00D43561"/>
    <w:rsid w:val="00D5210F"/>
    <w:rsid w:val="00D6022E"/>
    <w:rsid w:val="00D60FCB"/>
    <w:rsid w:val="00D61CED"/>
    <w:rsid w:val="00D6462F"/>
    <w:rsid w:val="00D64CD9"/>
    <w:rsid w:val="00D65867"/>
    <w:rsid w:val="00D658E6"/>
    <w:rsid w:val="00D66412"/>
    <w:rsid w:val="00D674F2"/>
    <w:rsid w:val="00D7034A"/>
    <w:rsid w:val="00D71731"/>
    <w:rsid w:val="00D730D0"/>
    <w:rsid w:val="00D74C0B"/>
    <w:rsid w:val="00D755D2"/>
    <w:rsid w:val="00D77053"/>
    <w:rsid w:val="00D81FF0"/>
    <w:rsid w:val="00D91517"/>
    <w:rsid w:val="00D91BF2"/>
    <w:rsid w:val="00D965DD"/>
    <w:rsid w:val="00D9685F"/>
    <w:rsid w:val="00DA0B12"/>
    <w:rsid w:val="00DA174D"/>
    <w:rsid w:val="00DA339A"/>
    <w:rsid w:val="00DA5C61"/>
    <w:rsid w:val="00DB0774"/>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22E2"/>
    <w:rsid w:val="00DF2BDF"/>
    <w:rsid w:val="00DF2DF6"/>
    <w:rsid w:val="00DF38DB"/>
    <w:rsid w:val="00DF5AA6"/>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1B7A"/>
    <w:rsid w:val="00E6085D"/>
    <w:rsid w:val="00E620D6"/>
    <w:rsid w:val="00E623BC"/>
    <w:rsid w:val="00E629C2"/>
    <w:rsid w:val="00E675C7"/>
    <w:rsid w:val="00E67EBC"/>
    <w:rsid w:val="00E717FA"/>
    <w:rsid w:val="00E71DEE"/>
    <w:rsid w:val="00E73425"/>
    <w:rsid w:val="00E80D95"/>
    <w:rsid w:val="00E85949"/>
    <w:rsid w:val="00E86B53"/>
    <w:rsid w:val="00E9143E"/>
    <w:rsid w:val="00E915CA"/>
    <w:rsid w:val="00E93933"/>
    <w:rsid w:val="00E93A68"/>
    <w:rsid w:val="00E9453C"/>
    <w:rsid w:val="00E96E87"/>
    <w:rsid w:val="00EA1F21"/>
    <w:rsid w:val="00EA6F03"/>
    <w:rsid w:val="00EA6F44"/>
    <w:rsid w:val="00EB3368"/>
    <w:rsid w:val="00EB3859"/>
    <w:rsid w:val="00EB5A72"/>
    <w:rsid w:val="00ED0C64"/>
    <w:rsid w:val="00ED769C"/>
    <w:rsid w:val="00EE1EC2"/>
    <w:rsid w:val="00EE3F34"/>
    <w:rsid w:val="00EE407D"/>
    <w:rsid w:val="00EE45FA"/>
    <w:rsid w:val="00EF0E3F"/>
    <w:rsid w:val="00EF1063"/>
    <w:rsid w:val="00EF171D"/>
    <w:rsid w:val="00EF41B3"/>
    <w:rsid w:val="00EF51E9"/>
    <w:rsid w:val="00EF65B7"/>
    <w:rsid w:val="00EF7B0B"/>
    <w:rsid w:val="00F0221D"/>
    <w:rsid w:val="00F03179"/>
    <w:rsid w:val="00F0463F"/>
    <w:rsid w:val="00F05CE7"/>
    <w:rsid w:val="00F0689B"/>
    <w:rsid w:val="00F07DE8"/>
    <w:rsid w:val="00F11073"/>
    <w:rsid w:val="00F1251F"/>
    <w:rsid w:val="00F14DF2"/>
    <w:rsid w:val="00F20251"/>
    <w:rsid w:val="00F21D4F"/>
    <w:rsid w:val="00F21DC1"/>
    <w:rsid w:val="00F226DC"/>
    <w:rsid w:val="00F22977"/>
    <w:rsid w:val="00F23084"/>
    <w:rsid w:val="00F24939"/>
    <w:rsid w:val="00F25098"/>
    <w:rsid w:val="00F32F2C"/>
    <w:rsid w:val="00F3519C"/>
    <w:rsid w:val="00F42B7F"/>
    <w:rsid w:val="00F445D8"/>
    <w:rsid w:val="00F45654"/>
    <w:rsid w:val="00F46BBA"/>
    <w:rsid w:val="00F54F79"/>
    <w:rsid w:val="00F553F2"/>
    <w:rsid w:val="00F56247"/>
    <w:rsid w:val="00F61A26"/>
    <w:rsid w:val="00F640BB"/>
    <w:rsid w:val="00F65035"/>
    <w:rsid w:val="00F75F25"/>
    <w:rsid w:val="00F765AE"/>
    <w:rsid w:val="00F817D3"/>
    <w:rsid w:val="00F832E7"/>
    <w:rsid w:val="00F857C8"/>
    <w:rsid w:val="00F97659"/>
    <w:rsid w:val="00FA20DF"/>
    <w:rsid w:val="00FA4D5B"/>
    <w:rsid w:val="00FA73D7"/>
    <w:rsid w:val="00FB1AF5"/>
    <w:rsid w:val="00FB4A83"/>
    <w:rsid w:val="00FB7276"/>
    <w:rsid w:val="00FB74D7"/>
    <w:rsid w:val="00FC0A99"/>
    <w:rsid w:val="00FC0C7F"/>
    <w:rsid w:val="00FC21F9"/>
    <w:rsid w:val="00FC356D"/>
    <w:rsid w:val="00FC55D2"/>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DF34"/>
  <w15:chartTrackingRefBased/>
  <w15:docId w15:val="{08CC9608-6184-4E25-9CCC-52264D0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iPriority w:val="99"/>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17AB-D440-400A-803A-12E3D751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5480</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2019-01-25T12:25:00Z</dcterms:created>
  <dc:creator>Ruta Atociunaite</dc:creator>
  <cp:lastModifiedBy>Giedrė Kaunė</cp:lastModifiedBy>
  <cp:lastPrinted>2019-01-18T11:04:00Z</cp:lastPrinted>
  <dcterms:modified xsi:type="dcterms:W3CDTF">2019-01-25T12:25:00Z</dcterms:modified>
  <cp:revision>2</cp:revision>
  <dc:title>Derinimo pažyma</dc:title>
</cp:coreProperties>
</file>