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03560" w14:textId="77777777" w:rsidR="003A065B" w:rsidRDefault="003A065B" w:rsidP="003A065B">
      <w:pPr>
        <w:spacing w:after="0"/>
        <w:jc w:val="center"/>
        <w:rPr>
          <w:rFonts w:ascii="Times New Roman" w:hAnsi="Times New Roman"/>
        </w:rPr>
      </w:pPr>
      <w:r w:rsidRPr="00EE3840">
        <w:rPr>
          <w:rFonts w:ascii="Times New Roman" w:hAnsi="Times New Roman" w:cs="Times New Roman"/>
          <w:b/>
          <w:sz w:val="24"/>
          <w:szCs w:val="24"/>
        </w:rPr>
        <w:t>DERINIMO PAŽYMA</w:t>
      </w:r>
      <w:r w:rsidRPr="003B0CE0">
        <w:rPr>
          <w:rFonts w:ascii="Times New Roman" w:hAnsi="Times New Roman"/>
        </w:rPr>
        <w:t xml:space="preserve"> </w:t>
      </w:r>
    </w:p>
    <w:p w14:paraId="00AC210D" w14:textId="045DA5D5" w:rsidR="00AA4280" w:rsidRDefault="003A065B" w:rsidP="00AA4280">
      <w:pPr>
        <w:tabs>
          <w:tab w:val="left" w:pos="993"/>
        </w:tabs>
        <w:spacing w:after="0" w:line="240" w:lineRule="auto"/>
        <w:jc w:val="center"/>
        <w:rPr>
          <w:rFonts w:ascii="Times New Roman" w:eastAsia="Calibri" w:hAnsi="Times New Roman" w:cs="Times New Roman"/>
          <w:b/>
          <w:sz w:val="24"/>
        </w:rPr>
      </w:pPr>
      <w:r w:rsidRPr="003B0CE0">
        <w:rPr>
          <w:rFonts w:ascii="Times New Roman" w:hAnsi="Times New Roman" w:cs="Times New Roman"/>
          <w:b/>
          <w:sz w:val="24"/>
          <w:szCs w:val="24"/>
        </w:rPr>
        <w:t xml:space="preserve">DĖL LIETUVOS RESPUBLIKOS </w:t>
      </w:r>
      <w:r w:rsidR="00AA4280">
        <w:rPr>
          <w:rFonts w:ascii="Times New Roman" w:eastAsia="Calibri" w:hAnsi="Times New Roman" w:cs="Times New Roman"/>
          <w:b/>
          <w:sz w:val="24"/>
        </w:rPr>
        <w:t>ŽUVININKYSTĖS ĮSTATYMO NR. VIII-1756 8,</w:t>
      </w:r>
      <w:r w:rsidR="00F55B16">
        <w:rPr>
          <w:rFonts w:ascii="Times New Roman" w:eastAsia="Calibri" w:hAnsi="Times New Roman" w:cs="Times New Roman"/>
          <w:b/>
          <w:sz w:val="24"/>
        </w:rPr>
        <w:t xml:space="preserve"> 12,</w:t>
      </w:r>
      <w:r w:rsidR="00AA4280">
        <w:rPr>
          <w:rFonts w:ascii="Times New Roman" w:eastAsia="Calibri" w:hAnsi="Times New Roman" w:cs="Times New Roman"/>
          <w:b/>
          <w:sz w:val="24"/>
        </w:rPr>
        <w:t xml:space="preserve"> 13, 14</w:t>
      </w:r>
      <w:r w:rsidR="00AA4280">
        <w:rPr>
          <w:rFonts w:ascii="Times New Roman" w:eastAsia="Calibri" w:hAnsi="Times New Roman" w:cs="Times New Roman"/>
          <w:b/>
          <w:sz w:val="24"/>
          <w:vertAlign w:val="superscript"/>
        </w:rPr>
        <w:t>1</w:t>
      </w:r>
      <w:r w:rsidR="00AA4280">
        <w:rPr>
          <w:rFonts w:ascii="Times New Roman" w:eastAsia="Calibri" w:hAnsi="Times New Roman" w:cs="Times New Roman"/>
          <w:b/>
          <w:sz w:val="24"/>
        </w:rPr>
        <w:t>, 14</w:t>
      </w:r>
      <w:r w:rsidR="00AA4280">
        <w:rPr>
          <w:rFonts w:ascii="Times New Roman" w:eastAsia="Calibri" w:hAnsi="Times New Roman" w:cs="Times New Roman"/>
          <w:b/>
          <w:sz w:val="24"/>
          <w:vertAlign w:val="superscript"/>
        </w:rPr>
        <w:t>3</w:t>
      </w:r>
      <w:r w:rsidR="00AA4280">
        <w:rPr>
          <w:rFonts w:ascii="Times New Roman" w:eastAsia="Calibri" w:hAnsi="Times New Roman" w:cs="Times New Roman"/>
          <w:b/>
          <w:sz w:val="24"/>
        </w:rPr>
        <w:t>, 14</w:t>
      </w:r>
      <w:r w:rsidR="00AA4280">
        <w:rPr>
          <w:rFonts w:ascii="Times New Roman" w:eastAsia="Calibri" w:hAnsi="Times New Roman" w:cs="Times New Roman"/>
          <w:b/>
          <w:sz w:val="24"/>
          <w:vertAlign w:val="superscript"/>
        </w:rPr>
        <w:t>4</w:t>
      </w:r>
      <w:r w:rsidR="00AA4280">
        <w:rPr>
          <w:rFonts w:ascii="Times New Roman" w:eastAsia="Calibri" w:hAnsi="Times New Roman" w:cs="Times New Roman"/>
          <w:b/>
          <w:sz w:val="24"/>
        </w:rPr>
        <w:t>, 15, 17</w:t>
      </w:r>
      <w:r w:rsidR="00AA4280">
        <w:rPr>
          <w:rFonts w:ascii="Times New Roman" w:eastAsia="Calibri" w:hAnsi="Times New Roman" w:cs="Times New Roman"/>
          <w:b/>
          <w:sz w:val="24"/>
          <w:vertAlign w:val="superscript"/>
        </w:rPr>
        <w:t>1</w:t>
      </w:r>
      <w:r w:rsidR="00AA4280">
        <w:rPr>
          <w:rFonts w:ascii="Times New Roman" w:eastAsia="Calibri" w:hAnsi="Times New Roman" w:cs="Times New Roman"/>
          <w:b/>
          <w:sz w:val="24"/>
        </w:rPr>
        <w:t xml:space="preserve">, 18, 21, 22, 53 STRAIPSNIŲ IR PRIEDO PAKEITIMO </w:t>
      </w:r>
    </w:p>
    <w:p w14:paraId="0E01467A" w14:textId="3B2446FF" w:rsidR="003A065B" w:rsidRDefault="003A065B" w:rsidP="00767AC9">
      <w:pPr>
        <w:spacing w:after="0"/>
        <w:jc w:val="center"/>
      </w:pPr>
      <w:r w:rsidRPr="003A065B">
        <w:rPr>
          <w:rFonts w:ascii="Times New Roman" w:hAnsi="Times New Roman"/>
          <w:b/>
          <w:sz w:val="24"/>
          <w:szCs w:val="24"/>
        </w:rPr>
        <w:t>ĮSTATYMO PROJEKTO</w:t>
      </w:r>
      <w:r w:rsidRPr="003A065B">
        <w:rPr>
          <w:rFonts w:ascii="Times New Roman" w:hAnsi="Times New Roman"/>
          <w:b/>
          <w:szCs w:val="24"/>
        </w:rPr>
        <w:t xml:space="preserve"> </w:t>
      </w:r>
    </w:p>
    <w:tbl>
      <w:tblPr>
        <w:tblStyle w:val="Lentelstinklelis"/>
        <w:tblW w:w="0" w:type="auto"/>
        <w:tblLook w:val="04A0" w:firstRow="1" w:lastRow="0" w:firstColumn="1" w:lastColumn="0" w:noHBand="0" w:noVBand="1"/>
      </w:tblPr>
      <w:tblGrid>
        <w:gridCol w:w="846"/>
        <w:gridCol w:w="3544"/>
        <w:gridCol w:w="4677"/>
        <w:gridCol w:w="4926"/>
      </w:tblGrid>
      <w:tr w:rsidR="001C6714" w:rsidRPr="003A065B" w14:paraId="7717D447" w14:textId="77777777" w:rsidTr="00FF05A8">
        <w:tc>
          <w:tcPr>
            <w:tcW w:w="846" w:type="dxa"/>
          </w:tcPr>
          <w:p w14:paraId="61F98213" w14:textId="77777777" w:rsidR="001C6714" w:rsidRPr="00AE5C52" w:rsidRDefault="001C6714" w:rsidP="003A065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Eil. </w:t>
            </w:r>
            <w:proofErr w:type="spellStart"/>
            <w:r>
              <w:rPr>
                <w:rFonts w:ascii="Times New Roman" w:hAnsi="Times New Roman" w:cs="Times New Roman"/>
                <w:b/>
                <w:sz w:val="24"/>
                <w:szCs w:val="24"/>
              </w:rPr>
              <w:t>nr.</w:t>
            </w:r>
            <w:proofErr w:type="spellEnd"/>
          </w:p>
        </w:tc>
        <w:tc>
          <w:tcPr>
            <w:tcW w:w="3544" w:type="dxa"/>
          </w:tcPr>
          <w:p w14:paraId="3BFFEC89" w14:textId="77777777" w:rsidR="001C6714" w:rsidRPr="003A065B" w:rsidRDefault="001C6714" w:rsidP="003A065B">
            <w:pPr>
              <w:spacing w:after="0" w:line="240" w:lineRule="auto"/>
              <w:rPr>
                <w:rFonts w:ascii="Times New Roman" w:hAnsi="Times New Roman" w:cs="Times New Roman"/>
                <w:b/>
                <w:sz w:val="28"/>
                <w:szCs w:val="28"/>
              </w:rPr>
            </w:pPr>
            <w:r w:rsidRPr="00AE5C52">
              <w:rPr>
                <w:rFonts w:ascii="Times New Roman" w:hAnsi="Times New Roman" w:cs="Times New Roman"/>
                <w:b/>
                <w:sz w:val="24"/>
                <w:szCs w:val="24"/>
              </w:rPr>
              <w:t>Institucijos pavadinimas (rašto data ir Nr.)</w:t>
            </w:r>
          </w:p>
        </w:tc>
        <w:tc>
          <w:tcPr>
            <w:tcW w:w="4677" w:type="dxa"/>
          </w:tcPr>
          <w:p w14:paraId="64221F08" w14:textId="77777777" w:rsidR="001C6714" w:rsidRPr="003A065B" w:rsidRDefault="001C6714" w:rsidP="003A065B">
            <w:pPr>
              <w:spacing w:after="0" w:line="240" w:lineRule="auto"/>
              <w:rPr>
                <w:rFonts w:ascii="Times New Roman" w:hAnsi="Times New Roman" w:cs="Times New Roman"/>
                <w:b/>
                <w:sz w:val="28"/>
                <w:szCs w:val="28"/>
              </w:rPr>
            </w:pPr>
            <w:r>
              <w:rPr>
                <w:rFonts w:ascii="Times New Roman" w:hAnsi="Times New Roman" w:cs="Times New Roman"/>
                <w:b/>
                <w:sz w:val="24"/>
                <w:szCs w:val="24"/>
              </w:rPr>
              <w:t>Pastabos ir pasiūlymai</w:t>
            </w:r>
          </w:p>
        </w:tc>
        <w:tc>
          <w:tcPr>
            <w:tcW w:w="4926" w:type="dxa"/>
          </w:tcPr>
          <w:p w14:paraId="0C0D58E4" w14:textId="77777777" w:rsidR="001C6714" w:rsidRPr="003A065B" w:rsidRDefault="001C6714" w:rsidP="003A065B">
            <w:pPr>
              <w:spacing w:after="0" w:line="240" w:lineRule="auto"/>
              <w:rPr>
                <w:rFonts w:ascii="Times New Roman" w:hAnsi="Times New Roman" w:cs="Times New Roman"/>
                <w:b/>
                <w:sz w:val="28"/>
                <w:szCs w:val="28"/>
              </w:rPr>
            </w:pPr>
            <w:r>
              <w:rPr>
                <w:rFonts w:ascii="Times New Roman" w:hAnsi="Times New Roman" w:cs="Times New Roman"/>
                <w:b/>
                <w:sz w:val="24"/>
                <w:szCs w:val="24"/>
              </w:rPr>
              <w:t>Paaiškinimai dėl pastabų</w:t>
            </w:r>
          </w:p>
        </w:tc>
      </w:tr>
      <w:tr w:rsidR="00B02A75" w:rsidRPr="003A065B" w14:paraId="7230276E" w14:textId="77777777" w:rsidTr="00FF05A8">
        <w:tc>
          <w:tcPr>
            <w:tcW w:w="846" w:type="dxa"/>
          </w:tcPr>
          <w:p w14:paraId="38889A09" w14:textId="4054C438" w:rsidR="00B02A75" w:rsidRDefault="00F0024D" w:rsidP="00FF05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544" w:type="dxa"/>
            <w:vMerge w:val="restart"/>
          </w:tcPr>
          <w:p w14:paraId="6B8A1FB6" w14:textId="532FB01C" w:rsidR="00B02A75" w:rsidRDefault="00B02A75" w:rsidP="00FF05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Žvejų ir žuvies perdirbėjų asociacijos „Baltijos žvejas“ </w:t>
            </w:r>
          </w:p>
          <w:p w14:paraId="2CEF7E28" w14:textId="7E7F6C51" w:rsidR="00B02A75" w:rsidRDefault="00B02A75" w:rsidP="00FF05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EA399B">
              <w:rPr>
                <w:rFonts w:ascii="Times New Roman" w:hAnsi="Times New Roman" w:cs="Times New Roman"/>
                <w:sz w:val="24"/>
                <w:szCs w:val="24"/>
              </w:rPr>
              <w:t>20</w:t>
            </w:r>
            <w:r>
              <w:rPr>
                <w:rFonts w:ascii="Times New Roman" w:hAnsi="Times New Roman" w:cs="Times New Roman"/>
                <w:sz w:val="24"/>
                <w:szCs w:val="24"/>
              </w:rPr>
              <w:t>-0</w:t>
            </w:r>
            <w:r w:rsidR="00EA399B">
              <w:rPr>
                <w:rFonts w:ascii="Times New Roman" w:hAnsi="Times New Roman" w:cs="Times New Roman"/>
                <w:sz w:val="24"/>
                <w:szCs w:val="24"/>
              </w:rPr>
              <w:t>1</w:t>
            </w:r>
            <w:r>
              <w:rPr>
                <w:rFonts w:ascii="Times New Roman" w:hAnsi="Times New Roman" w:cs="Times New Roman"/>
                <w:sz w:val="24"/>
                <w:szCs w:val="24"/>
              </w:rPr>
              <w:t>-</w:t>
            </w:r>
            <w:r w:rsidR="00EA399B">
              <w:rPr>
                <w:rFonts w:ascii="Times New Roman" w:hAnsi="Times New Roman" w:cs="Times New Roman"/>
                <w:sz w:val="24"/>
                <w:szCs w:val="24"/>
              </w:rPr>
              <w:t>10</w:t>
            </w:r>
            <w:r>
              <w:rPr>
                <w:rFonts w:ascii="Times New Roman" w:hAnsi="Times New Roman" w:cs="Times New Roman"/>
                <w:sz w:val="24"/>
                <w:szCs w:val="24"/>
              </w:rPr>
              <w:t xml:space="preserve"> raštas</w:t>
            </w:r>
          </w:p>
          <w:p w14:paraId="7AC793E1" w14:textId="77777777" w:rsidR="00B02A75" w:rsidRDefault="00B02A75" w:rsidP="00FF05A8">
            <w:pPr>
              <w:spacing w:after="0" w:line="240" w:lineRule="auto"/>
              <w:jc w:val="both"/>
              <w:rPr>
                <w:rFonts w:ascii="Times New Roman" w:hAnsi="Times New Roman" w:cs="Times New Roman"/>
                <w:sz w:val="24"/>
                <w:szCs w:val="24"/>
              </w:rPr>
            </w:pPr>
          </w:p>
        </w:tc>
        <w:tc>
          <w:tcPr>
            <w:tcW w:w="4677" w:type="dxa"/>
          </w:tcPr>
          <w:tbl>
            <w:tblPr>
              <w:tblW w:w="0" w:type="auto"/>
              <w:tblBorders>
                <w:top w:val="nil"/>
                <w:left w:val="nil"/>
                <w:bottom w:val="nil"/>
                <w:right w:val="nil"/>
              </w:tblBorders>
              <w:tblLook w:val="0000" w:firstRow="0" w:lastRow="0" w:firstColumn="0" w:lastColumn="0" w:noHBand="0" w:noVBand="0"/>
            </w:tblPr>
            <w:tblGrid>
              <w:gridCol w:w="4461"/>
            </w:tblGrid>
            <w:tr w:rsidR="00AE4605" w:rsidRPr="00AE4605" w14:paraId="2A3FC21C" w14:textId="77777777">
              <w:trPr>
                <w:trHeight w:val="2190"/>
              </w:trPr>
              <w:tc>
                <w:tcPr>
                  <w:tcW w:w="0" w:type="auto"/>
                </w:tcPr>
                <w:p w14:paraId="4DFE278A" w14:textId="243C7882" w:rsidR="00AE4605" w:rsidRPr="00AE4605" w:rsidRDefault="00AE4605" w:rsidP="00AE4605">
                  <w:pPr>
                    <w:autoSpaceDE w:val="0"/>
                    <w:autoSpaceDN w:val="0"/>
                    <w:adjustRightInd w:val="0"/>
                    <w:spacing w:after="0" w:line="240" w:lineRule="auto"/>
                    <w:rPr>
                      <w:rFonts w:ascii="Times New Roman" w:hAnsi="Times New Roman" w:cs="Times New Roman"/>
                      <w:color w:val="000000"/>
                      <w:sz w:val="24"/>
                      <w:szCs w:val="24"/>
                    </w:rPr>
                  </w:pPr>
                  <w:r w:rsidRPr="00AE4605">
                    <w:rPr>
                      <w:rFonts w:ascii="Times New Roman" w:hAnsi="Times New Roman" w:cs="Times New Roman"/>
                      <w:color w:val="000000"/>
                      <w:sz w:val="24"/>
                      <w:szCs w:val="24"/>
                    </w:rPr>
                    <w:t>Įstatymo projekto 1 straipsnis. 13 straipsnio 1 dalies pakeitimas. Įstatymo projektu siūloma numatyti, kad reikalavimas turėti laisvą žvejybos pajėgumą būtų netaikomas, jei prašoma laikinai išduoti Lietuvos Respublikos žvejybos laivo liudijimą tam tikrą laikotarpį vykdyti žvejybą tik mokslinių tyrimų tikslais. Šis siūlymas ŽŪM grindžiamas tuo, jog Žuvininkystės tarnyba vykdydama mokslinę žvejybą neturi laisvų žvejybos pajėgumų.</w:t>
                  </w:r>
                </w:p>
              </w:tc>
            </w:tr>
            <w:tr w:rsidR="00AE4605" w:rsidRPr="00AE4605" w14:paraId="2701D876" w14:textId="77777777">
              <w:trPr>
                <w:trHeight w:val="2571"/>
              </w:trPr>
              <w:tc>
                <w:tcPr>
                  <w:tcW w:w="0" w:type="auto"/>
                </w:tcPr>
                <w:p w14:paraId="1B304CDF" w14:textId="65604041" w:rsidR="00AE4605" w:rsidRPr="00AE4605" w:rsidRDefault="00AE4605" w:rsidP="00AE4605">
                  <w:pPr>
                    <w:autoSpaceDE w:val="0"/>
                    <w:autoSpaceDN w:val="0"/>
                    <w:adjustRightInd w:val="0"/>
                    <w:spacing w:after="0" w:line="240" w:lineRule="auto"/>
                    <w:rPr>
                      <w:rFonts w:ascii="Times New Roman" w:hAnsi="Times New Roman" w:cs="Times New Roman"/>
                      <w:color w:val="000000"/>
                      <w:sz w:val="24"/>
                      <w:szCs w:val="24"/>
                    </w:rPr>
                  </w:pPr>
                  <w:r w:rsidRPr="00AE4605">
                    <w:rPr>
                      <w:rFonts w:ascii="Times New Roman" w:hAnsi="Times New Roman" w:cs="Times New Roman"/>
                      <w:color w:val="000000"/>
                      <w:sz w:val="24"/>
                      <w:szCs w:val="24"/>
                    </w:rPr>
                    <w:t>Prašome Įstatymo projekte numatyti, jog mokslinę žvejybą neturint laisvo žvejybos pajėgumo gali vykdyti tik valstybės valdoma įmonė, kurios viena iš funkcijų –moksliniai tyrimai.</w:t>
                  </w:r>
                  <w:r>
                    <w:rPr>
                      <w:rFonts w:ascii="Times New Roman" w:hAnsi="Times New Roman" w:cs="Times New Roman"/>
                      <w:color w:val="000000"/>
                      <w:sz w:val="24"/>
                      <w:szCs w:val="24"/>
                    </w:rPr>
                    <w:t xml:space="preserve"> </w:t>
                  </w:r>
                  <w:r w:rsidRPr="00AE4605">
                    <w:rPr>
                      <w:rFonts w:ascii="Times New Roman" w:hAnsi="Times New Roman" w:cs="Times New Roman"/>
                      <w:color w:val="000000"/>
                      <w:sz w:val="24"/>
                      <w:szCs w:val="24"/>
                    </w:rPr>
                    <w:t>Šis siūlymas atitinka Įstatymo projekto aiškinamojo rašto tikslus bei esmę. Priešingu atveju būtų neišvengta korupcijos bei piktnaudžiavimo rizikos, kai ūkio subjektai, neturintys žvejybos pajėgumų, faktiškai vykdytų žvejybą prisidengdami mokslinės žvejybos tikslais. Pastebėtina, jog toks žvejybos vykdymas neturint žvejybos laivo yra iš esmės nesuderinamas su ES bendrąja žuvininkystės politika.</w:t>
                  </w:r>
                </w:p>
              </w:tc>
            </w:tr>
          </w:tbl>
          <w:p w14:paraId="65E76B68" w14:textId="1CF266D1" w:rsidR="00B02A75" w:rsidRPr="003A065B" w:rsidRDefault="00B02A75" w:rsidP="00FF05A8">
            <w:pPr>
              <w:spacing w:after="0" w:line="240" w:lineRule="auto"/>
              <w:jc w:val="both"/>
              <w:rPr>
                <w:rFonts w:ascii="Times New Roman" w:hAnsi="Times New Roman" w:cs="Times New Roman"/>
                <w:sz w:val="24"/>
                <w:szCs w:val="24"/>
              </w:rPr>
            </w:pPr>
          </w:p>
        </w:tc>
        <w:tc>
          <w:tcPr>
            <w:tcW w:w="4926" w:type="dxa"/>
          </w:tcPr>
          <w:p w14:paraId="7A105E80" w14:textId="77777777" w:rsidR="00B02A75" w:rsidRDefault="00B02A75" w:rsidP="00FF05A8">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Neatsižvelgta.</w:t>
            </w:r>
          </w:p>
          <w:p w14:paraId="03508F59" w14:textId="77777777" w:rsidR="004D3868" w:rsidRDefault="004D3868" w:rsidP="004D38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Neproporcinga, nepagrįstai būtų ribojama konkurencija ir teisė mokslinius tyrimus, įskaitant ir valstybės institucijų užsakomuosius, vykdyti nevalstybinėms mokslo įstaigoms, draugijoms, nevyriausybinėms organizacijoms ar kitiems kompetentingiems subjektams. Specialiosios žvejybos leidimas išduodamas tik pagrindus specialiosios žvejybos poreikį ir tikslingumą.</w:t>
            </w:r>
          </w:p>
          <w:p w14:paraId="5954DF16" w14:textId="7960C4CA" w:rsidR="00AE475B" w:rsidRDefault="00514478" w:rsidP="00FF05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Reglamento (ES) Nr. 1380/2013 22 straipsnio 7 dalyje nustatyta, kad valstybės narės užtikrina, kad nuo 2014 m. sausio 1 d. jų laivynų žvejybos pajėgumai niekada neviršytų II priede nustatytų viršutinių žvejybos pajėgumų ribų. </w:t>
            </w:r>
            <w:r w:rsidR="00AE475B">
              <w:rPr>
                <w:rFonts w:ascii="Times New Roman" w:hAnsi="Times New Roman" w:cs="Times New Roman"/>
                <w:sz w:val="24"/>
                <w:szCs w:val="24"/>
              </w:rPr>
              <w:t>Atitik</w:t>
            </w:r>
            <w:r w:rsidR="00912499">
              <w:rPr>
                <w:rFonts w:ascii="Times New Roman" w:hAnsi="Times New Roman" w:cs="Times New Roman"/>
                <w:sz w:val="24"/>
                <w:szCs w:val="24"/>
              </w:rPr>
              <w:t>tis</w:t>
            </w:r>
            <w:r w:rsidR="00AE475B">
              <w:rPr>
                <w:rFonts w:ascii="Times New Roman" w:hAnsi="Times New Roman" w:cs="Times New Roman"/>
                <w:sz w:val="24"/>
                <w:szCs w:val="24"/>
              </w:rPr>
              <w:t xml:space="preserve"> šiai nuostatai yra tikrinama išduodant Lietuvos Respublikos žvejybos laivo liudijimą pagal Žuvininkystės įstatymo 13 straipsnio 1 dalies 8 punktą.</w:t>
            </w:r>
            <w:r>
              <w:rPr>
                <w:rFonts w:ascii="Times New Roman" w:hAnsi="Times New Roman" w:cs="Times New Roman"/>
                <w:sz w:val="24"/>
                <w:szCs w:val="24"/>
              </w:rPr>
              <w:t xml:space="preserve"> </w:t>
            </w:r>
          </w:p>
          <w:p w14:paraId="4C9E5BAF" w14:textId="289F5DA3" w:rsidR="00B02A75" w:rsidRPr="00D062A2" w:rsidRDefault="00AE475B" w:rsidP="00FF05A8">
            <w:pPr>
              <w:spacing w:after="0" w:line="240" w:lineRule="auto"/>
              <w:jc w:val="both"/>
              <w:rPr>
                <w:rFonts w:ascii="Times New Roman" w:eastAsia="Calibri" w:hAnsi="Times New Roman" w:cs="Times New Roman"/>
                <w:b/>
                <w:bCs/>
                <w:sz w:val="24"/>
                <w:szCs w:val="24"/>
              </w:rPr>
            </w:pPr>
            <w:r>
              <w:rPr>
                <w:rFonts w:ascii="Times New Roman" w:hAnsi="Times New Roman" w:cs="Times New Roman"/>
                <w:sz w:val="24"/>
                <w:szCs w:val="24"/>
              </w:rPr>
              <w:t>Pagal to paties Reglamento 23 straipsnio 1 dalį v</w:t>
            </w:r>
            <w:r w:rsidRPr="00AE475B">
              <w:rPr>
                <w:rFonts w:ascii="Times New Roman" w:hAnsi="Times New Roman" w:cs="Times New Roman"/>
                <w:sz w:val="24"/>
                <w:szCs w:val="24"/>
              </w:rPr>
              <w:t>alstybės narės įtraukimą į savo laivynus ir pasitraukimą iš savo laivynų tvarko taip, kad naujų pajėgumų įtraukimas į laivyną negaunant viešosios pagalbos būtų kompensuojamas prieš tai atliktu bent tokios pat apimties pajėgumų pašalinimu iš laivyno be viešosios pagalbos</w:t>
            </w:r>
            <w:r>
              <w:rPr>
                <w:rFonts w:ascii="Times New Roman" w:hAnsi="Times New Roman" w:cs="Times New Roman"/>
                <w:sz w:val="24"/>
                <w:szCs w:val="24"/>
              </w:rPr>
              <w:t>. Įstatymo projekto aiškinamajame rašte yra nurodyta, kad atitik</w:t>
            </w:r>
            <w:r w:rsidR="00912499">
              <w:rPr>
                <w:rFonts w:ascii="Times New Roman" w:hAnsi="Times New Roman" w:cs="Times New Roman"/>
                <w:sz w:val="24"/>
                <w:szCs w:val="24"/>
              </w:rPr>
              <w:t>tis</w:t>
            </w:r>
            <w:r>
              <w:rPr>
                <w:rFonts w:ascii="Times New Roman" w:hAnsi="Times New Roman" w:cs="Times New Roman"/>
                <w:sz w:val="24"/>
                <w:szCs w:val="24"/>
              </w:rPr>
              <w:t xml:space="preserve"> šiai nuostatai bus </w:t>
            </w:r>
            <w:r>
              <w:rPr>
                <w:rFonts w:ascii="Times New Roman" w:hAnsi="Times New Roman" w:cs="Times New Roman"/>
                <w:sz w:val="24"/>
                <w:szCs w:val="24"/>
              </w:rPr>
              <w:lastRenderedPageBreak/>
              <w:t>užtikrinama atsižvelgiant į tai, kad negaunant viešosios paramos</w:t>
            </w:r>
            <w:r w:rsidR="004D3868">
              <w:rPr>
                <w:rFonts w:ascii="Times New Roman" w:hAnsi="Times New Roman" w:cs="Times New Roman"/>
                <w:sz w:val="24"/>
                <w:szCs w:val="24"/>
              </w:rPr>
              <w:t xml:space="preserve"> buvo išbrauktas iš Europos Sąjungos žvejybos laivų registro mokslinis laivas „Darius“, kurio žvejybos pajėgumas galės būti panaudotas laikinai registruojant laivus moksliniams tyrimams.</w:t>
            </w:r>
            <w:r w:rsidR="00B02A75" w:rsidRPr="00D062A2">
              <w:rPr>
                <w:rFonts w:ascii="Times New Roman" w:hAnsi="Times New Roman" w:cs="Times New Roman"/>
                <w:sz w:val="24"/>
                <w:szCs w:val="24"/>
              </w:rPr>
              <w:t xml:space="preserve"> </w:t>
            </w:r>
          </w:p>
        </w:tc>
      </w:tr>
      <w:tr w:rsidR="00B02A75" w:rsidRPr="003A065B" w14:paraId="39F167D3" w14:textId="77777777" w:rsidTr="00CA07D7">
        <w:tc>
          <w:tcPr>
            <w:tcW w:w="846" w:type="dxa"/>
            <w:tcBorders>
              <w:top w:val="nil"/>
            </w:tcBorders>
          </w:tcPr>
          <w:p w14:paraId="3C65A584" w14:textId="6E972BD8" w:rsidR="00B02A75" w:rsidRPr="001C6714" w:rsidRDefault="00F0024D" w:rsidP="00FF05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B02A75" w:rsidRPr="001C6714">
              <w:rPr>
                <w:rFonts w:ascii="Times New Roman" w:hAnsi="Times New Roman" w:cs="Times New Roman"/>
                <w:sz w:val="24"/>
                <w:szCs w:val="24"/>
              </w:rPr>
              <w:t>.</w:t>
            </w:r>
          </w:p>
        </w:tc>
        <w:tc>
          <w:tcPr>
            <w:tcW w:w="3544" w:type="dxa"/>
            <w:vMerge/>
          </w:tcPr>
          <w:p w14:paraId="228B8ADA" w14:textId="77777777" w:rsidR="00B02A75" w:rsidRPr="003A065B" w:rsidRDefault="00B02A75" w:rsidP="00FF05A8">
            <w:pPr>
              <w:spacing w:after="0" w:line="240" w:lineRule="auto"/>
              <w:jc w:val="both"/>
              <w:rPr>
                <w:rFonts w:ascii="Times New Roman" w:hAnsi="Times New Roman" w:cs="Times New Roman"/>
                <w:b/>
                <w:sz w:val="24"/>
                <w:szCs w:val="24"/>
              </w:rPr>
            </w:pPr>
          </w:p>
        </w:tc>
        <w:tc>
          <w:tcPr>
            <w:tcW w:w="4677" w:type="dxa"/>
          </w:tcPr>
          <w:tbl>
            <w:tblPr>
              <w:tblW w:w="0" w:type="auto"/>
              <w:tblBorders>
                <w:top w:val="nil"/>
                <w:left w:val="nil"/>
                <w:bottom w:val="nil"/>
                <w:right w:val="nil"/>
              </w:tblBorders>
              <w:tblLook w:val="0000" w:firstRow="0" w:lastRow="0" w:firstColumn="0" w:lastColumn="0" w:noHBand="0" w:noVBand="0"/>
            </w:tblPr>
            <w:tblGrid>
              <w:gridCol w:w="4461"/>
            </w:tblGrid>
            <w:tr w:rsidR="00926810" w:rsidRPr="00926810" w14:paraId="15494FD5" w14:textId="77777777">
              <w:trPr>
                <w:trHeight w:val="2506"/>
              </w:trPr>
              <w:tc>
                <w:tcPr>
                  <w:tcW w:w="0" w:type="auto"/>
                </w:tcPr>
                <w:p w14:paraId="263A5913" w14:textId="2A8919BC" w:rsidR="00926810" w:rsidRPr="00926810" w:rsidRDefault="00926810" w:rsidP="00926810">
                  <w:pPr>
                    <w:autoSpaceDE w:val="0"/>
                    <w:autoSpaceDN w:val="0"/>
                    <w:adjustRightInd w:val="0"/>
                    <w:spacing w:after="0" w:line="240" w:lineRule="auto"/>
                    <w:rPr>
                      <w:rFonts w:ascii="Times New Roman" w:hAnsi="Times New Roman" w:cs="Times New Roman"/>
                      <w:color w:val="000000"/>
                      <w:sz w:val="24"/>
                      <w:szCs w:val="24"/>
                    </w:rPr>
                  </w:pPr>
                  <w:r w:rsidRPr="00926810">
                    <w:rPr>
                      <w:rFonts w:ascii="Times New Roman" w:hAnsi="Times New Roman" w:cs="Times New Roman"/>
                      <w:color w:val="000000"/>
                      <w:sz w:val="24"/>
                      <w:szCs w:val="24"/>
                    </w:rPr>
                    <w:t>Siūloma papildyti Žuvininkystės įstatymo 17</w:t>
                  </w:r>
                  <w:r>
                    <w:rPr>
                      <w:rFonts w:ascii="Times New Roman" w:hAnsi="Times New Roman" w:cs="Times New Roman"/>
                      <w:color w:val="000000"/>
                      <w:sz w:val="24"/>
                      <w:szCs w:val="24"/>
                      <w:vertAlign w:val="superscript"/>
                    </w:rPr>
                    <w:t>1</w:t>
                  </w:r>
                  <w:r w:rsidRPr="00926810">
                    <w:rPr>
                      <w:rFonts w:ascii="Times New Roman" w:hAnsi="Times New Roman" w:cs="Times New Roman"/>
                      <w:color w:val="000000"/>
                      <w:sz w:val="24"/>
                      <w:szCs w:val="24"/>
                    </w:rPr>
                    <w:t xml:space="preserve"> straipsnį nauja 13 dalimi ir ją išdėstyti sekančiai: </w:t>
                  </w:r>
                </w:p>
                <w:p w14:paraId="2777F982" w14:textId="77777777" w:rsidR="00926810" w:rsidRPr="00926810" w:rsidRDefault="00926810" w:rsidP="00926810">
                  <w:pPr>
                    <w:autoSpaceDE w:val="0"/>
                    <w:autoSpaceDN w:val="0"/>
                    <w:adjustRightInd w:val="0"/>
                    <w:spacing w:after="0" w:line="240" w:lineRule="auto"/>
                    <w:rPr>
                      <w:rFonts w:ascii="Times New Roman" w:hAnsi="Times New Roman" w:cs="Times New Roman"/>
                      <w:color w:val="000000"/>
                      <w:sz w:val="24"/>
                      <w:szCs w:val="24"/>
                    </w:rPr>
                  </w:pPr>
                  <w:r w:rsidRPr="00926810">
                    <w:rPr>
                      <w:rFonts w:ascii="Times New Roman" w:hAnsi="Times New Roman" w:cs="Times New Roman"/>
                      <w:color w:val="000000"/>
                      <w:sz w:val="24"/>
                      <w:szCs w:val="24"/>
                    </w:rPr>
                    <w:t>„</w:t>
                  </w:r>
                  <w:r w:rsidRPr="00926810">
                    <w:rPr>
                      <w:rFonts w:ascii="Times New Roman" w:hAnsi="Times New Roman" w:cs="Times New Roman"/>
                      <w:b/>
                      <w:bCs/>
                      <w:color w:val="000000"/>
                      <w:sz w:val="24"/>
                      <w:szCs w:val="24"/>
                    </w:rPr>
                    <w:t xml:space="preserve">Žemės ūkio ministro nustatyta tvarka ūkio subjektai, atitinkantys šio įstatymo 17 straipsnio 11 dalyje nustatytas sąlygas, gali perkelti iki 10 procentų ūkio subjektui skirtų ir neišnaudotų metinių individualių žvejybos galimybių, į kitus kalendorinius metus. Tokiu atveju kitais kalendoriniais metais šios perkeltos individualios žvejybos galimybės skiriamos jas perkėlusiam ūkio subjektui“. </w:t>
                  </w:r>
                </w:p>
                <w:p w14:paraId="40ABAE44" w14:textId="77777777" w:rsidR="00926810" w:rsidRPr="00926810" w:rsidRDefault="00926810" w:rsidP="00926810">
                  <w:pPr>
                    <w:autoSpaceDE w:val="0"/>
                    <w:autoSpaceDN w:val="0"/>
                    <w:adjustRightInd w:val="0"/>
                    <w:spacing w:after="0" w:line="240" w:lineRule="auto"/>
                    <w:rPr>
                      <w:rFonts w:ascii="Arial" w:hAnsi="Arial" w:cs="Arial"/>
                      <w:color w:val="000000"/>
                    </w:rPr>
                  </w:pPr>
                  <w:r w:rsidRPr="00926810">
                    <w:rPr>
                      <w:rFonts w:ascii="Times New Roman" w:hAnsi="Times New Roman" w:cs="Times New Roman"/>
                      <w:color w:val="000000"/>
                      <w:sz w:val="24"/>
                      <w:szCs w:val="24"/>
                    </w:rPr>
                    <w:t>Siūlymu siekiama užtikrinti efektyvų žuvų išteklių panaudojimą bei remiamasi gerąja užsienio šalių praktika. Analogiška tvarka galioja Švedijoje, Danijoje. Atitinkamai, tokį perkėlimą leidžia ir ES bendrosios žuvininkystės politikos reglamentai.</w:t>
                  </w:r>
                  <w:r w:rsidRPr="00926810">
                    <w:rPr>
                      <w:rFonts w:ascii="Arial" w:hAnsi="Arial" w:cs="Arial"/>
                      <w:color w:val="000000"/>
                    </w:rPr>
                    <w:t xml:space="preserve"> </w:t>
                  </w:r>
                </w:p>
              </w:tc>
            </w:tr>
          </w:tbl>
          <w:p w14:paraId="15B24336" w14:textId="5D1C5D84" w:rsidR="00B02A75" w:rsidRPr="004D3868" w:rsidRDefault="00B02A75" w:rsidP="004D3868">
            <w:pPr>
              <w:tabs>
                <w:tab w:val="left" w:pos="426"/>
              </w:tabs>
              <w:spacing w:line="240" w:lineRule="auto"/>
              <w:jc w:val="both"/>
              <w:rPr>
                <w:rFonts w:ascii="Times New Roman" w:hAnsi="Times New Roman" w:cs="Times New Roman"/>
                <w:sz w:val="24"/>
                <w:szCs w:val="24"/>
              </w:rPr>
            </w:pPr>
          </w:p>
        </w:tc>
        <w:tc>
          <w:tcPr>
            <w:tcW w:w="4926" w:type="dxa"/>
          </w:tcPr>
          <w:p w14:paraId="72C93785" w14:textId="77777777" w:rsidR="00B02A75" w:rsidRDefault="00B02A75" w:rsidP="00FF05A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Neatsižvelgta. </w:t>
            </w:r>
          </w:p>
          <w:p w14:paraId="0C66BBE7" w14:textId="66D500CE" w:rsidR="00A248DE" w:rsidRDefault="00A248DE" w:rsidP="00A248DE">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Siūlomas papildymas nėra susijęs su įstatymo projektu daromais pakeitimais ar papildymais. Be to, šis pasiūlymas reikalauja platesnių diskusijų dėl jo pagrįstumo. Šiuo metu pagal Žuvininkystės įstatymą, jei iki 10 proc. tam tikrais kalendoriniais metais nepanaudotų Lietuvos žvejybos galimybių skiriama kitiems kalendoriniams metams, valstybei skirtos žvejybos galimybės paskirstomos visiems ūkio subjektams pagal jų turimas perleidžiamąsias žvejybos teises. Tokiu būdu skatinama konkurencija ir suinteresuotumas kuo efektyviau išnaudoti individualias žvejybos galimybes, o jų nepanaudojus, </w:t>
            </w:r>
            <w:r w:rsidR="00C1394C">
              <w:rPr>
                <w:rFonts w:ascii="Times New Roman" w:eastAsia="Calibri" w:hAnsi="Times New Roman" w:cs="Times New Roman"/>
                <w:bCs/>
                <w:sz w:val="24"/>
                <w:szCs w:val="24"/>
              </w:rPr>
              <w:t xml:space="preserve">kitais metais </w:t>
            </w:r>
            <w:r>
              <w:rPr>
                <w:rFonts w:ascii="Times New Roman" w:eastAsia="Calibri" w:hAnsi="Times New Roman" w:cs="Times New Roman"/>
                <w:bCs/>
                <w:sz w:val="24"/>
                <w:szCs w:val="24"/>
              </w:rPr>
              <w:t xml:space="preserve">suteikiama galimybė jas išnaudoti ir kitiems ūkio subjektams. </w:t>
            </w:r>
          </w:p>
          <w:p w14:paraId="1FC74010" w14:textId="148CBCCD" w:rsidR="00B02A75" w:rsidRPr="00747AAA" w:rsidRDefault="00A248DE" w:rsidP="00C1394C">
            <w:pPr>
              <w:spacing w:after="0" w:line="240" w:lineRule="auto"/>
              <w:jc w:val="both"/>
              <w:rPr>
                <w:rFonts w:ascii="Times New Roman" w:hAnsi="Times New Roman" w:cs="Times New Roman"/>
                <w:sz w:val="24"/>
                <w:szCs w:val="24"/>
              </w:rPr>
            </w:pPr>
            <w:r>
              <w:rPr>
                <w:rFonts w:ascii="Times New Roman" w:eastAsia="Calibri" w:hAnsi="Times New Roman" w:cs="Times New Roman"/>
                <w:bCs/>
                <w:sz w:val="24"/>
                <w:szCs w:val="24"/>
              </w:rPr>
              <w:t>Siekiant kuo operatyviau priimti Žuvininkystės įstatymo pakeitimus, įgyvendinančius Reglamentą (ES) 2019/1241, šis pasiūlymas neįtraukiamas į įstatymo projektą.</w:t>
            </w:r>
          </w:p>
        </w:tc>
      </w:tr>
      <w:tr w:rsidR="00B02A75" w:rsidRPr="003A065B" w14:paraId="7CCC38EC" w14:textId="77777777" w:rsidTr="00DD3B3C">
        <w:tc>
          <w:tcPr>
            <w:tcW w:w="846" w:type="dxa"/>
            <w:tcBorders>
              <w:top w:val="nil"/>
            </w:tcBorders>
          </w:tcPr>
          <w:p w14:paraId="7D28E476" w14:textId="38FA58C5" w:rsidR="00B02A75" w:rsidRPr="001C6714" w:rsidRDefault="00F0024D" w:rsidP="00FF05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02A75" w:rsidRPr="001C6714">
              <w:rPr>
                <w:rFonts w:ascii="Times New Roman" w:hAnsi="Times New Roman" w:cs="Times New Roman"/>
                <w:sz w:val="24"/>
                <w:szCs w:val="24"/>
              </w:rPr>
              <w:t>.</w:t>
            </w:r>
          </w:p>
        </w:tc>
        <w:tc>
          <w:tcPr>
            <w:tcW w:w="3544" w:type="dxa"/>
            <w:vMerge/>
          </w:tcPr>
          <w:p w14:paraId="24D188C4" w14:textId="77777777" w:rsidR="00B02A75" w:rsidRPr="003A065B" w:rsidRDefault="00B02A75" w:rsidP="00FF05A8">
            <w:pPr>
              <w:spacing w:after="0" w:line="240" w:lineRule="auto"/>
              <w:jc w:val="both"/>
              <w:rPr>
                <w:rFonts w:ascii="Times New Roman" w:hAnsi="Times New Roman" w:cs="Times New Roman"/>
                <w:b/>
                <w:sz w:val="24"/>
                <w:szCs w:val="24"/>
              </w:rPr>
            </w:pPr>
          </w:p>
        </w:tc>
        <w:tc>
          <w:tcPr>
            <w:tcW w:w="4677" w:type="dxa"/>
          </w:tcPr>
          <w:p w14:paraId="4D710F91" w14:textId="61C35BD9" w:rsidR="00B02A75" w:rsidRPr="00AF7746" w:rsidRDefault="00F0024D" w:rsidP="00FF05A8">
            <w:pPr>
              <w:spacing w:after="0" w:line="240" w:lineRule="auto"/>
              <w:jc w:val="both"/>
              <w:rPr>
                <w:rFonts w:ascii="Times New Roman" w:hAnsi="Times New Roman" w:cs="Times New Roman"/>
                <w:sz w:val="24"/>
                <w:szCs w:val="24"/>
              </w:rPr>
            </w:pPr>
            <w:r w:rsidRPr="00F0024D">
              <w:rPr>
                <w:rFonts w:ascii="Times New Roman" w:hAnsi="Times New Roman" w:cs="Times New Roman"/>
                <w:sz w:val="24"/>
                <w:szCs w:val="24"/>
              </w:rPr>
              <w:t>Siūloma nustatyti, kad jeigu mokslinių tyrimų tikslais yra galimas žuvų išteklių pardavimas, šis pardavimas nėra skaičiuojamas bei vertinamas apskaičiuojant ūkio subjektui skirtiną perleidžiamąją žvejybos teisę.</w:t>
            </w:r>
          </w:p>
        </w:tc>
        <w:tc>
          <w:tcPr>
            <w:tcW w:w="4926" w:type="dxa"/>
          </w:tcPr>
          <w:p w14:paraId="69CADABE" w14:textId="77777777" w:rsidR="00F0024D" w:rsidRPr="00117387" w:rsidRDefault="00F0024D" w:rsidP="00F0024D">
            <w:pPr>
              <w:spacing w:after="0" w:line="240" w:lineRule="auto"/>
              <w:jc w:val="both"/>
              <w:rPr>
                <w:rStyle w:val="FontStyle16"/>
                <w:rFonts w:ascii="Times New Roman" w:eastAsiaTheme="minorEastAsia" w:hAnsi="Times New Roman" w:cs="Times New Roman"/>
                <w:b/>
                <w:bCs/>
                <w:sz w:val="24"/>
                <w:szCs w:val="24"/>
                <w:lang w:eastAsia="lt-LT"/>
              </w:rPr>
            </w:pPr>
            <w:r w:rsidRPr="00117387">
              <w:rPr>
                <w:rStyle w:val="FontStyle16"/>
                <w:rFonts w:ascii="Times New Roman" w:eastAsiaTheme="minorEastAsia" w:hAnsi="Times New Roman" w:cs="Times New Roman"/>
                <w:b/>
                <w:bCs/>
                <w:sz w:val="24"/>
                <w:szCs w:val="24"/>
                <w:lang w:eastAsia="lt-LT"/>
              </w:rPr>
              <w:t>Neatsižvelgta.</w:t>
            </w:r>
          </w:p>
          <w:p w14:paraId="1168CEA5" w14:textId="4F38B8D3" w:rsidR="00B02A75" w:rsidRPr="00BA621F" w:rsidRDefault="00F0024D" w:rsidP="00F0024D">
            <w:pPr>
              <w:spacing w:after="0" w:line="240" w:lineRule="auto"/>
              <w:jc w:val="both"/>
              <w:rPr>
                <w:rFonts w:ascii="Times New Roman" w:hAnsi="Times New Roman" w:cs="Times New Roman"/>
                <w:b/>
                <w:sz w:val="24"/>
                <w:szCs w:val="24"/>
              </w:rPr>
            </w:pPr>
            <w:r w:rsidRPr="00117387">
              <w:rPr>
                <w:rStyle w:val="FontStyle16"/>
                <w:rFonts w:ascii="Times New Roman" w:eastAsiaTheme="minorEastAsia" w:hAnsi="Times New Roman" w:cs="Times New Roman"/>
                <w:sz w:val="24"/>
                <w:szCs w:val="24"/>
                <w:lang w:eastAsia="lt-LT"/>
              </w:rPr>
              <w:t>Nepagrįsta</w:t>
            </w:r>
            <w:r>
              <w:rPr>
                <w:rStyle w:val="FontStyle16"/>
                <w:rFonts w:ascii="Times New Roman" w:eastAsiaTheme="minorEastAsia" w:hAnsi="Times New Roman" w:cs="Times New Roman"/>
                <w:sz w:val="24"/>
                <w:szCs w:val="24"/>
                <w:lang w:eastAsia="lt-LT"/>
              </w:rPr>
              <w:t xml:space="preserve"> </w:t>
            </w:r>
            <w:r w:rsidRPr="00F0024D">
              <w:rPr>
                <w:rStyle w:val="FontStyle16"/>
                <w:rFonts w:ascii="Times New Roman" w:eastAsiaTheme="minorEastAsia" w:hAnsi="Times New Roman" w:cs="Times New Roman"/>
                <w:sz w:val="24"/>
                <w:szCs w:val="24"/>
                <w:lang w:eastAsia="lt-LT"/>
              </w:rPr>
              <w:t>ir neproporcinga</w:t>
            </w:r>
            <w:r w:rsidRPr="00117387">
              <w:rPr>
                <w:rStyle w:val="FontStyle16"/>
                <w:rFonts w:ascii="Times New Roman" w:eastAsiaTheme="minorEastAsia" w:hAnsi="Times New Roman" w:cs="Times New Roman"/>
                <w:sz w:val="24"/>
                <w:szCs w:val="24"/>
                <w:lang w:eastAsia="lt-LT"/>
              </w:rPr>
              <w:t xml:space="preserve">, nes Reglamento (ES) Nr. 1224/2009 33 straipsnio 6 dalyje yra nustatyta, kad vykdant mokslinius tyrimus sugauti viršijantys 2 proc. valstybei skirtos kvotos arba parduodami žvejybos produktų kiekiai yra išskaičiuojami iš atitinkamos kvotos. </w:t>
            </w:r>
            <w:r>
              <w:rPr>
                <w:rStyle w:val="FontStyle16"/>
                <w:rFonts w:ascii="Times New Roman" w:eastAsiaTheme="minorEastAsia" w:hAnsi="Times New Roman" w:cs="Times New Roman"/>
                <w:sz w:val="24"/>
                <w:szCs w:val="24"/>
                <w:lang w:eastAsia="lt-LT"/>
              </w:rPr>
              <w:t>T</w:t>
            </w:r>
            <w:r w:rsidRPr="00117387">
              <w:rPr>
                <w:rStyle w:val="FontStyle16"/>
                <w:rFonts w:ascii="Times New Roman" w:eastAsiaTheme="minorEastAsia" w:hAnsi="Times New Roman" w:cs="Times New Roman"/>
                <w:sz w:val="24"/>
                <w:szCs w:val="24"/>
                <w:lang w:eastAsia="lt-LT"/>
              </w:rPr>
              <w:t xml:space="preserve">uo atveju, jei žvejybos produktų, sugautų </w:t>
            </w:r>
            <w:r w:rsidRPr="00117387">
              <w:rPr>
                <w:rStyle w:val="FontStyle16"/>
                <w:rFonts w:ascii="Times New Roman" w:eastAsiaTheme="minorEastAsia" w:hAnsi="Times New Roman" w:cs="Times New Roman"/>
                <w:sz w:val="24"/>
                <w:szCs w:val="24"/>
                <w:lang w:eastAsia="lt-LT"/>
              </w:rPr>
              <w:lastRenderedPageBreak/>
              <w:t>vykdant mokslinius tyrimus, kiekiai yra išskaičiuojami iš kvotos, jie turi būti vertinami skirstant perleidžiamąsias žvejybos teises, kurios apsprendžia suteikiamų žvejybos kvotų dydį.</w:t>
            </w:r>
          </w:p>
        </w:tc>
      </w:tr>
      <w:tr w:rsidR="00B02A75" w:rsidRPr="003A065B" w14:paraId="651CD250" w14:textId="77777777" w:rsidTr="00DD3B3C">
        <w:tc>
          <w:tcPr>
            <w:tcW w:w="846" w:type="dxa"/>
            <w:tcBorders>
              <w:top w:val="nil"/>
            </w:tcBorders>
          </w:tcPr>
          <w:p w14:paraId="41B0C3A6" w14:textId="496FCF3D" w:rsidR="00B02A75" w:rsidRPr="001C6714" w:rsidRDefault="00F0024D" w:rsidP="00FF05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B02A75" w:rsidRPr="001C6714">
              <w:rPr>
                <w:rFonts w:ascii="Times New Roman" w:hAnsi="Times New Roman" w:cs="Times New Roman"/>
                <w:sz w:val="24"/>
                <w:szCs w:val="24"/>
              </w:rPr>
              <w:t>.</w:t>
            </w:r>
          </w:p>
        </w:tc>
        <w:tc>
          <w:tcPr>
            <w:tcW w:w="3544" w:type="dxa"/>
            <w:vMerge/>
          </w:tcPr>
          <w:p w14:paraId="354E9258" w14:textId="77777777" w:rsidR="00B02A75" w:rsidRPr="003A065B" w:rsidRDefault="00B02A75" w:rsidP="00FF05A8">
            <w:pPr>
              <w:spacing w:after="0" w:line="240" w:lineRule="auto"/>
              <w:jc w:val="both"/>
              <w:rPr>
                <w:rFonts w:ascii="Times New Roman" w:hAnsi="Times New Roman" w:cs="Times New Roman"/>
                <w:b/>
                <w:sz w:val="24"/>
                <w:szCs w:val="24"/>
              </w:rPr>
            </w:pPr>
          </w:p>
        </w:tc>
        <w:tc>
          <w:tcPr>
            <w:tcW w:w="4677" w:type="dxa"/>
          </w:tcPr>
          <w:tbl>
            <w:tblPr>
              <w:tblW w:w="0" w:type="auto"/>
              <w:tblBorders>
                <w:top w:val="nil"/>
                <w:left w:val="nil"/>
                <w:bottom w:val="nil"/>
                <w:right w:val="nil"/>
              </w:tblBorders>
              <w:tblLook w:val="0000" w:firstRow="0" w:lastRow="0" w:firstColumn="0" w:lastColumn="0" w:noHBand="0" w:noVBand="0"/>
            </w:tblPr>
            <w:tblGrid>
              <w:gridCol w:w="4461"/>
            </w:tblGrid>
            <w:tr w:rsidR="00F0024D" w:rsidRPr="00F0024D" w14:paraId="032F7B1A" w14:textId="77777777">
              <w:trPr>
                <w:trHeight w:val="830"/>
              </w:trPr>
              <w:tc>
                <w:tcPr>
                  <w:tcW w:w="0" w:type="auto"/>
                </w:tcPr>
                <w:p w14:paraId="47221FEC" w14:textId="77777777" w:rsidR="00F0024D" w:rsidRPr="00F0024D" w:rsidRDefault="00F0024D" w:rsidP="00F0024D">
                  <w:pPr>
                    <w:autoSpaceDE w:val="0"/>
                    <w:autoSpaceDN w:val="0"/>
                    <w:adjustRightInd w:val="0"/>
                    <w:spacing w:after="0" w:line="240" w:lineRule="auto"/>
                    <w:rPr>
                      <w:rFonts w:ascii="Times New Roman" w:hAnsi="Times New Roman" w:cs="Times New Roman"/>
                      <w:color w:val="000000"/>
                      <w:sz w:val="24"/>
                      <w:szCs w:val="24"/>
                    </w:rPr>
                  </w:pPr>
                  <w:r w:rsidRPr="00F0024D">
                    <w:rPr>
                      <w:rFonts w:ascii="Times New Roman" w:hAnsi="Times New Roman" w:cs="Times New Roman"/>
                      <w:color w:val="000000"/>
                      <w:sz w:val="24"/>
                      <w:szCs w:val="24"/>
                    </w:rPr>
                    <w:t xml:space="preserve">Atsižvelgus į tai, jog Įstatymo projektu siekiama esmingai palengvinti verslinės žvejybos sąlygas, įskaitant apsikeitimų vykdymą, siekiama skatinti mokslinių tyrimų vykdymą bei žvejybos kontrolės stiprinimą, siūloma ankstinti Įstatymo projekto įsigaliojimą jį numatant nuo 2020 m. liepos 1 d. </w:t>
                  </w:r>
                </w:p>
              </w:tc>
            </w:tr>
          </w:tbl>
          <w:p w14:paraId="7C39AEC2" w14:textId="36245E26" w:rsidR="00B02A75" w:rsidRPr="00E4728A" w:rsidRDefault="00B02A75" w:rsidP="00FF05A8">
            <w:pPr>
              <w:spacing w:after="0" w:line="240" w:lineRule="auto"/>
              <w:jc w:val="both"/>
              <w:rPr>
                <w:rStyle w:val="Numatytasispastraiposriftas1"/>
                <w:rFonts w:ascii="Times New Roman" w:hAnsi="Times New Roman" w:cs="Times New Roman"/>
                <w:color w:val="000000"/>
                <w:sz w:val="24"/>
                <w:szCs w:val="24"/>
              </w:rPr>
            </w:pPr>
          </w:p>
        </w:tc>
        <w:tc>
          <w:tcPr>
            <w:tcW w:w="4926" w:type="dxa"/>
          </w:tcPr>
          <w:p w14:paraId="55AC2DB1" w14:textId="77777777" w:rsidR="00F0024D" w:rsidRDefault="00F0024D" w:rsidP="00F0024D">
            <w:pPr>
              <w:spacing w:after="0" w:line="240" w:lineRule="auto"/>
              <w:jc w:val="both"/>
              <w:rPr>
                <w:rStyle w:val="FontStyle16"/>
                <w:rFonts w:ascii="Times New Roman" w:eastAsiaTheme="minorEastAsia" w:hAnsi="Times New Roman" w:cs="Times New Roman"/>
                <w:b/>
                <w:bCs/>
                <w:sz w:val="24"/>
                <w:szCs w:val="24"/>
                <w:lang w:eastAsia="lt-LT"/>
              </w:rPr>
            </w:pPr>
            <w:r>
              <w:rPr>
                <w:rStyle w:val="FontStyle16"/>
                <w:rFonts w:ascii="Times New Roman" w:eastAsiaTheme="minorEastAsia" w:hAnsi="Times New Roman" w:cs="Times New Roman"/>
                <w:b/>
                <w:bCs/>
                <w:sz w:val="24"/>
                <w:szCs w:val="24"/>
                <w:lang w:eastAsia="lt-LT"/>
              </w:rPr>
              <w:t>Neatsižvelgta.</w:t>
            </w:r>
          </w:p>
          <w:p w14:paraId="5D035D3D" w14:textId="46249CEB" w:rsidR="00B02A75" w:rsidRPr="00AF7746" w:rsidRDefault="00F0024D" w:rsidP="00F0024D">
            <w:pPr>
              <w:spacing w:after="0" w:line="240" w:lineRule="auto"/>
              <w:jc w:val="both"/>
              <w:rPr>
                <w:rFonts w:ascii="Times New Roman" w:hAnsi="Times New Roman" w:cs="Times New Roman"/>
                <w:b/>
                <w:sz w:val="24"/>
                <w:szCs w:val="24"/>
                <w:highlight w:val="yellow"/>
              </w:rPr>
            </w:pPr>
            <w:r>
              <w:rPr>
                <w:rStyle w:val="FontStyle16"/>
                <w:rFonts w:ascii="Times New Roman" w:eastAsiaTheme="minorEastAsia" w:hAnsi="Times New Roman" w:cs="Times New Roman"/>
                <w:sz w:val="24"/>
                <w:szCs w:val="24"/>
                <w:lang w:eastAsia="lt-LT"/>
              </w:rPr>
              <w:t>Seimui įstatymo projektą planuojama pateikti šių metų balandžio mėnesį. Per vos kelis mėnesius Seimas nespės apsvarstyti ir priimti įstatymo projekto.</w:t>
            </w:r>
            <w:r w:rsidR="00B02A75">
              <w:rPr>
                <w:rFonts w:ascii="Times New Roman" w:hAnsi="Times New Roman" w:cs="Times New Roman"/>
                <w:sz w:val="24"/>
                <w:szCs w:val="24"/>
              </w:rPr>
              <w:t xml:space="preserve"> </w:t>
            </w:r>
          </w:p>
        </w:tc>
      </w:tr>
      <w:tr w:rsidR="001C6714" w:rsidRPr="003A065B" w14:paraId="073480CE" w14:textId="77777777" w:rsidTr="00FF05A8">
        <w:tc>
          <w:tcPr>
            <w:tcW w:w="846" w:type="dxa"/>
          </w:tcPr>
          <w:p w14:paraId="7FD71AB0" w14:textId="12BC9AC3" w:rsidR="001C6714" w:rsidRPr="00963DCF" w:rsidRDefault="00F0024D" w:rsidP="00FF05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1C6714">
              <w:rPr>
                <w:rFonts w:ascii="Times New Roman" w:hAnsi="Times New Roman" w:cs="Times New Roman"/>
                <w:sz w:val="24"/>
                <w:szCs w:val="24"/>
              </w:rPr>
              <w:t>.</w:t>
            </w:r>
          </w:p>
        </w:tc>
        <w:tc>
          <w:tcPr>
            <w:tcW w:w="3544" w:type="dxa"/>
            <w:vMerge w:val="restart"/>
          </w:tcPr>
          <w:p w14:paraId="62E99584" w14:textId="4836C940" w:rsidR="001C6714" w:rsidRDefault="00AA4280" w:rsidP="00FF05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Žvejybos tolimuosiuose žvejybos rajonuose asociacijos</w:t>
            </w:r>
          </w:p>
          <w:p w14:paraId="3619D094" w14:textId="298B8D83" w:rsidR="001C6714" w:rsidRDefault="001C6714" w:rsidP="00FF05A8">
            <w:pPr>
              <w:spacing w:after="0" w:line="240" w:lineRule="auto"/>
              <w:jc w:val="both"/>
              <w:rPr>
                <w:rFonts w:ascii="Times New Roman" w:hAnsi="Times New Roman" w:cs="Times New Roman"/>
                <w:sz w:val="24"/>
                <w:szCs w:val="24"/>
              </w:rPr>
            </w:pPr>
            <w:r w:rsidRPr="00963DCF">
              <w:rPr>
                <w:rFonts w:ascii="Times New Roman" w:hAnsi="Times New Roman" w:cs="Times New Roman"/>
                <w:sz w:val="24"/>
                <w:szCs w:val="24"/>
              </w:rPr>
              <w:t>20</w:t>
            </w:r>
            <w:r w:rsidR="00AA4280">
              <w:rPr>
                <w:rFonts w:ascii="Times New Roman" w:hAnsi="Times New Roman" w:cs="Times New Roman"/>
                <w:sz w:val="24"/>
                <w:szCs w:val="24"/>
              </w:rPr>
              <w:t>20</w:t>
            </w:r>
            <w:r w:rsidRPr="00963DCF">
              <w:rPr>
                <w:rFonts w:ascii="Times New Roman" w:hAnsi="Times New Roman" w:cs="Times New Roman"/>
                <w:sz w:val="24"/>
                <w:szCs w:val="24"/>
              </w:rPr>
              <w:t>-0</w:t>
            </w:r>
            <w:r w:rsidR="00AA4280">
              <w:rPr>
                <w:rFonts w:ascii="Times New Roman" w:hAnsi="Times New Roman" w:cs="Times New Roman"/>
                <w:sz w:val="24"/>
                <w:szCs w:val="24"/>
              </w:rPr>
              <w:t>1</w:t>
            </w:r>
            <w:r w:rsidRPr="00963DCF">
              <w:rPr>
                <w:rFonts w:ascii="Times New Roman" w:hAnsi="Times New Roman" w:cs="Times New Roman"/>
                <w:sz w:val="24"/>
                <w:szCs w:val="24"/>
              </w:rPr>
              <w:t>-1</w:t>
            </w:r>
            <w:r w:rsidR="00AA4280">
              <w:rPr>
                <w:rFonts w:ascii="Times New Roman" w:hAnsi="Times New Roman" w:cs="Times New Roman"/>
                <w:sz w:val="24"/>
                <w:szCs w:val="24"/>
              </w:rPr>
              <w:t>0</w:t>
            </w:r>
            <w:r>
              <w:rPr>
                <w:rFonts w:ascii="Times New Roman" w:hAnsi="Times New Roman" w:cs="Times New Roman"/>
                <w:sz w:val="24"/>
                <w:szCs w:val="24"/>
              </w:rPr>
              <w:t xml:space="preserve"> raštas </w:t>
            </w:r>
            <w:r w:rsidRPr="00963DCF">
              <w:rPr>
                <w:rFonts w:ascii="Times New Roman" w:hAnsi="Times New Roman" w:cs="Times New Roman"/>
                <w:sz w:val="24"/>
                <w:szCs w:val="24"/>
              </w:rPr>
              <w:t xml:space="preserve"> </w:t>
            </w:r>
          </w:p>
          <w:p w14:paraId="17639FA0" w14:textId="77777777" w:rsidR="001C6714" w:rsidRPr="003A065B" w:rsidRDefault="001C6714" w:rsidP="002D08A8">
            <w:pPr>
              <w:spacing w:after="0" w:line="240" w:lineRule="auto"/>
              <w:jc w:val="both"/>
              <w:rPr>
                <w:rFonts w:ascii="Times New Roman" w:hAnsi="Times New Roman" w:cs="Times New Roman"/>
                <w:sz w:val="24"/>
                <w:szCs w:val="24"/>
              </w:rPr>
            </w:pPr>
          </w:p>
        </w:tc>
        <w:tc>
          <w:tcPr>
            <w:tcW w:w="4677" w:type="dxa"/>
          </w:tcPr>
          <w:p w14:paraId="63EF7924" w14:textId="329C0756" w:rsidR="001C6714" w:rsidRPr="00963DCF" w:rsidRDefault="00AA4280" w:rsidP="00FF05A8">
            <w:pPr>
              <w:pStyle w:val="Style5"/>
              <w:widowControl/>
              <w:tabs>
                <w:tab w:val="left" w:pos="1426"/>
              </w:tabs>
              <w:spacing w:before="230" w:line="283" w:lineRule="exact"/>
              <w:ind w:right="29" w:firstLine="0"/>
              <w:rPr>
                <w:rStyle w:val="FontStyle16"/>
                <w:rFonts w:ascii="Times New Roman" w:hAnsi="Times New Roman" w:cs="Times New Roman"/>
                <w:sz w:val="24"/>
                <w:szCs w:val="24"/>
              </w:rPr>
            </w:pPr>
            <w:r>
              <w:rPr>
                <w:rStyle w:val="FontStyle16"/>
                <w:rFonts w:ascii="Times New Roman" w:hAnsi="Times New Roman" w:cs="Times New Roman"/>
                <w:sz w:val="24"/>
                <w:szCs w:val="24"/>
              </w:rPr>
              <w:t xml:space="preserve">Prašome įstatymo projekte numatyti, jog vykdant </w:t>
            </w:r>
            <w:r w:rsidR="00117387">
              <w:rPr>
                <w:rStyle w:val="FontStyle16"/>
                <w:rFonts w:ascii="Times New Roman" w:hAnsi="Times New Roman" w:cs="Times New Roman"/>
                <w:sz w:val="24"/>
                <w:szCs w:val="24"/>
              </w:rPr>
              <w:t>m</w:t>
            </w:r>
            <w:r w:rsidR="00117387" w:rsidRPr="00117387">
              <w:rPr>
                <w:rStyle w:val="FontStyle16"/>
                <w:rFonts w:ascii="Times New Roman" w:hAnsi="Times New Roman" w:cs="Times New Roman"/>
                <w:sz w:val="24"/>
                <w:szCs w:val="24"/>
              </w:rPr>
              <w:t xml:space="preserve">okslinę </w:t>
            </w:r>
            <w:r>
              <w:rPr>
                <w:rStyle w:val="FontStyle16"/>
                <w:rFonts w:ascii="Times New Roman" w:hAnsi="Times New Roman" w:cs="Times New Roman"/>
                <w:sz w:val="24"/>
                <w:szCs w:val="24"/>
              </w:rPr>
              <w:t>žvejybą neturint žvejybos pajėgumų (t. y. ne žvejybos laivu), šios žvejybos rezultatai nėra vertintini skirstant perleidžiamąsias žvejybos teises.</w:t>
            </w:r>
          </w:p>
          <w:p w14:paraId="750746DF" w14:textId="77777777" w:rsidR="001C6714" w:rsidRPr="00117387" w:rsidRDefault="001C6714" w:rsidP="00FF05A8">
            <w:pPr>
              <w:spacing w:after="0" w:line="240" w:lineRule="auto"/>
              <w:ind w:left="720"/>
              <w:contextualSpacing/>
              <w:jc w:val="both"/>
              <w:rPr>
                <w:rStyle w:val="FontStyle16"/>
                <w:rFonts w:ascii="Times New Roman" w:eastAsiaTheme="minorEastAsia" w:hAnsi="Times New Roman" w:cs="Times New Roman"/>
                <w:sz w:val="24"/>
                <w:szCs w:val="24"/>
                <w:lang w:eastAsia="lt-LT"/>
              </w:rPr>
            </w:pPr>
          </w:p>
        </w:tc>
        <w:tc>
          <w:tcPr>
            <w:tcW w:w="4926" w:type="dxa"/>
          </w:tcPr>
          <w:p w14:paraId="3336CF53" w14:textId="77777777" w:rsidR="001C6714" w:rsidRPr="00117387" w:rsidRDefault="001C6714" w:rsidP="00FF05A8">
            <w:pPr>
              <w:spacing w:after="0" w:line="240" w:lineRule="auto"/>
              <w:jc w:val="both"/>
              <w:rPr>
                <w:rStyle w:val="FontStyle16"/>
                <w:rFonts w:ascii="Times New Roman" w:eastAsiaTheme="minorEastAsia" w:hAnsi="Times New Roman" w:cs="Times New Roman"/>
                <w:b/>
                <w:bCs/>
                <w:sz w:val="24"/>
                <w:szCs w:val="24"/>
                <w:lang w:eastAsia="lt-LT"/>
              </w:rPr>
            </w:pPr>
            <w:r w:rsidRPr="00117387">
              <w:rPr>
                <w:rStyle w:val="FontStyle16"/>
                <w:rFonts w:ascii="Times New Roman" w:eastAsiaTheme="minorEastAsia" w:hAnsi="Times New Roman" w:cs="Times New Roman"/>
                <w:b/>
                <w:bCs/>
                <w:sz w:val="24"/>
                <w:szCs w:val="24"/>
                <w:lang w:eastAsia="lt-LT"/>
              </w:rPr>
              <w:t>Neatsižvelgta.</w:t>
            </w:r>
          </w:p>
          <w:p w14:paraId="50FFFA5C" w14:textId="7633AF67" w:rsidR="001C6714" w:rsidRPr="00117387" w:rsidRDefault="00AA4280" w:rsidP="00C1394C">
            <w:pPr>
              <w:spacing w:after="0" w:line="240" w:lineRule="auto"/>
              <w:jc w:val="both"/>
              <w:rPr>
                <w:rStyle w:val="FontStyle16"/>
                <w:rFonts w:ascii="Times New Roman" w:eastAsiaTheme="minorEastAsia" w:hAnsi="Times New Roman" w:cs="Times New Roman"/>
                <w:sz w:val="24"/>
                <w:szCs w:val="24"/>
                <w:lang w:eastAsia="lt-LT"/>
              </w:rPr>
            </w:pPr>
            <w:r w:rsidRPr="00117387">
              <w:rPr>
                <w:rStyle w:val="FontStyle16"/>
                <w:rFonts w:ascii="Times New Roman" w:eastAsiaTheme="minorEastAsia" w:hAnsi="Times New Roman" w:cs="Times New Roman"/>
                <w:sz w:val="24"/>
                <w:szCs w:val="24"/>
                <w:lang w:eastAsia="lt-LT"/>
              </w:rPr>
              <w:t>Ne</w:t>
            </w:r>
            <w:r w:rsidR="00117387" w:rsidRPr="00117387">
              <w:rPr>
                <w:rStyle w:val="FontStyle16"/>
                <w:rFonts w:ascii="Times New Roman" w:eastAsiaTheme="minorEastAsia" w:hAnsi="Times New Roman" w:cs="Times New Roman"/>
                <w:sz w:val="24"/>
                <w:szCs w:val="24"/>
                <w:lang w:eastAsia="lt-LT"/>
              </w:rPr>
              <w:t>pagrįsta</w:t>
            </w:r>
            <w:r w:rsidR="00F0024D">
              <w:rPr>
                <w:rStyle w:val="FontStyle16"/>
                <w:rFonts w:ascii="Times New Roman" w:eastAsiaTheme="minorEastAsia" w:hAnsi="Times New Roman" w:cs="Times New Roman"/>
                <w:sz w:val="24"/>
                <w:szCs w:val="24"/>
                <w:lang w:eastAsia="lt-LT"/>
              </w:rPr>
              <w:t xml:space="preserve"> ir neproporcinga</w:t>
            </w:r>
            <w:r w:rsidRPr="00117387">
              <w:rPr>
                <w:rStyle w:val="FontStyle16"/>
                <w:rFonts w:ascii="Times New Roman" w:eastAsiaTheme="minorEastAsia" w:hAnsi="Times New Roman" w:cs="Times New Roman"/>
                <w:sz w:val="24"/>
                <w:szCs w:val="24"/>
                <w:lang w:eastAsia="lt-LT"/>
              </w:rPr>
              <w:t xml:space="preserve">, nes Reglamento (ES) Nr. 1224/2009 33 straipsnio 6 dalyje yra nustatyta, kad vykdant mokslinius tyrimus sugauti viršijantys 2 proc. valstybei skirtos kvotos </w:t>
            </w:r>
            <w:r w:rsidR="008B650F" w:rsidRPr="00117387">
              <w:rPr>
                <w:rStyle w:val="FontStyle16"/>
                <w:rFonts w:ascii="Times New Roman" w:eastAsiaTheme="minorEastAsia" w:hAnsi="Times New Roman" w:cs="Times New Roman"/>
                <w:sz w:val="24"/>
                <w:szCs w:val="24"/>
                <w:lang w:eastAsia="lt-LT"/>
              </w:rPr>
              <w:t xml:space="preserve">arba parduodami </w:t>
            </w:r>
            <w:r w:rsidRPr="00117387">
              <w:rPr>
                <w:rStyle w:val="FontStyle16"/>
                <w:rFonts w:ascii="Times New Roman" w:eastAsiaTheme="minorEastAsia" w:hAnsi="Times New Roman" w:cs="Times New Roman"/>
                <w:sz w:val="24"/>
                <w:szCs w:val="24"/>
                <w:lang w:eastAsia="lt-LT"/>
              </w:rPr>
              <w:t xml:space="preserve">žvejybos produktų kiekiai yra išskaičiuojami iš atitinkamos kvotos. </w:t>
            </w:r>
            <w:r w:rsidR="008B650F" w:rsidRPr="00117387">
              <w:rPr>
                <w:rStyle w:val="FontStyle16"/>
                <w:rFonts w:ascii="Times New Roman" w:eastAsiaTheme="minorEastAsia" w:hAnsi="Times New Roman" w:cs="Times New Roman"/>
                <w:sz w:val="24"/>
                <w:szCs w:val="24"/>
                <w:lang w:eastAsia="lt-LT"/>
              </w:rPr>
              <w:t>Tuo atveju, jei žvejybos produktų, sugautų vykdant mokslinius tyrimus, kiekiai yra išskaičiuojami iš kvotos, jie turi būti vertinami skirstant perleidžiamąsias žvejybos teises, kurios apsprendžia suteikiamų žvejybos kvotų dydį.</w:t>
            </w:r>
          </w:p>
        </w:tc>
      </w:tr>
      <w:tr w:rsidR="0091344D" w:rsidRPr="003A065B" w14:paraId="29766094" w14:textId="77777777" w:rsidTr="00FF05A8">
        <w:tc>
          <w:tcPr>
            <w:tcW w:w="846" w:type="dxa"/>
          </w:tcPr>
          <w:p w14:paraId="581B9289" w14:textId="0CD1F336" w:rsidR="0091344D" w:rsidRDefault="00F0024D" w:rsidP="009134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544" w:type="dxa"/>
            <w:vMerge/>
          </w:tcPr>
          <w:p w14:paraId="34D169BD" w14:textId="77777777" w:rsidR="0091344D" w:rsidRDefault="0091344D" w:rsidP="0091344D">
            <w:pPr>
              <w:spacing w:after="0" w:line="240" w:lineRule="auto"/>
              <w:jc w:val="both"/>
              <w:rPr>
                <w:rFonts w:ascii="Times New Roman" w:hAnsi="Times New Roman" w:cs="Times New Roman"/>
                <w:sz w:val="24"/>
                <w:szCs w:val="24"/>
              </w:rPr>
            </w:pPr>
          </w:p>
        </w:tc>
        <w:tc>
          <w:tcPr>
            <w:tcW w:w="4677" w:type="dxa"/>
          </w:tcPr>
          <w:p w14:paraId="60D23493" w14:textId="344FC7E4" w:rsidR="0091344D" w:rsidRPr="00687C5E" w:rsidRDefault="0091344D" w:rsidP="0091344D">
            <w:pPr>
              <w:pStyle w:val="Style5"/>
              <w:widowControl/>
              <w:tabs>
                <w:tab w:val="left" w:pos="1426"/>
              </w:tabs>
              <w:spacing w:before="230" w:line="283" w:lineRule="exact"/>
              <w:ind w:right="29" w:firstLine="0"/>
              <w:rPr>
                <w:rStyle w:val="FontStyle16"/>
                <w:rFonts w:ascii="Times New Roman" w:hAnsi="Times New Roman" w:cs="Times New Roman"/>
                <w:sz w:val="24"/>
                <w:szCs w:val="24"/>
              </w:rPr>
            </w:pPr>
            <w:r w:rsidRPr="002A611B">
              <w:rPr>
                <w:rStyle w:val="FontStyle16"/>
                <w:rFonts w:ascii="Times New Roman" w:hAnsi="Times New Roman" w:cs="Times New Roman"/>
                <w:sz w:val="24"/>
                <w:szCs w:val="24"/>
              </w:rPr>
              <w:t>Mokslinę žvejybą, neturint žvejybos laivo, gali vykdyti tik Žuvininkystės tarnyba ar kita valstybės institucija.</w:t>
            </w:r>
          </w:p>
        </w:tc>
        <w:tc>
          <w:tcPr>
            <w:tcW w:w="4926" w:type="dxa"/>
          </w:tcPr>
          <w:p w14:paraId="73B434EA" w14:textId="77777777" w:rsidR="0091344D" w:rsidRPr="003A065B" w:rsidRDefault="0091344D" w:rsidP="009134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Neatsižvelgta.</w:t>
            </w:r>
          </w:p>
          <w:p w14:paraId="7B37DF17" w14:textId="37DD05B1" w:rsidR="0091344D" w:rsidRDefault="0091344D" w:rsidP="00C1394C">
            <w:pPr>
              <w:spacing w:after="0" w:line="240" w:lineRule="auto"/>
              <w:jc w:val="both"/>
              <w:rPr>
                <w:rStyle w:val="FontStyle16"/>
                <w:rFonts w:ascii="Times New Roman" w:eastAsiaTheme="minorEastAsia" w:hAnsi="Times New Roman" w:cs="Times New Roman"/>
                <w:b/>
                <w:bCs/>
                <w:sz w:val="24"/>
                <w:szCs w:val="24"/>
                <w:lang w:eastAsia="lt-LT"/>
              </w:rPr>
            </w:pPr>
            <w:r>
              <w:rPr>
                <w:rFonts w:ascii="Times New Roman" w:hAnsi="Times New Roman" w:cs="Times New Roman"/>
                <w:sz w:val="24"/>
                <w:szCs w:val="24"/>
              </w:rPr>
              <w:t>Neproporcinga, nepagrįstai būtų ribojama konkurencija ir teisė mokslinius tyrimus, įskaitant ir valstybės institucijų užsakomuosius, vykdyti nevalstybinėms mokslo įstaigoms, draugijoms, nevyriausybinėms organizacijoms ar kitiems kompetentingiems subjektams.</w:t>
            </w:r>
            <w:r w:rsidR="00AE4605">
              <w:rPr>
                <w:rFonts w:ascii="Times New Roman" w:hAnsi="Times New Roman" w:cs="Times New Roman"/>
                <w:sz w:val="24"/>
                <w:szCs w:val="24"/>
              </w:rPr>
              <w:t xml:space="preserve"> Specialiosios žvejybos leidimas išduodamas tik pagrindus specialiosios žvejybos poreikį ir tikslingumą.</w:t>
            </w:r>
          </w:p>
        </w:tc>
      </w:tr>
      <w:tr w:rsidR="0091344D" w:rsidRPr="003A065B" w14:paraId="74930A0E" w14:textId="77777777" w:rsidTr="00FF05A8">
        <w:tc>
          <w:tcPr>
            <w:tcW w:w="846" w:type="dxa"/>
          </w:tcPr>
          <w:p w14:paraId="5B85565B" w14:textId="687FF78C" w:rsidR="0091344D" w:rsidRDefault="00F0024D" w:rsidP="009134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3544" w:type="dxa"/>
            <w:vMerge/>
          </w:tcPr>
          <w:p w14:paraId="254ECF94" w14:textId="77777777" w:rsidR="0091344D" w:rsidRDefault="0091344D" w:rsidP="0091344D">
            <w:pPr>
              <w:spacing w:after="0" w:line="240" w:lineRule="auto"/>
              <w:jc w:val="both"/>
              <w:rPr>
                <w:rFonts w:ascii="Times New Roman" w:hAnsi="Times New Roman" w:cs="Times New Roman"/>
                <w:sz w:val="24"/>
                <w:szCs w:val="24"/>
              </w:rPr>
            </w:pPr>
          </w:p>
        </w:tc>
        <w:tc>
          <w:tcPr>
            <w:tcW w:w="4677" w:type="dxa"/>
          </w:tcPr>
          <w:p w14:paraId="5B7E3788" w14:textId="0D6E68AC" w:rsidR="0091344D" w:rsidRPr="00687C5E" w:rsidRDefault="0091344D" w:rsidP="0091344D">
            <w:pPr>
              <w:pStyle w:val="Style5"/>
              <w:widowControl/>
              <w:tabs>
                <w:tab w:val="left" w:pos="1426"/>
              </w:tabs>
              <w:spacing w:before="230" w:line="283" w:lineRule="exact"/>
              <w:ind w:right="29" w:firstLine="0"/>
              <w:rPr>
                <w:rStyle w:val="FontStyle16"/>
                <w:rFonts w:ascii="Times New Roman" w:hAnsi="Times New Roman" w:cs="Times New Roman"/>
                <w:sz w:val="24"/>
                <w:szCs w:val="24"/>
              </w:rPr>
            </w:pPr>
            <w:r w:rsidRPr="00687C5E">
              <w:rPr>
                <w:rStyle w:val="FontStyle16"/>
                <w:rFonts w:ascii="Times New Roman" w:hAnsi="Times New Roman" w:cs="Times New Roman"/>
                <w:sz w:val="24"/>
                <w:szCs w:val="24"/>
              </w:rPr>
              <w:t>Prašome patikslinti Žuvininkystės įstatymo 17</w:t>
            </w:r>
            <w:r w:rsidRPr="00687C5E">
              <w:rPr>
                <w:rStyle w:val="FontStyle16"/>
                <w:rFonts w:ascii="Times New Roman" w:hAnsi="Times New Roman" w:cs="Times New Roman"/>
                <w:sz w:val="24"/>
                <w:szCs w:val="24"/>
                <w:vertAlign w:val="superscript"/>
              </w:rPr>
              <w:t>6</w:t>
            </w:r>
            <w:r w:rsidRPr="00687C5E">
              <w:rPr>
                <w:rStyle w:val="FontStyle16"/>
                <w:rFonts w:ascii="Times New Roman" w:hAnsi="Times New Roman" w:cs="Times New Roman"/>
                <w:sz w:val="24"/>
                <w:szCs w:val="24"/>
              </w:rPr>
              <w:t xml:space="preserve"> straipsnio 2 dalį numatant, jog aukcionui skiriamas 1 proc. perleidžiamųjų žvejybos teisių. Šiuo siūlymu siekiama suvienodinti žvejybos Baltijos jūroje bei tolimuosiuose žvejybos rajonuose aukcione skirtinų teisių kiekį (Baltijos jūroje 1 proc. numatytas), taip pat skatinti efektyvų perleidžiamųjų žvejybos teisių išnaudojimą, skatinti efektyvią žvejybą.</w:t>
            </w:r>
          </w:p>
        </w:tc>
        <w:tc>
          <w:tcPr>
            <w:tcW w:w="4926" w:type="dxa"/>
          </w:tcPr>
          <w:p w14:paraId="64CC6ACE" w14:textId="77777777" w:rsidR="0091344D" w:rsidRDefault="0091344D" w:rsidP="0091344D">
            <w:pPr>
              <w:spacing w:after="0" w:line="240" w:lineRule="auto"/>
              <w:jc w:val="both"/>
              <w:rPr>
                <w:rStyle w:val="FontStyle16"/>
                <w:rFonts w:ascii="Times New Roman" w:eastAsiaTheme="minorEastAsia" w:hAnsi="Times New Roman" w:cs="Times New Roman"/>
                <w:b/>
                <w:bCs/>
                <w:sz w:val="24"/>
                <w:szCs w:val="24"/>
                <w:lang w:eastAsia="lt-LT"/>
              </w:rPr>
            </w:pPr>
            <w:r>
              <w:rPr>
                <w:rStyle w:val="FontStyle16"/>
                <w:rFonts w:ascii="Times New Roman" w:eastAsiaTheme="minorEastAsia" w:hAnsi="Times New Roman" w:cs="Times New Roman"/>
                <w:b/>
                <w:bCs/>
                <w:sz w:val="24"/>
                <w:szCs w:val="24"/>
                <w:lang w:eastAsia="lt-LT"/>
              </w:rPr>
              <w:t>Neatsižvelgta.</w:t>
            </w:r>
          </w:p>
          <w:p w14:paraId="14254349" w14:textId="535628F2" w:rsidR="0091344D" w:rsidRPr="00687C5E" w:rsidRDefault="0091344D" w:rsidP="0091344D">
            <w:pPr>
              <w:spacing w:after="0" w:line="240" w:lineRule="auto"/>
              <w:jc w:val="both"/>
              <w:rPr>
                <w:rStyle w:val="FontStyle16"/>
                <w:rFonts w:ascii="Times New Roman" w:eastAsiaTheme="minorEastAsia" w:hAnsi="Times New Roman" w:cs="Times New Roman"/>
                <w:sz w:val="24"/>
                <w:szCs w:val="24"/>
                <w:lang w:eastAsia="lt-LT"/>
              </w:rPr>
            </w:pPr>
            <w:r>
              <w:rPr>
                <w:rStyle w:val="FontStyle16"/>
                <w:rFonts w:ascii="Times New Roman" w:eastAsiaTheme="minorEastAsia" w:hAnsi="Times New Roman" w:cs="Times New Roman"/>
                <w:sz w:val="24"/>
                <w:szCs w:val="24"/>
                <w:lang w:eastAsia="lt-LT"/>
              </w:rPr>
              <w:t>Perleidžiamoji teisė į 5 proc. žvejybos galimybių tolimuosiuose žvejybos rajonuose paliekama nesuteikta pagal istorinius duomenis ūkio subjektams ir kasmet skirstomos žvejybos galimybės aukcione tam, kad į šį verslą galėtų ateiti nauji ūkio subjektai. Žvejybai Baltijos jūroje nereikia plaukti tokių didelių atstumų kaip tolimuosiuose žvejybos rajonuose, todėl sąnaudoms padengti užtenka mažesnių žvejybos galimybių. Tolimųjų žvejybos rajonų atveju 1 proc. žvejybos galimybių būtų nepakankamas naujiems ūkio subjektams verslui pradėti.</w:t>
            </w:r>
          </w:p>
        </w:tc>
      </w:tr>
      <w:tr w:rsidR="0091344D" w:rsidRPr="003A065B" w14:paraId="0F08ED90" w14:textId="77777777" w:rsidTr="00FF05A8">
        <w:tc>
          <w:tcPr>
            <w:tcW w:w="846" w:type="dxa"/>
          </w:tcPr>
          <w:p w14:paraId="6DAA6F79" w14:textId="50B11328" w:rsidR="0091344D" w:rsidRDefault="00F0024D" w:rsidP="009134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544" w:type="dxa"/>
            <w:vMerge/>
          </w:tcPr>
          <w:p w14:paraId="3E837190" w14:textId="77777777" w:rsidR="0091344D" w:rsidRDefault="0091344D" w:rsidP="0091344D">
            <w:pPr>
              <w:spacing w:after="0" w:line="240" w:lineRule="auto"/>
              <w:jc w:val="both"/>
              <w:rPr>
                <w:rFonts w:ascii="Times New Roman" w:hAnsi="Times New Roman" w:cs="Times New Roman"/>
                <w:sz w:val="24"/>
                <w:szCs w:val="24"/>
              </w:rPr>
            </w:pPr>
          </w:p>
        </w:tc>
        <w:tc>
          <w:tcPr>
            <w:tcW w:w="4677" w:type="dxa"/>
          </w:tcPr>
          <w:p w14:paraId="53A87DD9" w14:textId="0140CCFD" w:rsidR="0091344D" w:rsidRPr="0091344D" w:rsidRDefault="0091344D" w:rsidP="0091344D">
            <w:pPr>
              <w:pStyle w:val="Style5"/>
              <w:widowControl/>
              <w:tabs>
                <w:tab w:val="left" w:pos="1426"/>
              </w:tabs>
              <w:spacing w:before="230" w:line="283" w:lineRule="exact"/>
              <w:ind w:right="29" w:firstLine="0"/>
              <w:rPr>
                <w:rStyle w:val="FontStyle16"/>
                <w:rFonts w:ascii="Times New Roman" w:hAnsi="Times New Roman" w:cs="Times New Roman"/>
                <w:sz w:val="24"/>
                <w:szCs w:val="24"/>
              </w:rPr>
            </w:pPr>
            <w:r>
              <w:rPr>
                <w:rStyle w:val="FontStyle16"/>
                <w:rFonts w:ascii="Times New Roman" w:hAnsi="Times New Roman" w:cs="Times New Roman"/>
                <w:sz w:val="24"/>
                <w:szCs w:val="24"/>
              </w:rPr>
              <w:t>Prašome patikslinti Žuvininkystės įstatymo 17</w:t>
            </w:r>
            <w:r>
              <w:rPr>
                <w:rStyle w:val="FontStyle16"/>
                <w:rFonts w:ascii="Times New Roman" w:hAnsi="Times New Roman" w:cs="Times New Roman"/>
                <w:sz w:val="24"/>
                <w:szCs w:val="24"/>
                <w:vertAlign w:val="superscript"/>
              </w:rPr>
              <w:t>4</w:t>
            </w:r>
            <w:r>
              <w:rPr>
                <w:rStyle w:val="FontStyle16"/>
                <w:rFonts w:ascii="Times New Roman" w:hAnsi="Times New Roman" w:cs="Times New Roman"/>
                <w:sz w:val="24"/>
                <w:szCs w:val="24"/>
              </w:rPr>
              <w:t xml:space="preserve"> straipsnio</w:t>
            </w:r>
            <w:r w:rsidR="00BB5EEF">
              <w:rPr>
                <w:rStyle w:val="FontStyle16"/>
                <w:rFonts w:ascii="Times New Roman" w:hAnsi="Times New Roman" w:cs="Times New Roman"/>
                <w:sz w:val="24"/>
                <w:szCs w:val="24"/>
              </w:rPr>
              <w:t xml:space="preserve"> 10 dalį, numatant, kad pradinė aukciono kaina yra 0,1 procento nuo tam tikros rūšies žuvų žvejybos galimybių vertės. Esama aukciono kaina, t. y. 1 proc., yra nepagrįsta, per didelė, lemianti aukcionuose kvotų neįsigijimą bei Lietuvai skirtų kvotų neišnaudojimą. Atitinkamai, esama aukciono kaina, t. y. 1 proc., yra nepagrįsta atsižvelgus į žvejybos sąnaudas.</w:t>
            </w:r>
          </w:p>
        </w:tc>
        <w:tc>
          <w:tcPr>
            <w:tcW w:w="4926" w:type="dxa"/>
          </w:tcPr>
          <w:p w14:paraId="01F0D430" w14:textId="6F4F1982" w:rsidR="0091344D" w:rsidRPr="00EA399B" w:rsidRDefault="00EA399B" w:rsidP="0091344D">
            <w:pPr>
              <w:spacing w:after="0" w:line="240" w:lineRule="auto"/>
              <w:jc w:val="both"/>
              <w:rPr>
                <w:rStyle w:val="FontStyle16"/>
                <w:rFonts w:ascii="Times New Roman" w:eastAsiaTheme="minorEastAsia" w:hAnsi="Times New Roman" w:cs="Times New Roman"/>
                <w:b/>
                <w:bCs/>
                <w:sz w:val="24"/>
                <w:szCs w:val="24"/>
                <w:lang w:eastAsia="lt-LT"/>
              </w:rPr>
            </w:pPr>
            <w:r w:rsidRPr="00EA399B">
              <w:rPr>
                <w:rFonts w:ascii="Times New Roman" w:hAnsi="Times New Roman" w:cs="Times New Roman"/>
                <w:sz w:val="24"/>
                <w:szCs w:val="24"/>
              </w:rPr>
              <w:t>Siūlomi pakeitimai yra įtraukti į Lietuvos Respublikos Seimui jau pateiktą Lietuvos Respublikos žuvininkystės įstatymo Nr. VIII-1756 2, 3, 5, 6, 7, 10, 13, 14</w:t>
            </w:r>
            <w:r w:rsidRPr="00EA399B">
              <w:rPr>
                <w:rFonts w:ascii="Times New Roman" w:hAnsi="Times New Roman" w:cs="Times New Roman"/>
                <w:sz w:val="24"/>
                <w:szCs w:val="24"/>
                <w:vertAlign w:val="superscript"/>
              </w:rPr>
              <w:t>1</w:t>
            </w:r>
            <w:r w:rsidRPr="00EA399B">
              <w:rPr>
                <w:rFonts w:ascii="Times New Roman" w:hAnsi="Times New Roman" w:cs="Times New Roman"/>
                <w:sz w:val="24"/>
                <w:szCs w:val="24"/>
              </w:rPr>
              <w:t>, 14</w:t>
            </w:r>
            <w:r w:rsidRPr="00EA399B">
              <w:rPr>
                <w:rFonts w:ascii="Times New Roman" w:hAnsi="Times New Roman" w:cs="Times New Roman"/>
                <w:sz w:val="24"/>
                <w:szCs w:val="24"/>
                <w:vertAlign w:val="superscript"/>
              </w:rPr>
              <w:t>2</w:t>
            </w:r>
            <w:r w:rsidRPr="00EA399B">
              <w:rPr>
                <w:rFonts w:ascii="Times New Roman" w:hAnsi="Times New Roman" w:cs="Times New Roman"/>
                <w:sz w:val="24"/>
                <w:szCs w:val="24"/>
              </w:rPr>
              <w:t>, 15, 17, 17</w:t>
            </w:r>
            <w:r w:rsidRPr="00EA399B">
              <w:rPr>
                <w:rFonts w:ascii="Times New Roman" w:hAnsi="Times New Roman" w:cs="Times New Roman"/>
                <w:sz w:val="24"/>
                <w:szCs w:val="24"/>
                <w:vertAlign w:val="superscript"/>
              </w:rPr>
              <w:t>2</w:t>
            </w:r>
            <w:r w:rsidRPr="00EA399B">
              <w:rPr>
                <w:rFonts w:ascii="Times New Roman" w:hAnsi="Times New Roman" w:cs="Times New Roman"/>
                <w:sz w:val="24"/>
                <w:szCs w:val="24"/>
              </w:rPr>
              <w:t>, 17</w:t>
            </w:r>
            <w:r w:rsidRPr="00EA399B">
              <w:rPr>
                <w:rFonts w:ascii="Times New Roman" w:hAnsi="Times New Roman" w:cs="Times New Roman"/>
                <w:sz w:val="24"/>
                <w:szCs w:val="24"/>
                <w:vertAlign w:val="superscript"/>
              </w:rPr>
              <w:t>4</w:t>
            </w:r>
            <w:r w:rsidRPr="00EA399B">
              <w:rPr>
                <w:rFonts w:ascii="Times New Roman" w:hAnsi="Times New Roman" w:cs="Times New Roman"/>
                <w:sz w:val="24"/>
                <w:szCs w:val="24"/>
              </w:rPr>
              <w:t>, 17</w:t>
            </w:r>
            <w:r w:rsidRPr="00EA399B">
              <w:rPr>
                <w:rFonts w:ascii="Times New Roman" w:hAnsi="Times New Roman" w:cs="Times New Roman"/>
                <w:sz w:val="24"/>
                <w:szCs w:val="24"/>
                <w:vertAlign w:val="superscript"/>
              </w:rPr>
              <w:t>5</w:t>
            </w:r>
            <w:r w:rsidRPr="00EA399B">
              <w:rPr>
                <w:rFonts w:ascii="Times New Roman" w:hAnsi="Times New Roman" w:cs="Times New Roman"/>
                <w:sz w:val="24"/>
                <w:szCs w:val="24"/>
              </w:rPr>
              <w:t>, 17</w:t>
            </w:r>
            <w:r w:rsidRPr="00EA399B">
              <w:rPr>
                <w:rFonts w:ascii="Times New Roman" w:hAnsi="Times New Roman" w:cs="Times New Roman"/>
                <w:sz w:val="24"/>
                <w:szCs w:val="24"/>
                <w:vertAlign w:val="superscript"/>
              </w:rPr>
              <w:t>8</w:t>
            </w:r>
            <w:r w:rsidRPr="00EA399B">
              <w:rPr>
                <w:rFonts w:ascii="Times New Roman" w:hAnsi="Times New Roman" w:cs="Times New Roman"/>
                <w:sz w:val="24"/>
                <w:szCs w:val="24"/>
              </w:rPr>
              <w:t>, 17</w:t>
            </w:r>
            <w:r w:rsidRPr="00EA399B">
              <w:rPr>
                <w:rFonts w:ascii="Times New Roman" w:hAnsi="Times New Roman" w:cs="Times New Roman"/>
                <w:sz w:val="24"/>
                <w:szCs w:val="24"/>
                <w:vertAlign w:val="superscript"/>
              </w:rPr>
              <w:t>9</w:t>
            </w:r>
            <w:r w:rsidRPr="00EA399B">
              <w:rPr>
                <w:rFonts w:ascii="Times New Roman" w:hAnsi="Times New Roman" w:cs="Times New Roman"/>
                <w:sz w:val="24"/>
                <w:szCs w:val="24"/>
              </w:rPr>
              <w:t>, 18, 21, 23, 24, 37, 53 straipsnių, priedo pakeitimo ir įstatymo papildymo 24</w:t>
            </w:r>
            <w:r w:rsidRPr="00EA399B">
              <w:rPr>
                <w:rFonts w:ascii="Times New Roman" w:hAnsi="Times New Roman" w:cs="Times New Roman"/>
                <w:sz w:val="24"/>
                <w:szCs w:val="24"/>
                <w:vertAlign w:val="superscript"/>
              </w:rPr>
              <w:t>1</w:t>
            </w:r>
            <w:r w:rsidRPr="00EA399B">
              <w:rPr>
                <w:rFonts w:ascii="Times New Roman" w:hAnsi="Times New Roman" w:cs="Times New Roman"/>
                <w:sz w:val="24"/>
                <w:szCs w:val="24"/>
              </w:rPr>
              <w:t xml:space="preserve"> straipsniu įstatymo projektą Nr. XIIIP-3873.</w:t>
            </w:r>
          </w:p>
        </w:tc>
      </w:tr>
      <w:tr w:rsidR="0091344D" w:rsidRPr="003A065B" w14:paraId="4E58E3CD" w14:textId="77777777" w:rsidTr="00FF05A8">
        <w:tc>
          <w:tcPr>
            <w:tcW w:w="846" w:type="dxa"/>
          </w:tcPr>
          <w:p w14:paraId="09FBD017" w14:textId="0062ED91" w:rsidR="0091344D" w:rsidRDefault="00F0024D" w:rsidP="009134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544" w:type="dxa"/>
            <w:vMerge/>
          </w:tcPr>
          <w:p w14:paraId="1C6AB6F5" w14:textId="77777777" w:rsidR="0091344D" w:rsidRDefault="0091344D" w:rsidP="0091344D">
            <w:pPr>
              <w:spacing w:after="0" w:line="240" w:lineRule="auto"/>
              <w:jc w:val="both"/>
              <w:rPr>
                <w:rFonts w:ascii="Times New Roman" w:hAnsi="Times New Roman" w:cs="Times New Roman"/>
                <w:sz w:val="24"/>
                <w:szCs w:val="24"/>
              </w:rPr>
            </w:pPr>
          </w:p>
        </w:tc>
        <w:tc>
          <w:tcPr>
            <w:tcW w:w="4677" w:type="dxa"/>
          </w:tcPr>
          <w:p w14:paraId="44F99C1C" w14:textId="03C403B6" w:rsidR="0091344D" w:rsidRDefault="00EA399B" w:rsidP="0091344D">
            <w:pPr>
              <w:pStyle w:val="Style5"/>
              <w:widowControl/>
              <w:tabs>
                <w:tab w:val="left" w:pos="1426"/>
              </w:tabs>
              <w:spacing w:before="230" w:line="283" w:lineRule="exact"/>
              <w:ind w:right="29" w:firstLine="0"/>
              <w:rPr>
                <w:rStyle w:val="FontStyle16"/>
                <w:rFonts w:ascii="Times New Roman" w:hAnsi="Times New Roman" w:cs="Times New Roman"/>
                <w:sz w:val="24"/>
                <w:szCs w:val="24"/>
              </w:rPr>
            </w:pPr>
            <w:r>
              <w:rPr>
                <w:rStyle w:val="FontStyle16"/>
                <w:rFonts w:ascii="Times New Roman" w:hAnsi="Times New Roman" w:cs="Times New Roman"/>
                <w:sz w:val="24"/>
                <w:szCs w:val="24"/>
              </w:rPr>
              <w:t>Prašome paankstinti įstatymo projekto įsigaliojimą iki gegužės 1 d.</w:t>
            </w:r>
          </w:p>
        </w:tc>
        <w:tc>
          <w:tcPr>
            <w:tcW w:w="4926" w:type="dxa"/>
          </w:tcPr>
          <w:p w14:paraId="00704839" w14:textId="77777777" w:rsidR="0091344D" w:rsidRDefault="00EA399B" w:rsidP="0091344D">
            <w:pPr>
              <w:spacing w:after="0" w:line="240" w:lineRule="auto"/>
              <w:jc w:val="both"/>
              <w:rPr>
                <w:rStyle w:val="FontStyle16"/>
                <w:rFonts w:ascii="Times New Roman" w:eastAsiaTheme="minorEastAsia" w:hAnsi="Times New Roman" w:cs="Times New Roman"/>
                <w:b/>
                <w:bCs/>
                <w:sz w:val="24"/>
                <w:szCs w:val="24"/>
                <w:lang w:eastAsia="lt-LT"/>
              </w:rPr>
            </w:pPr>
            <w:r>
              <w:rPr>
                <w:rStyle w:val="FontStyle16"/>
                <w:rFonts w:ascii="Times New Roman" w:eastAsiaTheme="minorEastAsia" w:hAnsi="Times New Roman" w:cs="Times New Roman"/>
                <w:b/>
                <w:bCs/>
                <w:sz w:val="24"/>
                <w:szCs w:val="24"/>
                <w:lang w:eastAsia="lt-LT"/>
              </w:rPr>
              <w:t>Neatsižvelgta.</w:t>
            </w:r>
          </w:p>
          <w:p w14:paraId="36E6C679" w14:textId="17AF8119" w:rsidR="00EA399B" w:rsidRPr="00EA399B" w:rsidRDefault="00EA399B" w:rsidP="0091344D">
            <w:pPr>
              <w:spacing w:after="0" w:line="240" w:lineRule="auto"/>
              <w:jc w:val="both"/>
              <w:rPr>
                <w:rStyle w:val="FontStyle16"/>
                <w:rFonts w:ascii="Times New Roman" w:eastAsiaTheme="minorEastAsia" w:hAnsi="Times New Roman" w:cs="Times New Roman"/>
                <w:sz w:val="24"/>
                <w:szCs w:val="24"/>
                <w:lang w:eastAsia="lt-LT"/>
              </w:rPr>
            </w:pPr>
            <w:bookmarkStart w:id="0" w:name="_GoBack"/>
            <w:bookmarkEnd w:id="0"/>
          </w:p>
        </w:tc>
      </w:tr>
    </w:tbl>
    <w:p w14:paraId="08F699C3" w14:textId="3C70F623" w:rsidR="00F627F6" w:rsidRDefault="00F0024D" w:rsidP="00FF05A8">
      <w:pPr>
        <w:jc w:val="both"/>
      </w:pPr>
      <w:r w:rsidRPr="00F0024D">
        <w:rPr>
          <w:noProof/>
          <w:color w:val="0D0D0D" w:themeColor="text1" w:themeTint="F2"/>
        </w:rPr>
        <mc:AlternateContent>
          <mc:Choice Requires="wps">
            <w:drawing>
              <wp:anchor distT="0" distB="0" distL="114300" distR="114300" simplePos="0" relativeHeight="251659264" behindDoc="0" locked="0" layoutInCell="1" allowOverlap="1" wp14:anchorId="549F60F9" wp14:editId="1508105C">
                <wp:simplePos x="0" y="0"/>
                <wp:positionH relativeFrom="column">
                  <wp:posOffset>3489960</wp:posOffset>
                </wp:positionH>
                <wp:positionV relativeFrom="paragraph">
                  <wp:posOffset>173990</wp:posOffset>
                </wp:positionV>
                <wp:extent cx="2438400" cy="9525"/>
                <wp:effectExtent l="0" t="0" r="19050" b="28575"/>
                <wp:wrapNone/>
                <wp:docPr id="1" name="Tiesioji jungtis 1"/>
                <wp:cNvGraphicFramePr/>
                <a:graphic xmlns:a="http://schemas.openxmlformats.org/drawingml/2006/main">
                  <a:graphicData uri="http://schemas.microsoft.com/office/word/2010/wordprocessingShape">
                    <wps:wsp>
                      <wps:cNvCnPr/>
                      <wps:spPr>
                        <a:xfrm flipV="1">
                          <a:off x="0" y="0"/>
                          <a:ext cx="2438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E8C5A1"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74.8pt,13.7pt" to="466.8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" strokecolor="black [3213]" strokeweight=".5pt">
                <v:stroke joinstyle="miter"/>
              </v:line>
            </w:pict>
          </mc:Fallback>
        </mc:AlternateContent>
      </w:r>
    </w:p>
    <w:sectPr w:rsidR="00F627F6" w:rsidSect="00DE26BA">
      <w:headerReference w:type="default" r:id="rId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43AE1" w14:textId="77777777" w:rsidR="00BE11F0" w:rsidRDefault="00BE11F0" w:rsidP="00DE26BA">
      <w:pPr>
        <w:spacing w:after="0" w:line="240" w:lineRule="auto"/>
      </w:pPr>
      <w:r>
        <w:separator/>
      </w:r>
    </w:p>
  </w:endnote>
  <w:endnote w:type="continuationSeparator" w:id="0">
    <w:p w14:paraId="2AB00190" w14:textId="77777777" w:rsidR="00BE11F0" w:rsidRDefault="00BE11F0" w:rsidP="00DE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2E700" w14:textId="77777777" w:rsidR="00BE11F0" w:rsidRDefault="00BE11F0" w:rsidP="00DE26BA">
      <w:pPr>
        <w:spacing w:after="0" w:line="240" w:lineRule="auto"/>
      </w:pPr>
      <w:r>
        <w:separator/>
      </w:r>
    </w:p>
  </w:footnote>
  <w:footnote w:type="continuationSeparator" w:id="0">
    <w:p w14:paraId="06D14B58" w14:textId="77777777" w:rsidR="00BE11F0" w:rsidRDefault="00BE11F0" w:rsidP="00DE2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186892"/>
      <w:docPartObj>
        <w:docPartGallery w:val="Page Numbers (Top of Page)"/>
        <w:docPartUnique/>
      </w:docPartObj>
    </w:sdtPr>
    <w:sdtEndPr/>
    <w:sdtContent>
      <w:p w14:paraId="531A6231" w14:textId="77777777" w:rsidR="00DE26BA" w:rsidRDefault="00DE26BA">
        <w:pPr>
          <w:pStyle w:val="Antrats"/>
          <w:jc w:val="center"/>
        </w:pPr>
        <w:r>
          <w:fldChar w:fldCharType="begin"/>
        </w:r>
        <w:r>
          <w:instrText>PAGE   \* MERGEFORMAT</w:instrText>
        </w:r>
        <w:r>
          <w:fldChar w:fldCharType="separate"/>
        </w:r>
        <w:r w:rsidR="00FC0A8E">
          <w:rPr>
            <w:noProof/>
          </w:rPr>
          <w:t>12</w:t>
        </w:r>
        <w:r>
          <w:fldChar w:fldCharType="end"/>
        </w:r>
      </w:p>
    </w:sdtContent>
  </w:sdt>
  <w:p w14:paraId="3635E0B2" w14:textId="77777777" w:rsidR="00DE26BA" w:rsidRDefault="00DE26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7F56"/>
    <w:multiLevelType w:val="hybridMultilevel"/>
    <w:tmpl w:val="B1325BF6"/>
    <w:lvl w:ilvl="0" w:tplc="4C048FE2">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4F851AC"/>
    <w:multiLevelType w:val="hybridMultilevel"/>
    <w:tmpl w:val="02026BC0"/>
    <w:lvl w:ilvl="0" w:tplc="0E6493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0709F"/>
    <w:multiLevelType w:val="hybridMultilevel"/>
    <w:tmpl w:val="435A39E6"/>
    <w:lvl w:ilvl="0" w:tplc="FE28D1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00083"/>
    <w:multiLevelType w:val="hybridMultilevel"/>
    <w:tmpl w:val="9976CEA2"/>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63086561"/>
    <w:multiLevelType w:val="singleLevel"/>
    <w:tmpl w:val="E8AEEDBA"/>
    <w:lvl w:ilvl="0">
      <w:start w:val="1"/>
      <w:numFmt w:val="decimal"/>
      <w:lvlText w:val="9.%1."/>
      <w:legacy w:legacy="1" w:legacySpace="0" w:legacyIndent="1426"/>
      <w:lvlJc w:val="left"/>
      <w:rPr>
        <w:rFonts w:ascii="Arial" w:hAnsi="Arial" w:cs="Arial"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65B"/>
    <w:rsid w:val="0001380D"/>
    <w:rsid w:val="00033F3F"/>
    <w:rsid w:val="00063456"/>
    <w:rsid w:val="000760DC"/>
    <w:rsid w:val="000829D7"/>
    <w:rsid w:val="00087185"/>
    <w:rsid w:val="000A6896"/>
    <w:rsid w:val="000D2060"/>
    <w:rsid w:val="00111CD7"/>
    <w:rsid w:val="00117387"/>
    <w:rsid w:val="00130834"/>
    <w:rsid w:val="001724FB"/>
    <w:rsid w:val="001736B7"/>
    <w:rsid w:val="0018381A"/>
    <w:rsid w:val="001A5D4B"/>
    <w:rsid w:val="001C6714"/>
    <w:rsid w:val="001E1557"/>
    <w:rsid w:val="00207BC2"/>
    <w:rsid w:val="00210021"/>
    <w:rsid w:val="00224233"/>
    <w:rsid w:val="002435D8"/>
    <w:rsid w:val="0025662C"/>
    <w:rsid w:val="002756D8"/>
    <w:rsid w:val="002A611B"/>
    <w:rsid w:val="002D08A8"/>
    <w:rsid w:val="002E1963"/>
    <w:rsid w:val="002E5E7B"/>
    <w:rsid w:val="002F09AE"/>
    <w:rsid w:val="003023B9"/>
    <w:rsid w:val="00314CDB"/>
    <w:rsid w:val="00323768"/>
    <w:rsid w:val="003A065B"/>
    <w:rsid w:val="003A6908"/>
    <w:rsid w:val="003B6F7A"/>
    <w:rsid w:val="003E6932"/>
    <w:rsid w:val="003F3B72"/>
    <w:rsid w:val="0043643B"/>
    <w:rsid w:val="00457325"/>
    <w:rsid w:val="0046462D"/>
    <w:rsid w:val="0048543F"/>
    <w:rsid w:val="004B5451"/>
    <w:rsid w:val="004D3868"/>
    <w:rsid w:val="004F4CEB"/>
    <w:rsid w:val="004F7535"/>
    <w:rsid w:val="005038B5"/>
    <w:rsid w:val="00512E1D"/>
    <w:rsid w:val="00514478"/>
    <w:rsid w:val="005166F2"/>
    <w:rsid w:val="00522879"/>
    <w:rsid w:val="00567976"/>
    <w:rsid w:val="0058464C"/>
    <w:rsid w:val="00591A4F"/>
    <w:rsid w:val="005F1BC0"/>
    <w:rsid w:val="00640FB4"/>
    <w:rsid w:val="00661D91"/>
    <w:rsid w:val="00663D8A"/>
    <w:rsid w:val="006662E6"/>
    <w:rsid w:val="006721A2"/>
    <w:rsid w:val="006757E7"/>
    <w:rsid w:val="0068204A"/>
    <w:rsid w:val="00687C5E"/>
    <w:rsid w:val="006B0E09"/>
    <w:rsid w:val="006B4787"/>
    <w:rsid w:val="006F450B"/>
    <w:rsid w:val="006F4621"/>
    <w:rsid w:val="00747AAA"/>
    <w:rsid w:val="00767AC9"/>
    <w:rsid w:val="007717A9"/>
    <w:rsid w:val="007A0E55"/>
    <w:rsid w:val="007D0FF6"/>
    <w:rsid w:val="00817C19"/>
    <w:rsid w:val="0084223E"/>
    <w:rsid w:val="00866D1A"/>
    <w:rsid w:val="00870383"/>
    <w:rsid w:val="0089304F"/>
    <w:rsid w:val="008A684F"/>
    <w:rsid w:val="008B650F"/>
    <w:rsid w:val="008C3FF8"/>
    <w:rsid w:val="008E18A2"/>
    <w:rsid w:val="00900076"/>
    <w:rsid w:val="009020C7"/>
    <w:rsid w:val="00912499"/>
    <w:rsid w:val="0091344D"/>
    <w:rsid w:val="00920D75"/>
    <w:rsid w:val="00923F2A"/>
    <w:rsid w:val="00926810"/>
    <w:rsid w:val="00940B5F"/>
    <w:rsid w:val="00963DCF"/>
    <w:rsid w:val="00977D6D"/>
    <w:rsid w:val="0099102F"/>
    <w:rsid w:val="00997C28"/>
    <w:rsid w:val="009A768A"/>
    <w:rsid w:val="009D4642"/>
    <w:rsid w:val="009D5FE4"/>
    <w:rsid w:val="009E1868"/>
    <w:rsid w:val="009E4B4F"/>
    <w:rsid w:val="009F0E94"/>
    <w:rsid w:val="00A248DE"/>
    <w:rsid w:val="00A341BA"/>
    <w:rsid w:val="00A56535"/>
    <w:rsid w:val="00A96162"/>
    <w:rsid w:val="00AA011F"/>
    <w:rsid w:val="00AA4280"/>
    <w:rsid w:val="00AE4605"/>
    <w:rsid w:val="00AE475B"/>
    <w:rsid w:val="00AF3E75"/>
    <w:rsid w:val="00AF7746"/>
    <w:rsid w:val="00B02A75"/>
    <w:rsid w:val="00B07C21"/>
    <w:rsid w:val="00B27375"/>
    <w:rsid w:val="00B32E9D"/>
    <w:rsid w:val="00B40661"/>
    <w:rsid w:val="00B54E83"/>
    <w:rsid w:val="00B81B0E"/>
    <w:rsid w:val="00BA3C24"/>
    <w:rsid w:val="00BA621F"/>
    <w:rsid w:val="00BB4E81"/>
    <w:rsid w:val="00BB5EEF"/>
    <w:rsid w:val="00BC2BCB"/>
    <w:rsid w:val="00BE11F0"/>
    <w:rsid w:val="00BE3675"/>
    <w:rsid w:val="00C1134B"/>
    <w:rsid w:val="00C1394C"/>
    <w:rsid w:val="00C16564"/>
    <w:rsid w:val="00C61A3D"/>
    <w:rsid w:val="00CA54C0"/>
    <w:rsid w:val="00CB3A83"/>
    <w:rsid w:val="00CB4B4C"/>
    <w:rsid w:val="00CE6904"/>
    <w:rsid w:val="00D062A2"/>
    <w:rsid w:val="00D11495"/>
    <w:rsid w:val="00D129B8"/>
    <w:rsid w:val="00D363C6"/>
    <w:rsid w:val="00D50884"/>
    <w:rsid w:val="00D53B1C"/>
    <w:rsid w:val="00D57479"/>
    <w:rsid w:val="00D61CBA"/>
    <w:rsid w:val="00D921A7"/>
    <w:rsid w:val="00DC4817"/>
    <w:rsid w:val="00DC7617"/>
    <w:rsid w:val="00DE26BA"/>
    <w:rsid w:val="00DF075F"/>
    <w:rsid w:val="00E12D9E"/>
    <w:rsid w:val="00E1383F"/>
    <w:rsid w:val="00E24145"/>
    <w:rsid w:val="00E4728A"/>
    <w:rsid w:val="00E65C5D"/>
    <w:rsid w:val="00E74A36"/>
    <w:rsid w:val="00E96B67"/>
    <w:rsid w:val="00EA0C21"/>
    <w:rsid w:val="00EA399B"/>
    <w:rsid w:val="00EA46CE"/>
    <w:rsid w:val="00EC5E57"/>
    <w:rsid w:val="00EC6A9E"/>
    <w:rsid w:val="00EF2A53"/>
    <w:rsid w:val="00F0024D"/>
    <w:rsid w:val="00F00774"/>
    <w:rsid w:val="00F116A9"/>
    <w:rsid w:val="00F20E09"/>
    <w:rsid w:val="00F55B16"/>
    <w:rsid w:val="00F627F6"/>
    <w:rsid w:val="00FA60DB"/>
    <w:rsid w:val="00FC0A8E"/>
    <w:rsid w:val="00FD2F1C"/>
    <w:rsid w:val="00FD623F"/>
    <w:rsid w:val="00FF0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F246"/>
  <w15:chartTrackingRefBased/>
  <w15:docId w15:val="{DD7616AF-CBAE-412F-B993-35EA576B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3A065B"/>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A0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3A065B"/>
  </w:style>
  <w:style w:type="paragraph" w:styleId="Sraopastraipa">
    <w:name w:val="List Paragraph"/>
    <w:basedOn w:val="prastasis"/>
    <w:uiPriority w:val="34"/>
    <w:qFormat/>
    <w:rsid w:val="00CE6904"/>
    <w:pPr>
      <w:ind w:left="720"/>
      <w:contextualSpacing/>
    </w:pPr>
  </w:style>
  <w:style w:type="paragraph" w:customStyle="1" w:styleId="Sraopastraipa1">
    <w:name w:val="Sąrašo pastraipa1"/>
    <w:basedOn w:val="prastasis"/>
    <w:rsid w:val="009F0E94"/>
    <w:pPr>
      <w:suppressAutoHyphens/>
      <w:autoSpaceDN w:val="0"/>
      <w:ind w:left="720"/>
      <w:textAlignment w:val="baseline"/>
    </w:pPr>
    <w:rPr>
      <w:rFonts w:ascii="Calibri" w:eastAsia="SimSun" w:hAnsi="Calibri" w:cs="F"/>
      <w:kern w:val="3"/>
    </w:rPr>
  </w:style>
  <w:style w:type="character" w:styleId="Komentaronuoroda">
    <w:name w:val="annotation reference"/>
    <w:basedOn w:val="Numatytasispastraiposriftas"/>
    <w:uiPriority w:val="99"/>
    <w:semiHidden/>
    <w:unhideWhenUsed/>
    <w:rsid w:val="009F0E94"/>
    <w:rPr>
      <w:sz w:val="16"/>
      <w:szCs w:val="16"/>
    </w:rPr>
  </w:style>
  <w:style w:type="paragraph" w:customStyle="1" w:styleId="Default">
    <w:name w:val="Default"/>
    <w:rsid w:val="009F0E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5">
    <w:name w:val="Style5"/>
    <w:basedOn w:val="prastasis"/>
    <w:uiPriority w:val="99"/>
    <w:rsid w:val="00963DCF"/>
    <w:pPr>
      <w:widowControl w:val="0"/>
      <w:autoSpaceDE w:val="0"/>
      <w:autoSpaceDN w:val="0"/>
      <w:adjustRightInd w:val="0"/>
      <w:spacing w:after="0" w:line="291" w:lineRule="exact"/>
      <w:ind w:hanging="1421"/>
      <w:jc w:val="both"/>
    </w:pPr>
    <w:rPr>
      <w:rFonts w:ascii="Arial" w:eastAsiaTheme="minorEastAsia" w:hAnsi="Arial" w:cs="Arial"/>
      <w:sz w:val="24"/>
      <w:szCs w:val="24"/>
      <w:lang w:eastAsia="lt-LT"/>
    </w:rPr>
  </w:style>
  <w:style w:type="character" w:customStyle="1" w:styleId="FontStyle16">
    <w:name w:val="Font Style16"/>
    <w:basedOn w:val="Numatytasispastraiposriftas"/>
    <w:uiPriority w:val="99"/>
    <w:rsid w:val="00963DCF"/>
    <w:rPr>
      <w:rFonts w:ascii="Arial" w:hAnsi="Arial" w:cs="Arial"/>
      <w:sz w:val="22"/>
      <w:szCs w:val="22"/>
    </w:rPr>
  </w:style>
  <w:style w:type="character" w:customStyle="1" w:styleId="spellingerror">
    <w:name w:val="spellingerror"/>
    <w:basedOn w:val="Numatytasispastraiposriftas"/>
    <w:rsid w:val="00323768"/>
  </w:style>
  <w:style w:type="character" w:customStyle="1" w:styleId="normaltextrun1">
    <w:name w:val="normaltextrun1"/>
    <w:basedOn w:val="Numatytasispastraiposriftas"/>
    <w:rsid w:val="00323768"/>
  </w:style>
  <w:style w:type="character" w:customStyle="1" w:styleId="eop">
    <w:name w:val="eop"/>
    <w:basedOn w:val="Numatytasispastraiposriftas"/>
    <w:rsid w:val="00323768"/>
  </w:style>
  <w:style w:type="paragraph" w:customStyle="1" w:styleId="NoSpacing1">
    <w:name w:val="No Spacing1"/>
    <w:rsid w:val="00F00774"/>
    <w:pPr>
      <w:suppressAutoHyphens/>
      <w:spacing w:after="0" w:line="240" w:lineRule="auto"/>
    </w:pPr>
    <w:rPr>
      <w:rFonts w:ascii="Times New Roman" w:eastAsia="Calibri" w:hAnsi="Times New Roman" w:cs="Times New Roman"/>
      <w:sz w:val="24"/>
      <w:lang w:eastAsia="zh-CN"/>
    </w:rPr>
  </w:style>
  <w:style w:type="paragraph" w:styleId="Antrats">
    <w:name w:val="header"/>
    <w:basedOn w:val="prastasis"/>
    <w:link w:val="AntratsDiagrama"/>
    <w:uiPriority w:val="99"/>
    <w:unhideWhenUsed/>
    <w:rsid w:val="00DE26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26BA"/>
  </w:style>
  <w:style w:type="paragraph" w:styleId="Porat">
    <w:name w:val="footer"/>
    <w:basedOn w:val="prastasis"/>
    <w:link w:val="PoratDiagrama"/>
    <w:uiPriority w:val="99"/>
    <w:unhideWhenUsed/>
    <w:rsid w:val="00DE26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26BA"/>
  </w:style>
  <w:style w:type="paragraph" w:styleId="Debesliotekstas">
    <w:name w:val="Balloon Text"/>
    <w:basedOn w:val="prastasis"/>
    <w:link w:val="DebesliotekstasDiagrama"/>
    <w:uiPriority w:val="99"/>
    <w:semiHidden/>
    <w:unhideWhenUsed/>
    <w:rsid w:val="00B02A7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2A75"/>
    <w:rPr>
      <w:rFonts w:ascii="Segoe UI" w:hAnsi="Segoe UI" w:cs="Segoe UI"/>
      <w:sz w:val="18"/>
      <w:szCs w:val="18"/>
    </w:rPr>
  </w:style>
  <w:style w:type="paragraph" w:styleId="Komentarotekstas">
    <w:name w:val="annotation text"/>
    <w:basedOn w:val="prastasis"/>
    <w:link w:val="KomentarotekstasDiagrama"/>
    <w:uiPriority w:val="99"/>
    <w:semiHidden/>
    <w:unhideWhenUsed/>
    <w:rsid w:val="008703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70383"/>
    <w:rPr>
      <w:sz w:val="20"/>
      <w:szCs w:val="20"/>
    </w:rPr>
  </w:style>
  <w:style w:type="paragraph" w:styleId="Komentarotema">
    <w:name w:val="annotation subject"/>
    <w:basedOn w:val="Komentarotekstas"/>
    <w:next w:val="Komentarotekstas"/>
    <w:link w:val="KomentarotemaDiagrama"/>
    <w:uiPriority w:val="99"/>
    <w:semiHidden/>
    <w:unhideWhenUsed/>
    <w:rsid w:val="00870383"/>
    <w:rPr>
      <w:b/>
      <w:bCs/>
    </w:rPr>
  </w:style>
  <w:style w:type="character" w:customStyle="1" w:styleId="KomentarotemaDiagrama">
    <w:name w:val="Komentaro tema Diagrama"/>
    <w:basedOn w:val="KomentarotekstasDiagrama"/>
    <w:link w:val="Komentarotema"/>
    <w:uiPriority w:val="99"/>
    <w:semiHidden/>
    <w:rsid w:val="008703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03097">
      <w:bodyDiv w:val="1"/>
      <w:marLeft w:val="0"/>
      <w:marRight w:val="0"/>
      <w:marTop w:val="0"/>
      <w:marBottom w:val="0"/>
      <w:divBdr>
        <w:top w:val="none" w:sz="0" w:space="0" w:color="auto"/>
        <w:left w:val="none" w:sz="0" w:space="0" w:color="auto"/>
        <w:bottom w:val="none" w:sz="0" w:space="0" w:color="auto"/>
        <w:right w:val="none" w:sz="0" w:space="0" w:color="auto"/>
      </w:divBdr>
    </w:div>
    <w:div w:id="670378707">
      <w:bodyDiv w:val="1"/>
      <w:marLeft w:val="0"/>
      <w:marRight w:val="0"/>
      <w:marTop w:val="0"/>
      <w:marBottom w:val="0"/>
      <w:divBdr>
        <w:top w:val="none" w:sz="0" w:space="0" w:color="auto"/>
        <w:left w:val="none" w:sz="0" w:space="0" w:color="auto"/>
        <w:bottom w:val="none" w:sz="0" w:space="0" w:color="auto"/>
        <w:right w:val="none" w:sz="0" w:space="0" w:color="auto"/>
      </w:divBdr>
    </w:div>
    <w:div w:id="1279070676">
      <w:bodyDiv w:val="1"/>
      <w:marLeft w:val="0"/>
      <w:marRight w:val="0"/>
      <w:marTop w:val="0"/>
      <w:marBottom w:val="0"/>
      <w:divBdr>
        <w:top w:val="none" w:sz="0" w:space="0" w:color="auto"/>
        <w:left w:val="none" w:sz="0" w:space="0" w:color="auto"/>
        <w:bottom w:val="none" w:sz="0" w:space="0" w:color="auto"/>
        <w:right w:val="none" w:sz="0" w:space="0" w:color="auto"/>
      </w:divBdr>
    </w:div>
    <w:div w:id="148989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Pustonia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4</Pages>
  <Words>5522</Words>
  <Characters>3149</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Adrija Gasiliauskienė</dc:creator>
  <cp:keywords/>
  <dc:description/>
  <cp:lastModifiedBy>Ramunė Mickuvienė</cp:lastModifiedBy>
  <cp:revision>7</cp:revision>
  <cp:lastPrinted>2019-08-29T06:22:00Z</cp:lastPrinted>
  <dcterms:created xsi:type="dcterms:W3CDTF">2020-02-13T14:49:00Z</dcterms:created>
  <dcterms:modified xsi:type="dcterms:W3CDTF">2020-05-06T12:39:00Z</dcterms:modified>
</cp:coreProperties>
</file>