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5EBE3" w14:textId="77777777" w:rsidR="00CA1B68" w:rsidRPr="00C46B07" w:rsidRDefault="00CA1B68" w:rsidP="00782882">
      <w:pPr>
        <w:pStyle w:val="Antrat2"/>
        <w:jc w:val="center"/>
        <w:rPr>
          <w:b w:val="0"/>
          <w:sz w:val="24"/>
          <w:szCs w:val="24"/>
        </w:rPr>
      </w:pPr>
      <w:r w:rsidRPr="00C46B07">
        <w:rPr>
          <w:sz w:val="24"/>
          <w:szCs w:val="24"/>
        </w:rPr>
        <w:t>DERINIMO PAŽYMA</w:t>
      </w:r>
    </w:p>
    <w:p w14:paraId="6017173D" w14:textId="3FD461DA" w:rsidR="00CA1B68" w:rsidRPr="00C46B07" w:rsidRDefault="00CA1B68" w:rsidP="00782882">
      <w:pPr>
        <w:spacing w:after="0" w:line="240" w:lineRule="auto"/>
        <w:jc w:val="center"/>
        <w:rPr>
          <w:rFonts w:ascii="Times New Roman" w:hAnsi="Times New Roman" w:cs="Times New Roman"/>
          <w:b/>
          <w:sz w:val="24"/>
          <w:szCs w:val="24"/>
        </w:rPr>
      </w:pPr>
      <w:r w:rsidRPr="00C46B07">
        <w:rPr>
          <w:rFonts w:ascii="Times New Roman" w:hAnsi="Times New Roman" w:cs="Times New Roman"/>
          <w:b/>
          <w:bCs/>
          <w:sz w:val="24"/>
          <w:szCs w:val="24"/>
        </w:rPr>
        <w:t>DĖL</w:t>
      </w:r>
      <w:r w:rsidRPr="00C46B07">
        <w:rPr>
          <w:rFonts w:ascii="Times New Roman" w:hAnsi="Times New Roman" w:cs="Times New Roman"/>
          <w:b/>
          <w:bCs/>
          <w:i/>
          <w:sz w:val="24"/>
          <w:szCs w:val="24"/>
        </w:rPr>
        <w:t xml:space="preserve"> </w:t>
      </w:r>
      <w:r w:rsidRPr="00C46B07">
        <w:rPr>
          <w:rFonts w:ascii="Times New Roman" w:hAnsi="Times New Roman" w:cs="Times New Roman"/>
          <w:b/>
          <w:bCs/>
          <w:sz w:val="24"/>
          <w:szCs w:val="24"/>
        </w:rPr>
        <w:t>LIETUVOS RESPUBLIKOS VYRIAUSYBĖS NUTARIMO „DĖL</w:t>
      </w:r>
      <w:r w:rsidRPr="00C46B07">
        <w:rPr>
          <w:rFonts w:ascii="Times New Roman" w:hAnsi="Times New Roman" w:cs="Times New Roman"/>
          <w:b/>
          <w:sz w:val="24"/>
          <w:szCs w:val="24"/>
        </w:rPr>
        <w:t xml:space="preserve"> </w:t>
      </w:r>
      <w:r w:rsidRPr="00C46B07">
        <w:rPr>
          <w:rFonts w:ascii="Times New Roman" w:hAnsi="Times New Roman" w:cs="Times New Roman"/>
          <w:b/>
          <w:bCs/>
          <w:sz w:val="24"/>
          <w:szCs w:val="24"/>
        </w:rPr>
        <w:t>LIETUVOS RESPUBLIKOS VALSTYBĖS TARNYBOS ĮSTATYMO ĮGYVENDINIMO</w:t>
      </w:r>
      <w:r w:rsidR="007C4625">
        <w:rPr>
          <w:rFonts w:ascii="Times New Roman" w:hAnsi="Times New Roman" w:cs="Times New Roman"/>
          <w:b/>
          <w:bCs/>
          <w:sz w:val="24"/>
          <w:szCs w:val="24"/>
        </w:rPr>
        <w:t>“</w:t>
      </w:r>
      <w:bookmarkStart w:id="0" w:name="_GoBack"/>
      <w:bookmarkEnd w:id="0"/>
      <w:r w:rsidRPr="00C46B07">
        <w:rPr>
          <w:rFonts w:ascii="Times New Roman" w:hAnsi="Times New Roman" w:cs="Times New Roman"/>
          <w:b/>
          <w:sz w:val="24"/>
          <w:szCs w:val="24"/>
        </w:rPr>
        <w:t xml:space="preserve"> PROJEKTO</w:t>
      </w:r>
      <w:r w:rsidRPr="00C46B07">
        <w:rPr>
          <w:rFonts w:ascii="Times New Roman" w:hAnsi="Times New Roman" w:cs="Times New Roman"/>
          <w:b/>
          <w:bCs/>
          <w:sz w:val="24"/>
          <w:szCs w:val="24"/>
        </w:rPr>
        <w:t xml:space="preserve"> </w:t>
      </w:r>
      <w:r w:rsidRPr="00C46B07">
        <w:rPr>
          <w:rFonts w:ascii="Times New Roman" w:hAnsi="Times New Roman" w:cs="Times New Roman"/>
          <w:b/>
          <w:sz w:val="24"/>
          <w:szCs w:val="24"/>
        </w:rPr>
        <w:t>(TOLIAU – NUTARIMO PROJEKTAS)</w:t>
      </w:r>
    </w:p>
    <w:p w14:paraId="70E36CB4" w14:textId="77777777" w:rsidR="00CA1B68" w:rsidRPr="00C46B07" w:rsidRDefault="00CA1B68" w:rsidP="00782882">
      <w:pPr>
        <w:spacing w:after="0" w:line="240" w:lineRule="auto"/>
        <w:rPr>
          <w:rFonts w:ascii="Times New Roman" w:hAnsi="Times New Roman" w:cs="Times New Roman"/>
          <w:sz w:val="24"/>
          <w:szCs w:val="24"/>
        </w:rPr>
      </w:pPr>
    </w:p>
    <w:tbl>
      <w:tblPr>
        <w:tblStyle w:val="Lentelstinklelis"/>
        <w:tblW w:w="14879" w:type="dxa"/>
        <w:tblLook w:val="04A0" w:firstRow="1" w:lastRow="0" w:firstColumn="1" w:lastColumn="0" w:noHBand="0" w:noVBand="1"/>
      </w:tblPr>
      <w:tblGrid>
        <w:gridCol w:w="1085"/>
        <w:gridCol w:w="1524"/>
        <w:gridCol w:w="7025"/>
        <w:gridCol w:w="5245"/>
      </w:tblGrid>
      <w:tr w:rsidR="00C46B07" w:rsidRPr="00C46B07" w14:paraId="68FF6085" w14:textId="77777777" w:rsidTr="00455E9B">
        <w:tc>
          <w:tcPr>
            <w:tcW w:w="1085" w:type="dxa"/>
          </w:tcPr>
          <w:p w14:paraId="5FCE24A8" w14:textId="77777777" w:rsidR="00CA1B68" w:rsidRPr="00C46B07" w:rsidRDefault="00CA1B68" w:rsidP="00782882">
            <w:pPr>
              <w:rPr>
                <w:rFonts w:ascii="Times New Roman" w:hAnsi="Times New Roman" w:cs="Times New Roman"/>
                <w:sz w:val="24"/>
                <w:szCs w:val="24"/>
              </w:rPr>
            </w:pPr>
            <w:r w:rsidRPr="00C46B07">
              <w:rPr>
                <w:rFonts w:ascii="Times New Roman" w:hAnsi="Times New Roman" w:cs="Times New Roman"/>
                <w:sz w:val="24"/>
                <w:szCs w:val="24"/>
              </w:rPr>
              <w:t>Eil. Nr.</w:t>
            </w:r>
          </w:p>
        </w:tc>
        <w:tc>
          <w:tcPr>
            <w:tcW w:w="1524" w:type="dxa"/>
          </w:tcPr>
          <w:p w14:paraId="02613732" w14:textId="77777777" w:rsidR="00CA1B68" w:rsidRPr="00C46B07" w:rsidRDefault="00CA1B68" w:rsidP="00782882">
            <w:pPr>
              <w:jc w:val="center"/>
              <w:rPr>
                <w:rFonts w:ascii="Times New Roman" w:hAnsi="Times New Roman" w:cs="Times New Roman"/>
                <w:b/>
                <w:sz w:val="24"/>
                <w:szCs w:val="24"/>
              </w:rPr>
            </w:pPr>
            <w:r w:rsidRPr="00C46B07">
              <w:rPr>
                <w:rFonts w:ascii="Times New Roman" w:hAnsi="Times New Roman" w:cs="Times New Roman"/>
                <w:b/>
                <w:sz w:val="24"/>
                <w:szCs w:val="24"/>
              </w:rPr>
              <w:t>Institucijos pavadinimas (rašto data ir Nr.)</w:t>
            </w:r>
          </w:p>
        </w:tc>
        <w:tc>
          <w:tcPr>
            <w:tcW w:w="7025" w:type="dxa"/>
          </w:tcPr>
          <w:p w14:paraId="668F3DCC" w14:textId="77777777" w:rsidR="00CA1B68" w:rsidRPr="00C46B07" w:rsidRDefault="00CA1B68" w:rsidP="00782882">
            <w:pPr>
              <w:pStyle w:val="Antrat1"/>
              <w:jc w:val="center"/>
              <w:outlineLvl w:val="0"/>
              <w:rPr>
                <w:b/>
                <w:szCs w:val="24"/>
              </w:rPr>
            </w:pPr>
          </w:p>
          <w:p w14:paraId="2042A3A4" w14:textId="77777777" w:rsidR="00CA1B68" w:rsidRPr="00C46B07" w:rsidRDefault="00CA1B68" w:rsidP="00782882">
            <w:pPr>
              <w:pStyle w:val="Antrat1"/>
              <w:jc w:val="center"/>
              <w:outlineLvl w:val="0"/>
              <w:rPr>
                <w:b/>
                <w:szCs w:val="24"/>
              </w:rPr>
            </w:pPr>
            <w:r w:rsidRPr="00C46B07">
              <w:rPr>
                <w:b/>
                <w:szCs w:val="24"/>
              </w:rPr>
              <w:t>Pastabos ir pasiūlymai</w:t>
            </w:r>
          </w:p>
        </w:tc>
        <w:tc>
          <w:tcPr>
            <w:tcW w:w="5245" w:type="dxa"/>
          </w:tcPr>
          <w:p w14:paraId="378C7D9B" w14:textId="77777777" w:rsidR="00CA1B68" w:rsidRPr="00C46B07" w:rsidRDefault="00CA1B68" w:rsidP="00782882">
            <w:pPr>
              <w:ind w:firstLine="33"/>
              <w:jc w:val="center"/>
              <w:rPr>
                <w:rFonts w:ascii="Times New Roman" w:hAnsi="Times New Roman" w:cs="Times New Roman"/>
                <w:b/>
                <w:sz w:val="24"/>
                <w:szCs w:val="24"/>
              </w:rPr>
            </w:pPr>
          </w:p>
          <w:p w14:paraId="23BB7189" w14:textId="77777777" w:rsidR="00CA1B68" w:rsidRPr="00C46B07" w:rsidRDefault="00CA1B68" w:rsidP="00782882">
            <w:pPr>
              <w:ind w:firstLine="33"/>
              <w:jc w:val="center"/>
              <w:rPr>
                <w:rFonts w:ascii="Times New Roman" w:hAnsi="Times New Roman" w:cs="Times New Roman"/>
                <w:b/>
                <w:sz w:val="24"/>
                <w:szCs w:val="24"/>
              </w:rPr>
            </w:pPr>
            <w:r w:rsidRPr="00C46B07">
              <w:rPr>
                <w:rFonts w:ascii="Times New Roman" w:hAnsi="Times New Roman" w:cs="Times New Roman"/>
                <w:b/>
                <w:sz w:val="24"/>
                <w:szCs w:val="24"/>
              </w:rPr>
              <w:t>Argumentai dėl pastabų, į kurias neatsižvelgta arba atsižvelgta iš dalies</w:t>
            </w:r>
          </w:p>
        </w:tc>
      </w:tr>
      <w:tr w:rsidR="00006685" w:rsidRPr="00C46B07" w14:paraId="7DF7C232" w14:textId="77777777" w:rsidTr="00455E9B">
        <w:tc>
          <w:tcPr>
            <w:tcW w:w="1085" w:type="dxa"/>
          </w:tcPr>
          <w:p w14:paraId="13994411" w14:textId="7777777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val="restart"/>
          </w:tcPr>
          <w:p w14:paraId="79D5063B" w14:textId="11EC5948"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Teisingumo ministerijos 2018-10-09 raštas Nr. (1.6E)2T-739</w:t>
            </w:r>
          </w:p>
        </w:tc>
        <w:tc>
          <w:tcPr>
            <w:tcW w:w="7025" w:type="dxa"/>
          </w:tcPr>
          <w:p w14:paraId="7C5CFF43" w14:textId="77777777" w:rsidR="00006685" w:rsidRPr="00C46B07" w:rsidRDefault="00006685" w:rsidP="00782882">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3.Tuo pačiu siūlome įvertinti, kad, siekiant iki 2019 m. sausio 1 d. įvertinti ir aprašyti pareigybes, ši Metodika (ir jos nustatytas mechanizmas ir procedūros) turės būti pradėta taikyti kuo anksčiau. Atsižvelgiant į tai, nutarimo projekto įsigaliojimą ir taikymą apibrėžiančios nuostatos turėtų išspręsti nutarimo projekto galiojimo ir taikymo klausimą pereinamuoju laikotarpiu (iki 2019 m. sausio 1 d.).</w:t>
            </w:r>
          </w:p>
        </w:tc>
        <w:tc>
          <w:tcPr>
            <w:tcW w:w="5245" w:type="dxa"/>
          </w:tcPr>
          <w:p w14:paraId="16B9BB08"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t>Neatsižvelgta</w:t>
            </w:r>
            <w:r w:rsidRPr="00C46B07">
              <w:rPr>
                <w:rFonts w:ascii="Times New Roman" w:hAnsi="Times New Roman" w:cs="Times New Roman"/>
                <w:sz w:val="24"/>
                <w:szCs w:val="24"/>
              </w:rPr>
              <w:t>.</w:t>
            </w:r>
          </w:p>
          <w:p w14:paraId="6E48E7F6" w14:textId="77777777" w:rsidR="00006685" w:rsidRPr="00C46B07" w:rsidRDefault="00006685" w:rsidP="00545BFF">
            <w:pPr>
              <w:rPr>
                <w:rFonts w:ascii="Times New Roman" w:hAnsi="Times New Roman" w:cs="Times New Roman"/>
                <w:sz w:val="24"/>
                <w:szCs w:val="24"/>
              </w:rPr>
            </w:pPr>
            <w:r w:rsidRPr="00C46B07">
              <w:rPr>
                <w:rFonts w:ascii="Times New Roman" w:hAnsi="Times New Roman" w:cs="Times New Roman"/>
                <w:sz w:val="24"/>
                <w:szCs w:val="24"/>
              </w:rPr>
              <w:t>Įpareigojimas įstaigoms aprašyti ir patvirtinti pareigybių aprašymus nustatyta iki 2019 m. gegužės 1 d.</w:t>
            </w:r>
          </w:p>
        </w:tc>
      </w:tr>
      <w:tr w:rsidR="00006685" w:rsidRPr="00C46B07" w14:paraId="70C68812" w14:textId="77777777" w:rsidTr="00455E9B">
        <w:tc>
          <w:tcPr>
            <w:tcW w:w="1085" w:type="dxa"/>
          </w:tcPr>
          <w:p w14:paraId="24E205DB" w14:textId="7777777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Pr>
          <w:p w14:paraId="0E07689F" w14:textId="77777777" w:rsidR="00006685" w:rsidRPr="00C46B07" w:rsidRDefault="00006685" w:rsidP="00782882">
            <w:pPr>
              <w:rPr>
                <w:rFonts w:ascii="Times New Roman" w:hAnsi="Times New Roman" w:cs="Times New Roman"/>
                <w:sz w:val="24"/>
                <w:szCs w:val="24"/>
              </w:rPr>
            </w:pPr>
          </w:p>
        </w:tc>
        <w:tc>
          <w:tcPr>
            <w:tcW w:w="7025" w:type="dxa"/>
          </w:tcPr>
          <w:p w14:paraId="4D4548DE"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4. Teisės, kaip atskiros veiklos srities išskyrimas Metodikos 2.2 p. būtų netikslus ir neatitinkantis siekiamo reguliavimo (įvertinant ir Metodikos 48 p. ir projekto TAIS Nr. 18-11479 nuostatas). Pastebėtina, kad teisė kaip sritis apima tiek teisėkūrą (teisės aktų projektų rengimas ir vertinimas), tiek teisės aiškinimą (konsultavimas), tiek teisės taikymą (iš esmės visa likusi viešojo administravimo veikla). Įvertinant valstybės tarnybos ir valstybės tarnautojo sąvokas, kiekvienas valstybės tarnautojas veikia teisės srityje kurdamas, aiškindamas ir (ar) taikydamas teisę. Atsižvelgiant į tai, kaip bendra veiklos sritis turėtų būti išskiriama tik dalis teisinės veiklos, betarpiškai susijusios su įstaigos veiklos vidaus administravimu (sutarčių rengimas ir teisinis atstovavimas), o ne teisė kaip sritis. Pvz., Mokesčių administravimo įstatymo pagrindu mokesčių administratoriaus vykdomas ūkio subjektų (teisinis) konsultavimas, manytina, laikytinas specialiąja, o ne bendrąja, veiklos sritimi, nors tai ir yra veikla teisės srityje. Tai aktualu ir Metodikos 2.2 p. nurodomų politikos formavimo, sprendimų priėmimo įgyvendinimo, priežiūros ir kontrolės, administracinių paslaugų teikimo ir (ar) viešųjų paslaugų teikimo administravimo atvejais. Netgi stebėsenos ir analizės atveju, ta apimtimi, kiek šie procesai yra reglamentuoti, eitų kalba apie teisės aktų taikymą – veiklą teisės srityje).</w:t>
            </w:r>
          </w:p>
          <w:p w14:paraId="760953D2"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lastRenderedPageBreak/>
              <w:t>Analogiškai ir kompetencijos, apibrėžiamos Metodikos 36.1 p. Kiekvienas valstybės tarnautojas, savo specialiosios veiklos srityje privalo žinoti tą sritį reguliuojančius teisės aktus ir  mokėti juos taikyti – t. y. turėti teisės srities kompetencijas (nepainioti su kvalifikacija).</w:t>
            </w:r>
          </w:p>
        </w:tc>
        <w:tc>
          <w:tcPr>
            <w:tcW w:w="5245" w:type="dxa"/>
          </w:tcPr>
          <w:p w14:paraId="5EE1A40F"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lastRenderedPageBreak/>
              <w:t>Atsižvelgta iš dalies</w:t>
            </w:r>
            <w:r w:rsidRPr="00C46B07">
              <w:rPr>
                <w:rFonts w:ascii="Times New Roman" w:hAnsi="Times New Roman" w:cs="Times New Roman"/>
                <w:sz w:val="24"/>
                <w:szCs w:val="24"/>
              </w:rPr>
              <w:t>.</w:t>
            </w:r>
          </w:p>
          <w:p w14:paraId="1B38E56F" w14:textId="2B2D9383" w:rsidR="00006685" w:rsidRPr="00C46B07" w:rsidRDefault="00006685" w:rsidP="00C46B07">
            <w:pPr>
              <w:rPr>
                <w:rFonts w:ascii="Times New Roman" w:hAnsi="Times New Roman" w:cs="Times New Roman"/>
                <w:sz w:val="24"/>
                <w:szCs w:val="24"/>
              </w:rPr>
            </w:pPr>
            <w:r w:rsidRPr="00C46B07">
              <w:rPr>
                <w:rFonts w:ascii="Times New Roman" w:hAnsi="Times New Roman" w:cs="Times New Roman"/>
                <w:sz w:val="24"/>
                <w:szCs w:val="24"/>
              </w:rPr>
              <w:t>Metodika patikslinta nuostatomis, patikslinančiomis, kad bendroji veiklos sritis yra suprantama kaip įstaigos vidaus administravimo sritis.</w:t>
            </w:r>
          </w:p>
        </w:tc>
      </w:tr>
      <w:tr w:rsidR="00006685" w:rsidRPr="00C46B07" w14:paraId="0E920E68" w14:textId="77777777" w:rsidTr="00006685">
        <w:tc>
          <w:tcPr>
            <w:tcW w:w="1085" w:type="dxa"/>
          </w:tcPr>
          <w:p w14:paraId="0B5F15F3" w14:textId="5F98E059"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val="restart"/>
            <w:tcBorders>
              <w:top w:val="nil"/>
            </w:tcBorders>
          </w:tcPr>
          <w:p w14:paraId="59D9C50C" w14:textId="77777777" w:rsidR="00006685" w:rsidRPr="00C46B07" w:rsidRDefault="00006685" w:rsidP="00782882">
            <w:pPr>
              <w:rPr>
                <w:rFonts w:ascii="Times New Roman" w:hAnsi="Times New Roman" w:cs="Times New Roman"/>
                <w:sz w:val="24"/>
                <w:szCs w:val="24"/>
              </w:rPr>
            </w:pPr>
          </w:p>
        </w:tc>
        <w:tc>
          <w:tcPr>
            <w:tcW w:w="7025" w:type="dxa"/>
          </w:tcPr>
          <w:p w14:paraId="126938ED" w14:textId="77777777" w:rsidR="00006685" w:rsidRPr="00C46B07" w:rsidRDefault="00006685" w:rsidP="00782882">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5. Lieka neapibrėžta ir neaiški Metodikos 2.2 p. paskutinio sakinio paskirtis ir tikslas.</w:t>
            </w:r>
          </w:p>
        </w:tc>
        <w:tc>
          <w:tcPr>
            <w:tcW w:w="5245" w:type="dxa"/>
          </w:tcPr>
          <w:p w14:paraId="24EE20D6" w14:textId="2326E11A" w:rsidR="00006685" w:rsidRPr="00C46B07" w:rsidRDefault="00006685" w:rsidP="00782882">
            <w:pPr>
              <w:rPr>
                <w:rFonts w:ascii="Times New Roman" w:hAnsi="Times New Roman" w:cs="Times New Roman"/>
                <w:b/>
                <w:sz w:val="24"/>
                <w:szCs w:val="24"/>
              </w:rPr>
            </w:pPr>
            <w:r w:rsidRPr="00C46B07">
              <w:rPr>
                <w:rFonts w:ascii="Times New Roman" w:hAnsi="Times New Roman" w:cs="Times New Roman"/>
                <w:b/>
                <w:sz w:val="24"/>
                <w:szCs w:val="24"/>
              </w:rPr>
              <w:t xml:space="preserve">Neatsižvelgta. </w:t>
            </w:r>
          </w:p>
          <w:p w14:paraId="69B98E39" w14:textId="7FDBC8CF" w:rsidR="00006685" w:rsidRPr="00C46B07" w:rsidRDefault="00006685" w:rsidP="00C46B07">
            <w:pPr>
              <w:rPr>
                <w:rFonts w:ascii="Times New Roman" w:hAnsi="Times New Roman" w:cs="Times New Roman"/>
                <w:sz w:val="24"/>
                <w:szCs w:val="24"/>
              </w:rPr>
            </w:pPr>
            <w:r w:rsidRPr="00C46B07">
              <w:rPr>
                <w:rFonts w:ascii="Times New Roman" w:hAnsi="Times New Roman" w:cs="Times New Roman"/>
                <w:sz w:val="24"/>
                <w:szCs w:val="24"/>
              </w:rPr>
              <w:t>Teismų, prokuratūros ir kitų specifinių veiklos sričių įstaigos nepatenka į Metodikos 12.2 papunktyje (buvęs 2.2 papunktis) nustatytas veiklos sritis (politikos formavimas ir kt.), todėl Metodikoje nustatyta, kad šių įstaigų veiklos sritys priskiriamos kitoms šiame papunktyje nenurodytoms specialiosioms veiklos sritims.</w:t>
            </w:r>
          </w:p>
        </w:tc>
      </w:tr>
      <w:tr w:rsidR="00006685" w:rsidRPr="00C46B07" w14:paraId="5782FAD2" w14:textId="77777777" w:rsidTr="00455E9B">
        <w:tc>
          <w:tcPr>
            <w:tcW w:w="1085" w:type="dxa"/>
          </w:tcPr>
          <w:p w14:paraId="143F5C43" w14:textId="7777777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Pr>
          <w:p w14:paraId="5DC33DD2" w14:textId="77777777" w:rsidR="00006685" w:rsidRPr="00C46B07" w:rsidRDefault="00006685" w:rsidP="00782882">
            <w:pPr>
              <w:rPr>
                <w:rFonts w:ascii="Times New Roman" w:hAnsi="Times New Roman" w:cs="Times New Roman"/>
                <w:sz w:val="24"/>
                <w:szCs w:val="24"/>
              </w:rPr>
            </w:pPr>
          </w:p>
        </w:tc>
        <w:tc>
          <w:tcPr>
            <w:tcW w:w="7025" w:type="dxa"/>
          </w:tcPr>
          <w:p w14:paraId="26278612"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7.Vertinant Metodikos 5 p. nuostatas, pastebėtina, kad siūlomas reguliavimas bus netinkamas keičiant įstaigos struktūrą ar steigiant naujus administracijos padalinius, kadangi dar nesančių padalinių tarnautojų pareigybių negalės aprašyti jų tiesioginis vadovas (kurio, nesant padalinio, dar paprasčiausiai nebus). Be to, manytina, nustatomas reguliavimas turėtų būti realus ir praktikoje veikiantis. Atsižvelgiant į tai, siūlome įvertinti, ar įstaigų vadovai vienasmeniškai rengs jiems tiesiogiai pavaldžių tarnautojų pareigybių aprašymus, ar, visgi, praktikoje tai darys atitinkami įgalioti padaliniai ar tarnautojai.</w:t>
            </w:r>
          </w:p>
        </w:tc>
        <w:tc>
          <w:tcPr>
            <w:tcW w:w="5245" w:type="dxa"/>
          </w:tcPr>
          <w:p w14:paraId="11E21585" w14:textId="77777777" w:rsidR="00006685" w:rsidRPr="00C46B07" w:rsidRDefault="00006685" w:rsidP="00782882">
            <w:pPr>
              <w:rPr>
                <w:rFonts w:ascii="Times New Roman" w:hAnsi="Times New Roman" w:cs="Times New Roman"/>
                <w:b/>
                <w:sz w:val="24"/>
                <w:szCs w:val="24"/>
              </w:rPr>
            </w:pPr>
            <w:r w:rsidRPr="00C46B07">
              <w:rPr>
                <w:rFonts w:ascii="Times New Roman" w:hAnsi="Times New Roman" w:cs="Times New Roman"/>
                <w:b/>
                <w:sz w:val="24"/>
                <w:szCs w:val="24"/>
              </w:rPr>
              <w:t>Neatsižvelgta.</w:t>
            </w:r>
          </w:p>
          <w:p w14:paraId="554F1FC7" w14:textId="3204928E" w:rsidR="00006685" w:rsidRPr="00C46B07" w:rsidRDefault="00006685" w:rsidP="00947224">
            <w:pPr>
              <w:rPr>
                <w:rFonts w:ascii="Times New Roman" w:hAnsi="Times New Roman" w:cs="Times New Roman"/>
                <w:sz w:val="24"/>
                <w:szCs w:val="24"/>
              </w:rPr>
            </w:pPr>
            <w:r w:rsidRPr="00C46B07">
              <w:rPr>
                <w:rFonts w:ascii="Times New Roman" w:hAnsi="Times New Roman" w:cs="Times New Roman"/>
                <w:sz w:val="24"/>
                <w:szCs w:val="24"/>
              </w:rPr>
              <w:t>Metodikos 5 p. nurodyta, kad pareigybių aprašymus gali rengti ir į pareigas priimančio asmens įgaliotas asmuo.</w:t>
            </w:r>
          </w:p>
        </w:tc>
      </w:tr>
      <w:tr w:rsidR="00006685" w:rsidRPr="00C46B07" w14:paraId="529D14E3" w14:textId="77777777" w:rsidTr="00455E9B">
        <w:tc>
          <w:tcPr>
            <w:tcW w:w="1085" w:type="dxa"/>
          </w:tcPr>
          <w:p w14:paraId="56DD28D9" w14:textId="18373BE8"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Pr>
          <w:p w14:paraId="7D74EF82" w14:textId="77777777" w:rsidR="00006685" w:rsidRPr="00C46B07" w:rsidRDefault="00006685" w:rsidP="00782882">
            <w:pPr>
              <w:rPr>
                <w:rFonts w:ascii="Times New Roman" w:hAnsi="Times New Roman" w:cs="Times New Roman"/>
                <w:sz w:val="24"/>
                <w:szCs w:val="24"/>
              </w:rPr>
            </w:pPr>
          </w:p>
        </w:tc>
        <w:tc>
          <w:tcPr>
            <w:tcW w:w="7025" w:type="dxa"/>
          </w:tcPr>
          <w:p w14:paraId="0A1556E6"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12. Metodikos 18 p. nuostatos sąlygos tik unifikuotų ir apibendrintų funkcijų nustatymą pareigybės aprašymo ruošinyje, kurios tiktų visoms be išimčių įstaigoms. Atsižvelgiant į tai, kad vadovu būtų laikomi ir atitinkami patarėjai, turintys pavaldžių asmenų, bet veikiantys  specifinėse veiklos srityse, Metodikos 18 p. ir 22 p. nuostatos gali neatitikti faktinio poreikio.</w:t>
            </w:r>
          </w:p>
        </w:tc>
        <w:tc>
          <w:tcPr>
            <w:tcW w:w="5245" w:type="dxa"/>
          </w:tcPr>
          <w:p w14:paraId="508ED790" w14:textId="23F34E7C"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t>Neatsižvelgta</w:t>
            </w:r>
            <w:r w:rsidRPr="00C46B07">
              <w:rPr>
                <w:rFonts w:ascii="Times New Roman" w:hAnsi="Times New Roman" w:cs="Times New Roman"/>
                <w:sz w:val="24"/>
                <w:szCs w:val="24"/>
              </w:rPr>
              <w:t>.</w:t>
            </w:r>
          </w:p>
          <w:p w14:paraId="6FB37504" w14:textId="6FD3C588" w:rsidR="00006685" w:rsidRPr="00C46B07" w:rsidRDefault="00006685" w:rsidP="00C46B07">
            <w:pPr>
              <w:rPr>
                <w:rFonts w:ascii="Times New Roman" w:hAnsi="Times New Roman" w:cs="Times New Roman"/>
                <w:sz w:val="24"/>
                <w:szCs w:val="24"/>
              </w:rPr>
            </w:pPr>
            <w:r w:rsidRPr="00C46B07">
              <w:rPr>
                <w:rFonts w:ascii="Times New Roman" w:hAnsi="Times New Roman" w:cs="Times New Roman"/>
                <w:sz w:val="24"/>
                <w:szCs w:val="24"/>
              </w:rPr>
              <w:t>Patarėjų, turinčių pavaldžių asmenų, taip pat skyrių vedėjų, veikiančių specifinėse veiklos srityse bus nustatytos analogiškos funkcijos, o prireikus, pagal 24 p., galės būti nustatyta iki 4 papildomų funkcijų.</w:t>
            </w:r>
          </w:p>
        </w:tc>
      </w:tr>
      <w:tr w:rsidR="00006685" w:rsidRPr="00C46B07" w14:paraId="219D6543" w14:textId="77777777" w:rsidTr="00455E9B">
        <w:tc>
          <w:tcPr>
            <w:tcW w:w="1085" w:type="dxa"/>
          </w:tcPr>
          <w:p w14:paraId="6F371ACF" w14:textId="7777777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Pr>
          <w:p w14:paraId="300C68F1" w14:textId="77777777" w:rsidR="00006685" w:rsidRPr="00C46B07" w:rsidRDefault="00006685" w:rsidP="00782882">
            <w:pPr>
              <w:rPr>
                <w:rFonts w:ascii="Times New Roman" w:hAnsi="Times New Roman" w:cs="Times New Roman"/>
                <w:sz w:val="24"/>
                <w:szCs w:val="24"/>
              </w:rPr>
            </w:pPr>
          </w:p>
        </w:tc>
        <w:tc>
          <w:tcPr>
            <w:tcW w:w="7025" w:type="dxa"/>
          </w:tcPr>
          <w:p w14:paraId="6722B533"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13. Neapibrėžtas Metodikos 21 p. santykis su naujos redakcijos Valstybės tarnybos įstatymo 30 str. 1 d. 2 p. Svarstytina ar šio punkto realizavimas atitiktų Valstybės tarnybos įstatymo 30 str. 1 d. 2 p. nuostatas, numatančias atvejus, kai vykdomos pareigybės aprašyme nenumatytos funkcijos (nors, manytina, jos vis tiek turėtų būti susijusios su administracijos padalinio veikla).</w:t>
            </w:r>
          </w:p>
        </w:tc>
        <w:tc>
          <w:tcPr>
            <w:tcW w:w="5245" w:type="dxa"/>
          </w:tcPr>
          <w:p w14:paraId="49DA2087" w14:textId="1D5CD642"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t>Neatsižvelgta</w:t>
            </w:r>
            <w:r w:rsidRPr="00C46B07">
              <w:rPr>
                <w:rFonts w:ascii="Times New Roman" w:hAnsi="Times New Roman" w:cs="Times New Roman"/>
                <w:sz w:val="24"/>
                <w:szCs w:val="24"/>
              </w:rPr>
              <w:t>.</w:t>
            </w:r>
          </w:p>
          <w:p w14:paraId="398E4297" w14:textId="40C5CA28" w:rsidR="00006685" w:rsidRPr="00C46B07" w:rsidRDefault="00006685" w:rsidP="00BF24D3">
            <w:pPr>
              <w:rPr>
                <w:rFonts w:ascii="Times New Roman" w:hAnsi="Times New Roman" w:cs="Times New Roman"/>
                <w:sz w:val="24"/>
                <w:szCs w:val="24"/>
              </w:rPr>
            </w:pPr>
            <w:r w:rsidRPr="00C46B07">
              <w:rPr>
                <w:rFonts w:ascii="Times New Roman" w:hAnsi="Times New Roman" w:cs="Times New Roman"/>
                <w:sz w:val="24"/>
                <w:szCs w:val="24"/>
              </w:rPr>
              <w:t xml:space="preserve">Metodikos 23 p. nustatyta galimybė atlikti papildomas nenuolatinio pobūdžio funkcijas, tuo tarpu naujos redakcijos Valstybės tarnybos įstatymo (toliau – VTĮ) 30 str. 1 d. 2 punkte numatyta galimybė priemoką mokėti už </w:t>
            </w:r>
            <w:r w:rsidRPr="00C46B07">
              <w:rPr>
                <w:rFonts w:ascii="Times New Roman" w:hAnsi="Times New Roman" w:cs="Times New Roman"/>
                <w:sz w:val="24"/>
                <w:szCs w:val="24"/>
                <w:u w:val="single"/>
              </w:rPr>
              <w:t>konkrečias</w:t>
            </w:r>
            <w:r w:rsidRPr="00C46B07">
              <w:rPr>
                <w:rFonts w:ascii="Times New Roman" w:hAnsi="Times New Roman" w:cs="Times New Roman"/>
                <w:sz w:val="24"/>
                <w:szCs w:val="24"/>
              </w:rPr>
              <w:t xml:space="preserve"> papildomas nenuolatinio pobūdžio funkcijas.</w:t>
            </w:r>
          </w:p>
        </w:tc>
      </w:tr>
      <w:tr w:rsidR="00006685" w:rsidRPr="00C46B07" w14:paraId="274087DA" w14:textId="77777777" w:rsidTr="00455E9B">
        <w:tc>
          <w:tcPr>
            <w:tcW w:w="1085" w:type="dxa"/>
          </w:tcPr>
          <w:p w14:paraId="2E427CFA" w14:textId="7777777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Pr>
          <w:p w14:paraId="47C16128" w14:textId="77777777" w:rsidR="00006685" w:rsidRPr="00C46B07" w:rsidRDefault="00006685" w:rsidP="00782882">
            <w:pPr>
              <w:rPr>
                <w:rFonts w:ascii="Times New Roman" w:hAnsi="Times New Roman" w:cs="Times New Roman"/>
                <w:sz w:val="24"/>
                <w:szCs w:val="24"/>
              </w:rPr>
            </w:pPr>
          </w:p>
        </w:tc>
        <w:tc>
          <w:tcPr>
            <w:tcW w:w="7025" w:type="dxa"/>
          </w:tcPr>
          <w:p w14:paraId="60B9094E"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 xml:space="preserve">14. Įvertinant šiuo metu galiojantį reguliavimą, Metodikos 25 p. apriboja įstaigos vadovo </w:t>
            </w:r>
            <w:proofErr w:type="spellStart"/>
            <w:r w:rsidRPr="00C46B07">
              <w:rPr>
                <w:rFonts w:ascii="Times New Roman" w:hAnsi="Times New Roman" w:cs="Times New Roman"/>
                <w:sz w:val="24"/>
                <w:szCs w:val="24"/>
              </w:rPr>
              <w:t>diskreciją</w:t>
            </w:r>
            <w:proofErr w:type="spellEnd"/>
            <w:r w:rsidRPr="00C46B07">
              <w:rPr>
                <w:rFonts w:ascii="Times New Roman" w:hAnsi="Times New Roman" w:cs="Times New Roman"/>
                <w:sz w:val="24"/>
                <w:szCs w:val="24"/>
              </w:rPr>
              <w:t xml:space="preserve"> nustatant pareigybei reikalaujamą </w:t>
            </w:r>
            <w:r w:rsidRPr="00C46B07">
              <w:rPr>
                <w:rFonts w:ascii="Times New Roman" w:hAnsi="Times New Roman" w:cs="Times New Roman"/>
                <w:sz w:val="24"/>
                <w:szCs w:val="24"/>
              </w:rPr>
              <w:lastRenderedPageBreak/>
              <w:t xml:space="preserve">išsilavinimą. Pastebėtina, kad reguliavimas nustatomas imperatyviai, nenumatant galimybės nustatyti net aukštesnius išsilavinimo reikalavimus ne įstatymo lygmeniu. Atkreiptinas dėmesys, kad toks reguliavimas gali neatitikti atskirų įstaigų šiuo metu nustatytų reikalavimų IV-IX lygmens pareigybėms (kai, pvz., nustatomas ne žemesnio kaip aukštojo mokslo magistro ar magistro ir bakalauro kvalifikacinio laipsnio reikalavimas), bei gali kelti praktines problemas, siekiant užtikrinti tinkamos kvalifikacijos tarnautojų atranką. Siūlome įvertinti galimybę, atskirais atvejais, tai atitinkamai pagrindus, įstaigos vadovui nustatyti ir kitokius (arba ne mažesnius) specialiuosius išsilavinimo reikalavimus. Užsienio kalbos mokėjimo atveju Metodikos 28 p. antrojoje pastraipoje nustatoma rekomendacinė nuostata. </w:t>
            </w:r>
          </w:p>
          <w:p w14:paraId="35A6E402"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 xml:space="preserve">Analogiškai, vertinant Metodikos penktojo skirsnio nuostatas dėl funkcijų nustatymo, formuluojama bendra taisyklė nenukrypti nuo pareigybės aprašymo ruošinio, apibrėžiant tik konkrečius atvejus, kai leidžiama nukrypti. Toks griežtas ir imperatyvus reguliavimas, apribojantis įstaigos vadovo </w:t>
            </w:r>
            <w:proofErr w:type="spellStart"/>
            <w:r w:rsidRPr="00C46B07">
              <w:rPr>
                <w:rFonts w:ascii="Times New Roman" w:hAnsi="Times New Roman" w:cs="Times New Roman"/>
                <w:sz w:val="24"/>
                <w:szCs w:val="24"/>
              </w:rPr>
              <w:t>diskreciją</w:t>
            </w:r>
            <w:proofErr w:type="spellEnd"/>
            <w:r w:rsidRPr="00C46B07">
              <w:rPr>
                <w:rFonts w:ascii="Times New Roman" w:hAnsi="Times New Roman" w:cs="Times New Roman"/>
                <w:sz w:val="24"/>
                <w:szCs w:val="24"/>
              </w:rPr>
              <w:t>, praktikoje gali kelti sunkumų užtikrinant įstaigos vykdomų funkcijų priskyrimą konkrečioms pareigybėms, o pareigybės aprašymo ruošinių nebuvimas šioje nutarimo projekto derinimo stadijoje daro neįmanomu siūlomo reguliavimo proporcingumo įvertinimą.</w:t>
            </w:r>
          </w:p>
        </w:tc>
        <w:tc>
          <w:tcPr>
            <w:tcW w:w="5245" w:type="dxa"/>
          </w:tcPr>
          <w:p w14:paraId="277144EB" w14:textId="4BAC2BC3" w:rsidR="00006685" w:rsidRPr="00C46B07" w:rsidRDefault="00006685" w:rsidP="00782882">
            <w:pPr>
              <w:rPr>
                <w:rFonts w:ascii="Times New Roman" w:hAnsi="Times New Roman" w:cs="Times New Roman"/>
                <w:b/>
                <w:sz w:val="24"/>
                <w:szCs w:val="24"/>
              </w:rPr>
            </w:pPr>
            <w:r w:rsidRPr="00C46B07">
              <w:rPr>
                <w:rFonts w:ascii="Times New Roman" w:hAnsi="Times New Roman" w:cs="Times New Roman"/>
                <w:b/>
                <w:sz w:val="24"/>
                <w:szCs w:val="24"/>
              </w:rPr>
              <w:lastRenderedPageBreak/>
              <w:t>Atsižvelgta iš dalies.</w:t>
            </w:r>
          </w:p>
          <w:p w14:paraId="3A036953" w14:textId="77777777" w:rsidR="00006685" w:rsidRPr="00C46B07" w:rsidRDefault="00006685" w:rsidP="00005DAC">
            <w:pPr>
              <w:rPr>
                <w:rFonts w:ascii="Times New Roman" w:hAnsi="Times New Roman" w:cs="Times New Roman"/>
                <w:sz w:val="24"/>
                <w:szCs w:val="24"/>
              </w:rPr>
            </w:pPr>
            <w:r w:rsidRPr="00C46B07">
              <w:rPr>
                <w:rFonts w:ascii="Times New Roman" w:hAnsi="Times New Roman" w:cs="Times New Roman"/>
                <w:sz w:val="24"/>
                <w:szCs w:val="24"/>
              </w:rPr>
              <w:lastRenderedPageBreak/>
              <w:t xml:space="preserve">VTĮ nustatyto galimybę į valstybės tarnybą priimti asmenis ir su aukštuoju koleginiu išsilavinimu. </w:t>
            </w:r>
          </w:p>
          <w:p w14:paraId="7A886E36" w14:textId="3A36CF88" w:rsidR="00006685" w:rsidRPr="00C46B07" w:rsidRDefault="00006685" w:rsidP="00005DAC">
            <w:pPr>
              <w:rPr>
                <w:rFonts w:ascii="Times New Roman" w:hAnsi="Times New Roman" w:cs="Times New Roman"/>
                <w:sz w:val="24"/>
                <w:szCs w:val="24"/>
              </w:rPr>
            </w:pPr>
            <w:r w:rsidRPr="00C46B07">
              <w:rPr>
                <w:rFonts w:ascii="Times New Roman" w:hAnsi="Times New Roman" w:cs="Times New Roman"/>
                <w:sz w:val="24"/>
                <w:szCs w:val="24"/>
              </w:rPr>
              <w:t>Metodikoje išplėsta galimybė įstaigoms nustatyti ne konkretų Metodikos 1 priede nustatytą  išsilavinimo lygį, o „ne žemesnį kaip“.</w:t>
            </w:r>
          </w:p>
          <w:p w14:paraId="660ABB54" w14:textId="44C166FF" w:rsidR="00006685" w:rsidRPr="00C46B07" w:rsidRDefault="00006685" w:rsidP="00005DAC">
            <w:pPr>
              <w:rPr>
                <w:rFonts w:ascii="Times New Roman" w:hAnsi="Times New Roman" w:cs="Times New Roman"/>
                <w:sz w:val="24"/>
                <w:szCs w:val="24"/>
              </w:rPr>
            </w:pPr>
            <w:r w:rsidRPr="00C46B07">
              <w:rPr>
                <w:rFonts w:ascii="Times New Roman" w:hAnsi="Times New Roman" w:cs="Times New Roman"/>
                <w:sz w:val="24"/>
                <w:szCs w:val="24"/>
              </w:rPr>
              <w:t>Taip bus užtikrinta galimybė atrankose dalyvauti platesniam pretendentų ratui, o įstaigoms sudaryta galimybė atrankų metu atsirinkti geriausius pretendentus vertinant ne tik turimą diplomą, bet jo gebėjimus ir kvalifikaciją.</w:t>
            </w:r>
          </w:p>
          <w:p w14:paraId="4A992A8A" w14:textId="6CDC250F" w:rsidR="00006685" w:rsidRPr="00C46B07" w:rsidRDefault="00006685" w:rsidP="00005DAC">
            <w:pPr>
              <w:rPr>
                <w:rFonts w:ascii="Times New Roman" w:hAnsi="Times New Roman" w:cs="Times New Roman"/>
                <w:sz w:val="24"/>
                <w:szCs w:val="24"/>
              </w:rPr>
            </w:pPr>
            <w:r w:rsidRPr="00C46B07">
              <w:rPr>
                <w:rFonts w:ascii="Times New Roman" w:hAnsi="Times New Roman" w:cs="Times New Roman"/>
                <w:sz w:val="24"/>
                <w:szCs w:val="24"/>
              </w:rPr>
              <w:t>Atkreiptinas dėmesys, kad Metodikos 33 p. nuostatos leidžia įstaigoms nepaisyti Metodikoje nustatytų tipinių specialiųjų reikalavimų, jeigu tokie reikalavimai nustatyti įstatymuose ir Vyriausybės nutarimuose.</w:t>
            </w:r>
          </w:p>
          <w:p w14:paraId="50CB6DCF" w14:textId="1E451CCC" w:rsidR="00006685" w:rsidRPr="00C46B07" w:rsidRDefault="00006685" w:rsidP="00641889">
            <w:pPr>
              <w:rPr>
                <w:rFonts w:ascii="Times New Roman" w:hAnsi="Times New Roman" w:cs="Times New Roman"/>
                <w:sz w:val="24"/>
                <w:szCs w:val="24"/>
              </w:rPr>
            </w:pPr>
            <w:r w:rsidRPr="00C46B07">
              <w:rPr>
                <w:rFonts w:ascii="Times New Roman" w:hAnsi="Times New Roman" w:cs="Times New Roman"/>
                <w:sz w:val="24"/>
                <w:szCs w:val="24"/>
              </w:rPr>
              <w:t>Be to, pastebint skirtingas įstaigų taikomas praktikas dėl specialiųjų reikalavimų nustatymo, manytina, kad nustačius vienodus reikalavimus tam tikro lygio pareigybėms, bus užtikrintas skaidrumas.</w:t>
            </w:r>
          </w:p>
        </w:tc>
      </w:tr>
      <w:tr w:rsidR="00006685" w:rsidRPr="00C46B07" w14:paraId="08EA1A0F" w14:textId="77777777" w:rsidTr="00006685">
        <w:tc>
          <w:tcPr>
            <w:tcW w:w="1085" w:type="dxa"/>
          </w:tcPr>
          <w:p w14:paraId="71A86E04" w14:textId="4A067886"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val="restart"/>
            <w:tcBorders>
              <w:top w:val="nil"/>
            </w:tcBorders>
          </w:tcPr>
          <w:p w14:paraId="659175A7" w14:textId="77777777" w:rsidR="00006685" w:rsidRPr="00C46B07" w:rsidRDefault="00006685" w:rsidP="00782882">
            <w:pPr>
              <w:rPr>
                <w:rFonts w:ascii="Times New Roman" w:hAnsi="Times New Roman" w:cs="Times New Roman"/>
                <w:sz w:val="24"/>
                <w:szCs w:val="24"/>
              </w:rPr>
            </w:pPr>
          </w:p>
        </w:tc>
        <w:tc>
          <w:tcPr>
            <w:tcW w:w="7025" w:type="dxa"/>
          </w:tcPr>
          <w:p w14:paraId="185B7E95" w14:textId="77777777" w:rsidR="00006685" w:rsidRPr="00C46B07" w:rsidRDefault="00006685" w:rsidP="00782882">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15. Lieka neapgrįsta, kodėl atsisakoma taikyti Metodikos 2 priede nustatytus reikalavimus politinio (asmeninio) pasitikėjimo valstybės tarnautojams (metodikos 25 p.) bei neaišku, kokiu tikslu Metodikos 26 p. antrajame sakinyje neišskiriami išsilavinimo reikalavimai.</w:t>
            </w:r>
          </w:p>
        </w:tc>
        <w:tc>
          <w:tcPr>
            <w:tcW w:w="5245" w:type="dxa"/>
          </w:tcPr>
          <w:p w14:paraId="0913D7B9" w14:textId="745CBC82"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t>Atsižvelgta iš dalies</w:t>
            </w:r>
            <w:r w:rsidRPr="00C46B07">
              <w:rPr>
                <w:rFonts w:ascii="Times New Roman" w:hAnsi="Times New Roman" w:cs="Times New Roman"/>
                <w:sz w:val="24"/>
                <w:szCs w:val="24"/>
              </w:rPr>
              <w:t>.</w:t>
            </w:r>
          </w:p>
          <w:p w14:paraId="7430A300" w14:textId="026C2A1C" w:rsidR="00006685" w:rsidRPr="00C46B07" w:rsidRDefault="00006685" w:rsidP="00641889">
            <w:pPr>
              <w:rPr>
                <w:rFonts w:ascii="Times New Roman" w:hAnsi="Times New Roman" w:cs="Times New Roman"/>
                <w:sz w:val="24"/>
                <w:szCs w:val="24"/>
              </w:rPr>
            </w:pPr>
            <w:r w:rsidRPr="00C46B07">
              <w:rPr>
                <w:rFonts w:ascii="Times New Roman" w:hAnsi="Times New Roman" w:cs="Times New Roman"/>
                <w:sz w:val="24"/>
                <w:szCs w:val="24"/>
              </w:rPr>
              <w:t>Metodikos 28 p. (buvęs 25 p.) nustatyta, kad v</w:t>
            </w:r>
            <w:r w:rsidRPr="00C46B07">
              <w:rPr>
                <w:rFonts w:ascii="Times New Roman" w:hAnsi="Times New Roman"/>
                <w:sz w:val="24"/>
                <w:szCs w:val="24"/>
              </w:rPr>
              <w:t>iceministrų ir savivaldybių administracijų direktorių pareigybėms nustatomas aukštojo universitetinio ar jam prilygintos aukštojo mokslo kvalifikacijos reikalavimas ir rekomenduojama nustatyti ne mažesnę kaip 5 metų vadovaujamo darbo patirtį</w:t>
            </w:r>
          </w:p>
        </w:tc>
      </w:tr>
      <w:tr w:rsidR="00006685" w:rsidRPr="00C46B07" w14:paraId="7FD53620" w14:textId="77777777" w:rsidTr="00820385">
        <w:tc>
          <w:tcPr>
            <w:tcW w:w="1085" w:type="dxa"/>
          </w:tcPr>
          <w:p w14:paraId="17F66A06" w14:textId="0607AB1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Borders>
              <w:top w:val="nil"/>
            </w:tcBorders>
          </w:tcPr>
          <w:p w14:paraId="634E20F9" w14:textId="77777777" w:rsidR="00006685" w:rsidRPr="00C46B07" w:rsidRDefault="00006685" w:rsidP="00782882">
            <w:pPr>
              <w:rPr>
                <w:rFonts w:ascii="Times New Roman" w:hAnsi="Times New Roman" w:cs="Times New Roman"/>
                <w:sz w:val="24"/>
                <w:szCs w:val="24"/>
              </w:rPr>
            </w:pPr>
          </w:p>
        </w:tc>
        <w:tc>
          <w:tcPr>
            <w:tcW w:w="7025" w:type="dxa"/>
          </w:tcPr>
          <w:p w14:paraId="4753E485" w14:textId="77777777" w:rsidR="00006685" w:rsidRPr="00C46B07" w:rsidRDefault="00006685" w:rsidP="00782882">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 xml:space="preserve">16. Vertinant Metodikos 33-36 p. nustatomas kompetencijas, pastebėtina, kad bendrosioms veiklos sritims priskiriamos kompetencijos reikalingos ir specialiosiose veiklos srityse (pvz., personalo valdymas –padalinių vadovams, dokumentų valdymas – visiems tarnautojams, dirbantiems su dokumentais). Be to, Metodikos 35.1, 35.4-35.9 p. apibrėžiamos kompetencijos, manytina, būdingos ir </w:t>
            </w:r>
            <w:r w:rsidRPr="00C46B07">
              <w:rPr>
                <w:rFonts w:ascii="Times New Roman" w:hAnsi="Times New Roman" w:cs="Times New Roman"/>
                <w:sz w:val="24"/>
                <w:szCs w:val="24"/>
                <w:lang w:eastAsia="lt-LT"/>
              </w:rPr>
              <w:lastRenderedPageBreak/>
              <w:t>reikalingos ir įstaigos vadovo veikloje. Atsižvelgiant į tai, lieka neaiškus ir nepagrįstas jų priskyrimas  specifinėms kompetencijoms. Analogiškai ir dėl 34.1 p. nurodomos kompetencijos priskyrimo tik vadovaujantį darbą atliekantiems tarnautojams. Svarstytina, ar ši kompetencija negali būti reikalinga ir vyriausiojo patarėjo ar vyresniojo patarėjo, neturinčio pavaldžių asmenų, pareigybėms (Metodikos 39 p.).</w:t>
            </w:r>
          </w:p>
        </w:tc>
        <w:tc>
          <w:tcPr>
            <w:tcW w:w="5245" w:type="dxa"/>
          </w:tcPr>
          <w:p w14:paraId="51C02BE5" w14:textId="7560DD7A"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lastRenderedPageBreak/>
              <w:t>Neatsižvelgta</w:t>
            </w:r>
            <w:r w:rsidRPr="00C46B07">
              <w:rPr>
                <w:rFonts w:ascii="Times New Roman" w:hAnsi="Times New Roman" w:cs="Times New Roman"/>
                <w:sz w:val="24"/>
                <w:szCs w:val="24"/>
              </w:rPr>
              <w:t>.</w:t>
            </w:r>
          </w:p>
          <w:p w14:paraId="7872AA04" w14:textId="2EEA57A6"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Tam tikros sritys, pvz., personalo valdymas, dokumentų valdymas nėra pagrindinės veiklos sritys visiems valstybės tarnautojams.</w:t>
            </w:r>
          </w:p>
          <w:p w14:paraId="61F14447"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lastRenderedPageBreak/>
              <w:t>Įstaigos vadovams neprivalomos specifinės kompetencijos, nes iš įstaigos vadovų tikimasi vadybinių ir lyderystės kompetencijų.</w:t>
            </w:r>
          </w:p>
        </w:tc>
      </w:tr>
      <w:tr w:rsidR="00006685" w:rsidRPr="00C46B07" w14:paraId="22DA2EC6" w14:textId="77777777" w:rsidTr="00006685">
        <w:tc>
          <w:tcPr>
            <w:tcW w:w="1085" w:type="dxa"/>
          </w:tcPr>
          <w:p w14:paraId="318A5DC4" w14:textId="77777777"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val="restart"/>
            <w:tcBorders>
              <w:top w:val="nil"/>
            </w:tcBorders>
          </w:tcPr>
          <w:p w14:paraId="243BF0A9" w14:textId="77777777" w:rsidR="00006685" w:rsidRPr="00C46B07" w:rsidRDefault="00006685" w:rsidP="00782882">
            <w:pPr>
              <w:rPr>
                <w:rFonts w:ascii="Times New Roman" w:hAnsi="Times New Roman" w:cs="Times New Roman"/>
                <w:sz w:val="24"/>
                <w:szCs w:val="24"/>
              </w:rPr>
            </w:pPr>
          </w:p>
        </w:tc>
        <w:tc>
          <w:tcPr>
            <w:tcW w:w="7025" w:type="dxa"/>
          </w:tcPr>
          <w:p w14:paraId="2A8C4FAC" w14:textId="77777777" w:rsidR="00006685" w:rsidRPr="00C46B07" w:rsidRDefault="00006685" w:rsidP="00782882">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17. Be to, įvertinant tai, kad kompetencijos būtų vertinamos priėmimo į valstybės tarnautojo pareigas ir tarnybinės veiklos vertinimo metu, kas yra kitų įgyvendinamųjų teisės aktų reguliavimo dalykas, manytina, visų šių teisės aktų derinimas ir priėmimas turėtų būti atliekamas kartu, kompleksiškai vertinant siūlomo reguliavimo įgyvendinamumą.</w:t>
            </w:r>
          </w:p>
        </w:tc>
        <w:tc>
          <w:tcPr>
            <w:tcW w:w="5245" w:type="dxa"/>
          </w:tcPr>
          <w:p w14:paraId="66A0E58B" w14:textId="77777777" w:rsidR="00006685" w:rsidRPr="00C46B07" w:rsidRDefault="00006685" w:rsidP="00782882">
            <w:pPr>
              <w:rPr>
                <w:rFonts w:ascii="Times New Roman" w:hAnsi="Times New Roman" w:cs="Times New Roman"/>
                <w:b/>
                <w:sz w:val="24"/>
                <w:szCs w:val="24"/>
              </w:rPr>
            </w:pPr>
            <w:r w:rsidRPr="00C46B07">
              <w:rPr>
                <w:rFonts w:ascii="Times New Roman" w:hAnsi="Times New Roman" w:cs="Times New Roman"/>
                <w:b/>
                <w:sz w:val="24"/>
                <w:szCs w:val="24"/>
              </w:rPr>
              <w:t>Neatsižvelgta.</w:t>
            </w:r>
          </w:p>
          <w:p w14:paraId="63D94FE0" w14:textId="2A4DE6FF" w:rsidR="00006685" w:rsidRPr="00C46B07" w:rsidRDefault="00006685" w:rsidP="002D6EC1">
            <w:pPr>
              <w:rPr>
                <w:rFonts w:ascii="Times New Roman" w:hAnsi="Times New Roman" w:cs="Times New Roman"/>
                <w:sz w:val="24"/>
                <w:szCs w:val="24"/>
              </w:rPr>
            </w:pPr>
            <w:r w:rsidRPr="00C46B07">
              <w:rPr>
                <w:rFonts w:ascii="Times New Roman" w:hAnsi="Times New Roman" w:cs="Times New Roman"/>
                <w:sz w:val="24"/>
                <w:szCs w:val="24"/>
              </w:rPr>
              <w:t>Dėl žmogiškųjų išteklių trūkumo visų teisės aktų derinimas ir priėmimas kartu yra neįmanomas.</w:t>
            </w:r>
          </w:p>
        </w:tc>
      </w:tr>
      <w:tr w:rsidR="00006685" w:rsidRPr="00C46B07" w14:paraId="13298DC1" w14:textId="77777777" w:rsidTr="00820385">
        <w:tc>
          <w:tcPr>
            <w:tcW w:w="1085" w:type="dxa"/>
          </w:tcPr>
          <w:p w14:paraId="27413913" w14:textId="4592E448"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Borders>
              <w:top w:val="nil"/>
            </w:tcBorders>
          </w:tcPr>
          <w:p w14:paraId="0C374AE6" w14:textId="77777777" w:rsidR="00006685" w:rsidRPr="00C46B07" w:rsidRDefault="00006685" w:rsidP="00782882">
            <w:pPr>
              <w:rPr>
                <w:rFonts w:ascii="Times New Roman" w:hAnsi="Times New Roman" w:cs="Times New Roman"/>
                <w:sz w:val="24"/>
                <w:szCs w:val="24"/>
              </w:rPr>
            </w:pPr>
          </w:p>
        </w:tc>
        <w:tc>
          <w:tcPr>
            <w:tcW w:w="7025" w:type="dxa"/>
          </w:tcPr>
          <w:p w14:paraId="4041077C" w14:textId="77777777" w:rsidR="00006685" w:rsidRPr="00C46B07" w:rsidRDefault="00006685" w:rsidP="00782882">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18. Siūlome įvertinti, ar Metodikos 41 p. siūlomas dvipakopis profesinių kompetencijų aprašymo ir  nustatymo mechanizmas negalėtų būti realizuojamas pareigybės tvirtinimo metu, atsisakant atskirais atvejais perteklinio specifinių kompetencijų aprašymo atskiro tvirtinimo (ypač aktualu vienetinių, specifinių pareigybių atveju).</w:t>
            </w:r>
          </w:p>
        </w:tc>
        <w:tc>
          <w:tcPr>
            <w:tcW w:w="5245" w:type="dxa"/>
          </w:tcPr>
          <w:p w14:paraId="17A841D7" w14:textId="77777777"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b/>
                <w:sz w:val="24"/>
                <w:szCs w:val="24"/>
              </w:rPr>
              <w:t>Neatsižvelgta</w:t>
            </w:r>
            <w:r w:rsidRPr="00C46B07">
              <w:rPr>
                <w:rFonts w:ascii="Times New Roman" w:hAnsi="Times New Roman" w:cs="Times New Roman"/>
                <w:sz w:val="24"/>
                <w:szCs w:val="24"/>
              </w:rPr>
              <w:t>.</w:t>
            </w:r>
          </w:p>
          <w:p w14:paraId="479392F0" w14:textId="44B1BDDD" w:rsidR="00006685" w:rsidRPr="00C46B07" w:rsidRDefault="00006685" w:rsidP="00782882">
            <w:pPr>
              <w:rPr>
                <w:rFonts w:ascii="Times New Roman" w:hAnsi="Times New Roman" w:cs="Times New Roman"/>
                <w:sz w:val="24"/>
                <w:szCs w:val="24"/>
              </w:rPr>
            </w:pPr>
            <w:r w:rsidRPr="00C46B07">
              <w:rPr>
                <w:rFonts w:ascii="Times New Roman" w:hAnsi="Times New Roman" w:cs="Times New Roman"/>
                <w:sz w:val="24"/>
                <w:szCs w:val="24"/>
              </w:rPr>
              <w:t>Profesines kompetencijas turės nusistatyti ir tvirtinti įstaiga tuo atveju, jeigu nepakaks specifinių kompetencijų.</w:t>
            </w:r>
          </w:p>
          <w:p w14:paraId="5024143F" w14:textId="1B3C0C53" w:rsidR="00006685" w:rsidRPr="00C46B07" w:rsidRDefault="00006685" w:rsidP="002D6EC1">
            <w:pPr>
              <w:rPr>
                <w:rFonts w:ascii="Times New Roman" w:hAnsi="Times New Roman" w:cs="Times New Roman"/>
                <w:sz w:val="24"/>
                <w:szCs w:val="24"/>
              </w:rPr>
            </w:pPr>
            <w:r w:rsidRPr="00C46B07">
              <w:rPr>
                <w:rFonts w:ascii="Times New Roman" w:hAnsi="Times New Roman" w:cs="Times New Roman"/>
                <w:sz w:val="24"/>
                <w:szCs w:val="24"/>
              </w:rPr>
              <w:t>Tvirtinant profesines kompetencijas, gali būti nustatytas neribotas skaičius indikatorių. Tačiau konkrečiai pareigybei galės būti nustatyti 6 indikatoriai. Be to, pareigybės aprašyme neatsispindi indikatoriai ir jų vertinimo reikšmės, todėl kompetencijos tvirtinamos atskiru dokumentu..</w:t>
            </w:r>
          </w:p>
        </w:tc>
      </w:tr>
      <w:tr w:rsidR="00006685" w:rsidRPr="00C46B07" w14:paraId="6D6D5666" w14:textId="77777777" w:rsidTr="00820385">
        <w:tc>
          <w:tcPr>
            <w:tcW w:w="1085" w:type="dxa"/>
          </w:tcPr>
          <w:p w14:paraId="3C2FE8ED" w14:textId="2291C1A9" w:rsidR="00006685" w:rsidRPr="00C46B07" w:rsidRDefault="00006685" w:rsidP="00782882">
            <w:pPr>
              <w:pStyle w:val="Sraopastraipa"/>
              <w:numPr>
                <w:ilvl w:val="0"/>
                <w:numId w:val="1"/>
              </w:numPr>
              <w:rPr>
                <w:rFonts w:ascii="Times New Roman" w:hAnsi="Times New Roman" w:cs="Times New Roman"/>
                <w:sz w:val="24"/>
                <w:szCs w:val="24"/>
              </w:rPr>
            </w:pPr>
          </w:p>
        </w:tc>
        <w:tc>
          <w:tcPr>
            <w:tcW w:w="1524" w:type="dxa"/>
            <w:vMerge/>
            <w:tcBorders>
              <w:top w:val="nil"/>
            </w:tcBorders>
          </w:tcPr>
          <w:p w14:paraId="15078E56" w14:textId="77777777" w:rsidR="00006685" w:rsidRPr="00C46B07" w:rsidRDefault="00006685" w:rsidP="00782882">
            <w:pPr>
              <w:rPr>
                <w:rFonts w:ascii="Times New Roman" w:hAnsi="Times New Roman" w:cs="Times New Roman"/>
                <w:sz w:val="24"/>
                <w:szCs w:val="24"/>
              </w:rPr>
            </w:pPr>
          </w:p>
        </w:tc>
        <w:tc>
          <w:tcPr>
            <w:tcW w:w="7025" w:type="dxa"/>
          </w:tcPr>
          <w:p w14:paraId="4BC3BAC1" w14:textId="49594FB1" w:rsidR="00006685" w:rsidRPr="00C46B07" w:rsidRDefault="00006685" w:rsidP="00AB414E">
            <w:pPr>
              <w:tabs>
                <w:tab w:val="left" w:pos="1418"/>
              </w:tabs>
              <w:suppressAutoHyphens/>
              <w:jc w:val="both"/>
              <w:rPr>
                <w:rFonts w:ascii="Times New Roman" w:hAnsi="Times New Roman" w:cs="Times New Roman"/>
                <w:sz w:val="24"/>
                <w:szCs w:val="24"/>
              </w:rPr>
            </w:pPr>
            <w:r w:rsidRPr="00C46B07">
              <w:rPr>
                <w:rFonts w:ascii="Times New Roman" w:hAnsi="Times New Roman" w:cs="Times New Roman"/>
                <w:sz w:val="24"/>
                <w:szCs w:val="24"/>
                <w:lang w:eastAsia="lt-LT"/>
              </w:rPr>
              <w:t xml:space="preserve">20. Atkreiptinas dėmesys, kad politikos formavime dalyvaujančius administracijos struktūrinius padalinius pertvarkius į grupes, grupės tarnautojų veiklos koordinavimas paliekamas įstaigos vadovo nuožiūrai – t. y. įstaigos vadovas spręs, ar taikoma vienos pakopos, ar kelių pakopų hierarchinė sistema (ar patarėjai vykdys koordinavimą – turės pavaldžių asmenų). Metodikos 2 priede nustatant grupės vadovui vadovaujančio darbo patirties reikalavimą, vienpakopė hierarchinė sistema efektyviai  galės būti taikoma tik tose grupėse, kurių veiklos sritis nėra unikali ir būdinga tik šiai vienai įstaigai, kadangi priešingu atveju galėtų susidaryti situacija, kai, vykdant grupės, dalyvaujančios formuojant politiką specifinėje veiklos srityje, vadovo paiešką nebūtų asmenų, turinčių specifinės veiklos patirties ir vadovavimo patirties  (įstaiga neparengtų asmens, atitinkančio grupės vadovo reikalavimus (joje negalėtų įgyti vadovaujančio darbo patirties), o iš išorės toks </w:t>
            </w:r>
            <w:r w:rsidRPr="00C46B07">
              <w:rPr>
                <w:rFonts w:ascii="Times New Roman" w:hAnsi="Times New Roman" w:cs="Times New Roman"/>
                <w:sz w:val="24"/>
                <w:szCs w:val="24"/>
                <w:lang w:eastAsia="lt-LT"/>
              </w:rPr>
              <w:lastRenderedPageBreak/>
              <w:t>asmuo irgi negalėtų ateiti dėl specifinės veiklos srities darbo patirties neturėjimo). Tokiu būdu, manytume, skatinama kelių pakopų hierarchinė sistema grupėje, kas iš esmės grupės darbo organizavimą darytų analogišku departamento darbo organizavimui, o vadovaujančių tarnautojų skaičius įstaigoje galiausiai nesikeistų.</w:t>
            </w:r>
          </w:p>
        </w:tc>
        <w:tc>
          <w:tcPr>
            <w:tcW w:w="5245" w:type="dxa"/>
          </w:tcPr>
          <w:p w14:paraId="734B3613" w14:textId="77777777" w:rsidR="00006685" w:rsidRPr="00C46B07" w:rsidRDefault="00006685" w:rsidP="002D6EC1">
            <w:pPr>
              <w:rPr>
                <w:rFonts w:ascii="Times New Roman" w:hAnsi="Times New Roman" w:cs="Times New Roman"/>
                <w:b/>
                <w:sz w:val="24"/>
                <w:szCs w:val="24"/>
              </w:rPr>
            </w:pPr>
            <w:r w:rsidRPr="00C46B07">
              <w:rPr>
                <w:rFonts w:ascii="Times New Roman" w:hAnsi="Times New Roman" w:cs="Times New Roman"/>
                <w:b/>
                <w:sz w:val="24"/>
                <w:szCs w:val="24"/>
              </w:rPr>
              <w:lastRenderedPageBreak/>
              <w:t>Neatsižvelgta</w:t>
            </w:r>
          </w:p>
          <w:p w14:paraId="700C9FB3" w14:textId="50E1536D" w:rsidR="00006685" w:rsidRPr="00C46B07" w:rsidRDefault="00006685" w:rsidP="002D6EC1">
            <w:pPr>
              <w:rPr>
                <w:rFonts w:ascii="Times New Roman" w:hAnsi="Times New Roman" w:cs="Times New Roman"/>
                <w:sz w:val="24"/>
                <w:szCs w:val="24"/>
              </w:rPr>
            </w:pPr>
            <w:r w:rsidRPr="00C46B07">
              <w:rPr>
                <w:rFonts w:ascii="Times New Roman" w:hAnsi="Times New Roman" w:cs="Times New Roman"/>
                <w:sz w:val="24"/>
                <w:szCs w:val="24"/>
              </w:rPr>
              <w:t>Įstaigos struktūrą nustato įstaigos vadovas vadovaudamasis teisės aktais.</w:t>
            </w:r>
          </w:p>
          <w:p w14:paraId="1822C229" w14:textId="626950CF" w:rsidR="00006685" w:rsidRPr="00C46B07" w:rsidRDefault="00006685" w:rsidP="002D6EC1">
            <w:pPr>
              <w:rPr>
                <w:rFonts w:ascii="Times New Roman" w:hAnsi="Times New Roman" w:cs="Times New Roman"/>
                <w:sz w:val="24"/>
                <w:szCs w:val="24"/>
              </w:rPr>
            </w:pPr>
            <w:r w:rsidRPr="00C46B07">
              <w:rPr>
                <w:rFonts w:ascii="Times New Roman" w:hAnsi="Times New Roman" w:cs="Times New Roman"/>
                <w:sz w:val="24"/>
                <w:szCs w:val="24"/>
              </w:rPr>
              <w:t xml:space="preserve">Naujos redakcijos VTĮ panaikino galimybę įstaigoms (išskyrus savivaldybės viešojo administravimo įstaigas) turėti administracijos padalinius poskyrius. Praktikoje susidarys situacija, kai nelikus poskyriams, administracijos padalinio skyriaus vadovas turės daugybę pavaldinių (pvz. nelikus Valstybinės mokesčių inspekcijos Kauno skyriaus Kaišiadorių, Jonavos, Kėdainių, Prienų, Raseinių poskyrių Kauno skyriaus vedėjas turės apie 60 tiesioginių pavaldinių), todėl organizuoti, kontroliuoti visų buvusių poskyrių darbuotojų darbą </w:t>
            </w:r>
            <w:r w:rsidRPr="00C46B07">
              <w:rPr>
                <w:rFonts w:ascii="Times New Roman" w:hAnsi="Times New Roman" w:cs="Times New Roman"/>
                <w:sz w:val="24"/>
                <w:szCs w:val="24"/>
              </w:rPr>
              <w:lastRenderedPageBreak/>
              <w:t>jis nepajėgs fiziškai. Tačiau įstaigos vadovas galės paskirti patarėjus, turinčius pavaldžių asmenų, kurie iš esmės vykdys poskyrio vadovo funkcijas.</w:t>
            </w:r>
          </w:p>
          <w:p w14:paraId="2EE0496B" w14:textId="40E6ABB1" w:rsidR="00006685" w:rsidRPr="00C46B07" w:rsidRDefault="00006685" w:rsidP="000B2974">
            <w:pPr>
              <w:rPr>
                <w:rFonts w:ascii="Times New Roman" w:hAnsi="Times New Roman" w:cs="Times New Roman"/>
                <w:sz w:val="24"/>
                <w:szCs w:val="24"/>
              </w:rPr>
            </w:pPr>
            <w:r w:rsidRPr="00C46B07">
              <w:rPr>
                <w:rFonts w:ascii="Times New Roman" w:hAnsi="Times New Roman" w:cs="Times New Roman"/>
                <w:sz w:val="24"/>
                <w:szCs w:val="24"/>
              </w:rPr>
              <w:t xml:space="preserve">Taigi, tik įstaigos vadovas turi teisę pats nuspręsti kaip organizuoti įstaigos darbą ir </w:t>
            </w:r>
            <w:proofErr w:type="spellStart"/>
            <w:r w:rsidRPr="00C46B07">
              <w:rPr>
                <w:rFonts w:ascii="Times New Roman" w:hAnsi="Times New Roman" w:cs="Times New Roman"/>
                <w:sz w:val="24"/>
                <w:szCs w:val="24"/>
              </w:rPr>
              <w:t>keliapakop</w:t>
            </w:r>
            <w:r>
              <w:rPr>
                <w:rFonts w:ascii="Times New Roman" w:hAnsi="Times New Roman" w:cs="Times New Roman"/>
                <w:sz w:val="24"/>
                <w:szCs w:val="24"/>
              </w:rPr>
              <w:t>ę</w:t>
            </w:r>
            <w:proofErr w:type="spellEnd"/>
            <w:r w:rsidRPr="00C46B07">
              <w:rPr>
                <w:rFonts w:ascii="Times New Roman" w:hAnsi="Times New Roman" w:cs="Times New Roman"/>
                <w:sz w:val="24"/>
                <w:szCs w:val="24"/>
              </w:rPr>
              <w:t xml:space="preserve"> hierarchinę sistemą taikyti.</w:t>
            </w:r>
          </w:p>
        </w:tc>
      </w:tr>
      <w:tr w:rsidR="00C46B07" w:rsidRPr="00C46B07" w14:paraId="7CCB305B" w14:textId="77777777" w:rsidTr="00006685">
        <w:tc>
          <w:tcPr>
            <w:tcW w:w="1085" w:type="dxa"/>
          </w:tcPr>
          <w:p w14:paraId="169880AB" w14:textId="087F5FC9" w:rsidR="00CA1B68" w:rsidRPr="00C46B07" w:rsidRDefault="00CA1B68" w:rsidP="00782882">
            <w:pPr>
              <w:pStyle w:val="Sraopastraipa"/>
              <w:numPr>
                <w:ilvl w:val="0"/>
                <w:numId w:val="1"/>
              </w:numPr>
              <w:rPr>
                <w:rFonts w:ascii="Times New Roman" w:hAnsi="Times New Roman" w:cs="Times New Roman"/>
                <w:sz w:val="24"/>
                <w:szCs w:val="24"/>
              </w:rPr>
            </w:pPr>
          </w:p>
        </w:tc>
        <w:tc>
          <w:tcPr>
            <w:tcW w:w="1524" w:type="dxa"/>
            <w:tcBorders>
              <w:top w:val="nil"/>
            </w:tcBorders>
          </w:tcPr>
          <w:p w14:paraId="738CCC1A" w14:textId="77777777" w:rsidR="00CA1B68" w:rsidRPr="00C46B07" w:rsidRDefault="00CA1B68" w:rsidP="00782882">
            <w:pPr>
              <w:rPr>
                <w:rFonts w:ascii="Times New Roman" w:hAnsi="Times New Roman" w:cs="Times New Roman"/>
                <w:sz w:val="24"/>
                <w:szCs w:val="24"/>
              </w:rPr>
            </w:pPr>
          </w:p>
        </w:tc>
        <w:tc>
          <w:tcPr>
            <w:tcW w:w="7025" w:type="dxa"/>
          </w:tcPr>
          <w:p w14:paraId="7B7EF32F" w14:textId="77777777" w:rsidR="00CA1B68" w:rsidRPr="00C46B07" w:rsidRDefault="005E7EA9" w:rsidP="00782882">
            <w:pPr>
              <w:rPr>
                <w:rFonts w:ascii="Times New Roman" w:hAnsi="Times New Roman" w:cs="Times New Roman"/>
                <w:sz w:val="24"/>
                <w:szCs w:val="24"/>
              </w:rPr>
            </w:pPr>
            <w:r w:rsidRPr="00C46B07">
              <w:rPr>
                <w:rFonts w:ascii="Times New Roman" w:hAnsi="Times New Roman" w:cs="Times New Roman"/>
                <w:sz w:val="24"/>
                <w:szCs w:val="24"/>
              </w:rPr>
              <w:t>21</w:t>
            </w:r>
            <w:r w:rsidR="00CA1B68" w:rsidRPr="00C46B07">
              <w:rPr>
                <w:rFonts w:ascii="Times New Roman" w:hAnsi="Times New Roman" w:cs="Times New Roman"/>
                <w:sz w:val="24"/>
                <w:szCs w:val="24"/>
              </w:rPr>
              <w:t>. Metodikos 2 priedo ** pastabos turinys neatitinka lentelėje nustatomų išsilavinimo reikalavimų. Lentelėje nenumatyta galimybė reikalauti ir bakalauro ir magistro kvalifikacinių laipsnių. Be to, pastaboje neįvertinamas atvejis, kai magistro kvalifikacinis laipsnis įgyjamas vientisųjų studijų metu. Taip pat atkreipiame dėmesį, kad turėtų būti vartojama konstrukcija „...krypties bakalauro ir magistro kvalifikacinis laipsnis“.</w:t>
            </w:r>
          </w:p>
        </w:tc>
        <w:tc>
          <w:tcPr>
            <w:tcW w:w="5245" w:type="dxa"/>
          </w:tcPr>
          <w:p w14:paraId="144910F5" w14:textId="07FAA4A3" w:rsidR="000F003F" w:rsidRPr="00C46B07" w:rsidRDefault="000F003F" w:rsidP="00782882">
            <w:pPr>
              <w:rPr>
                <w:rFonts w:ascii="Times New Roman" w:hAnsi="Times New Roman" w:cs="Times New Roman"/>
                <w:sz w:val="24"/>
                <w:szCs w:val="24"/>
              </w:rPr>
            </w:pPr>
            <w:r w:rsidRPr="00C46B07">
              <w:rPr>
                <w:rFonts w:ascii="Times New Roman" w:hAnsi="Times New Roman" w:cs="Times New Roman"/>
                <w:b/>
                <w:sz w:val="24"/>
                <w:szCs w:val="24"/>
              </w:rPr>
              <w:t>Neatsižvelgta</w:t>
            </w:r>
          </w:p>
          <w:p w14:paraId="668E5120" w14:textId="5D35CBEA" w:rsidR="000F003F" w:rsidRPr="00C46B07" w:rsidRDefault="000F003F" w:rsidP="00C46B07">
            <w:pPr>
              <w:rPr>
                <w:rFonts w:ascii="Times New Roman" w:hAnsi="Times New Roman" w:cs="Times New Roman"/>
                <w:sz w:val="24"/>
                <w:szCs w:val="24"/>
              </w:rPr>
            </w:pPr>
            <w:r w:rsidRPr="00C46B07">
              <w:rPr>
                <w:rFonts w:ascii="Times New Roman" w:hAnsi="Times New Roman" w:cs="Times New Roman"/>
                <w:sz w:val="24"/>
                <w:szCs w:val="24"/>
              </w:rPr>
              <w:t xml:space="preserve">Žr. pastabą </w:t>
            </w:r>
            <w:r w:rsidR="00C46B07" w:rsidRPr="00C46B07">
              <w:rPr>
                <w:rFonts w:ascii="Times New Roman" w:hAnsi="Times New Roman" w:cs="Times New Roman"/>
                <w:sz w:val="24"/>
                <w:szCs w:val="24"/>
              </w:rPr>
              <w:t>e</w:t>
            </w:r>
            <w:r w:rsidRPr="00C46B07">
              <w:rPr>
                <w:rFonts w:ascii="Times New Roman" w:hAnsi="Times New Roman" w:cs="Times New Roman"/>
                <w:sz w:val="24"/>
                <w:szCs w:val="24"/>
              </w:rPr>
              <w:t xml:space="preserve">il. </w:t>
            </w:r>
            <w:r w:rsidR="00C46B07" w:rsidRPr="00C46B07">
              <w:rPr>
                <w:rFonts w:ascii="Times New Roman" w:hAnsi="Times New Roman" w:cs="Times New Roman"/>
                <w:sz w:val="24"/>
                <w:szCs w:val="24"/>
              </w:rPr>
              <w:t>N</w:t>
            </w:r>
            <w:r w:rsidRPr="00C46B07">
              <w:rPr>
                <w:rFonts w:ascii="Times New Roman" w:hAnsi="Times New Roman" w:cs="Times New Roman"/>
                <w:sz w:val="24"/>
                <w:szCs w:val="24"/>
              </w:rPr>
              <w:t xml:space="preserve">r. </w:t>
            </w:r>
            <w:r w:rsidR="00867D63" w:rsidRPr="00C46B07">
              <w:rPr>
                <w:rFonts w:ascii="Times New Roman" w:hAnsi="Times New Roman" w:cs="Times New Roman"/>
                <w:sz w:val="24"/>
                <w:szCs w:val="24"/>
              </w:rPr>
              <w:t>7</w:t>
            </w:r>
            <w:r w:rsidR="00BF24D3">
              <w:rPr>
                <w:rFonts w:ascii="Times New Roman" w:hAnsi="Times New Roman" w:cs="Times New Roman"/>
                <w:sz w:val="24"/>
                <w:szCs w:val="24"/>
              </w:rPr>
              <w:t>.</w:t>
            </w:r>
          </w:p>
        </w:tc>
      </w:tr>
      <w:tr w:rsidR="00C46B07" w:rsidRPr="00C46B07" w14:paraId="4BBE5525" w14:textId="77777777" w:rsidTr="00455E9B">
        <w:tc>
          <w:tcPr>
            <w:tcW w:w="1085" w:type="dxa"/>
          </w:tcPr>
          <w:p w14:paraId="2273DADE" w14:textId="77777777" w:rsidR="00CA1B68" w:rsidRPr="00C46B07" w:rsidRDefault="00CA1B68" w:rsidP="00782882">
            <w:pPr>
              <w:pStyle w:val="Sraopastraipa"/>
              <w:numPr>
                <w:ilvl w:val="0"/>
                <w:numId w:val="1"/>
              </w:numPr>
              <w:rPr>
                <w:rFonts w:ascii="Times New Roman" w:hAnsi="Times New Roman" w:cs="Times New Roman"/>
                <w:sz w:val="24"/>
                <w:szCs w:val="24"/>
              </w:rPr>
            </w:pPr>
          </w:p>
        </w:tc>
        <w:tc>
          <w:tcPr>
            <w:tcW w:w="1524" w:type="dxa"/>
          </w:tcPr>
          <w:p w14:paraId="51A03164" w14:textId="77777777" w:rsidR="00CA1B68" w:rsidRPr="00C46B07" w:rsidRDefault="00CA1B68" w:rsidP="00782882">
            <w:pPr>
              <w:rPr>
                <w:rFonts w:ascii="Times New Roman" w:hAnsi="Times New Roman" w:cs="Times New Roman"/>
                <w:sz w:val="24"/>
                <w:szCs w:val="24"/>
              </w:rPr>
            </w:pPr>
            <w:r w:rsidRPr="00C46B07">
              <w:rPr>
                <w:rFonts w:ascii="Times New Roman" w:hAnsi="Times New Roman" w:cs="Times New Roman"/>
                <w:sz w:val="24"/>
                <w:szCs w:val="24"/>
              </w:rPr>
              <w:t>K</w:t>
            </w:r>
            <w:r w:rsidR="005E7EA9" w:rsidRPr="00C46B07">
              <w:rPr>
                <w:rFonts w:ascii="Times New Roman" w:hAnsi="Times New Roman" w:cs="Times New Roman"/>
                <w:sz w:val="24"/>
                <w:szCs w:val="24"/>
              </w:rPr>
              <w:t>rašto apsaugos ministerijos 2018-10-09 raštas Nr. 12-01-144</w:t>
            </w:r>
          </w:p>
        </w:tc>
        <w:tc>
          <w:tcPr>
            <w:tcW w:w="7025" w:type="dxa"/>
          </w:tcPr>
          <w:p w14:paraId="0993B2C2" w14:textId="77777777" w:rsidR="00CA1B68" w:rsidRPr="00C46B07" w:rsidRDefault="005E7EA9" w:rsidP="00782882">
            <w:pPr>
              <w:pStyle w:val="Pagrindinistekstas"/>
              <w:tabs>
                <w:tab w:val="left" w:pos="1134"/>
              </w:tabs>
              <w:spacing w:after="0"/>
              <w:jc w:val="both"/>
            </w:pPr>
            <w:r w:rsidRPr="00C46B07">
              <w:t xml:space="preserve">1. </w:t>
            </w:r>
            <w:r w:rsidR="00617E67" w:rsidRPr="00C46B07">
              <w:t>Nutarimo projektu tvirtinamos Valstybės tarnautojų pareigybių aprašymo ir vertinimo metodikos (toliau – Metodika) 2 punkte pateiktos vadovų pareigybių ir specialistų pareigybių apibrėžtys. Pagal šias apibrėžtis vyriausiojo patarėjo, vyresniojo patarėjo, patarėjo pareigybės gali būti priskirtos tiek prie vadovų, tiek prie specialistų pareigybių, priklausomai nuo to, ar vyriausiasis patarėjas, vyresnysis patarėjas, patarėjas turi pavaldžių asmenų, ar ne. Atkreiptinas dėmesys į tai, kad Lietuvos Respublikos valstybės tarnybos įstatymo Nr. VIII-1316 pakeitimo įstatymo</w:t>
            </w:r>
            <w:r w:rsidRPr="00C46B07">
              <w:t xml:space="preserve"> </w:t>
            </w:r>
            <w:r w:rsidR="00617E67" w:rsidRPr="00C46B07">
              <w:t>Nr. XIII-1370 (toliau – Įstatymas) 1 priede toks minėtų pareigybių skirstymas nenumatytas, todėl kyla abejonių, ar tokio turinio apibrėžtys neprieštarauja šiam Įstatymui. Taip pat atkreiptinas dėmesys į tai, kad vadovų pareigybių apibrėžtyje yra neįtrauktas „grupės vadovas“. Be to, Metodikoje ir jos prieduose vartojamas sąvokas „valstybės tarnautojo lygmuo“ bei „pareigybės lygmuo“ siūlome keisti į Įstatyme vartojamą sąvoką „pareigybių grupė“.</w:t>
            </w:r>
          </w:p>
        </w:tc>
        <w:tc>
          <w:tcPr>
            <w:tcW w:w="5245" w:type="dxa"/>
          </w:tcPr>
          <w:p w14:paraId="6E961B34" w14:textId="76B712FE" w:rsidR="000F003F" w:rsidRPr="00C46B07" w:rsidRDefault="000F003F" w:rsidP="00782882">
            <w:pPr>
              <w:rPr>
                <w:rFonts w:ascii="Times New Roman" w:hAnsi="Times New Roman" w:cs="Times New Roman"/>
                <w:sz w:val="24"/>
                <w:szCs w:val="24"/>
              </w:rPr>
            </w:pPr>
            <w:r w:rsidRPr="00C46B07">
              <w:rPr>
                <w:rFonts w:ascii="Times New Roman" w:hAnsi="Times New Roman" w:cs="Times New Roman"/>
                <w:b/>
                <w:sz w:val="24"/>
                <w:szCs w:val="24"/>
              </w:rPr>
              <w:t>Atsižvelgta iš dalies</w:t>
            </w:r>
            <w:r w:rsidRPr="00C46B07">
              <w:rPr>
                <w:rFonts w:ascii="Times New Roman" w:hAnsi="Times New Roman" w:cs="Times New Roman"/>
                <w:sz w:val="24"/>
                <w:szCs w:val="24"/>
              </w:rPr>
              <w:t>.</w:t>
            </w:r>
            <w:r w:rsidR="00617E67" w:rsidRPr="00C46B07">
              <w:rPr>
                <w:rFonts w:ascii="Times New Roman" w:hAnsi="Times New Roman" w:cs="Times New Roman"/>
                <w:sz w:val="24"/>
                <w:szCs w:val="24"/>
              </w:rPr>
              <w:t xml:space="preserve"> </w:t>
            </w:r>
          </w:p>
          <w:p w14:paraId="0F0F72F4" w14:textId="0086CE86" w:rsidR="000F003F" w:rsidRPr="00C46B07" w:rsidRDefault="000F003F" w:rsidP="00782882">
            <w:pPr>
              <w:rPr>
                <w:rFonts w:ascii="Times New Roman" w:hAnsi="Times New Roman" w:cs="Times New Roman"/>
                <w:sz w:val="24"/>
                <w:szCs w:val="24"/>
              </w:rPr>
            </w:pPr>
            <w:r w:rsidRPr="00C46B07">
              <w:rPr>
                <w:rFonts w:ascii="Times New Roman" w:hAnsi="Times New Roman" w:cs="Times New Roman"/>
                <w:sz w:val="24"/>
                <w:szCs w:val="24"/>
              </w:rPr>
              <w:t xml:space="preserve">Metodikos </w:t>
            </w:r>
            <w:r w:rsidR="00C46B07" w:rsidRPr="00C46B07">
              <w:rPr>
                <w:rFonts w:ascii="Times New Roman" w:hAnsi="Times New Roman" w:cs="Times New Roman"/>
                <w:sz w:val="24"/>
                <w:szCs w:val="24"/>
              </w:rPr>
              <w:t>8</w:t>
            </w:r>
            <w:r w:rsidRPr="00C46B07">
              <w:rPr>
                <w:rFonts w:ascii="Times New Roman" w:hAnsi="Times New Roman" w:cs="Times New Roman"/>
                <w:sz w:val="24"/>
                <w:szCs w:val="24"/>
              </w:rPr>
              <w:t>.1 papunktyje</w:t>
            </w:r>
            <w:r w:rsidR="00C46B07" w:rsidRPr="00C46B07">
              <w:rPr>
                <w:rFonts w:ascii="Times New Roman" w:hAnsi="Times New Roman" w:cs="Times New Roman"/>
                <w:sz w:val="24"/>
                <w:szCs w:val="24"/>
              </w:rPr>
              <w:t xml:space="preserve"> (buvęs 2.1 p.)</w:t>
            </w:r>
            <w:r w:rsidRPr="00C46B07">
              <w:rPr>
                <w:rFonts w:ascii="Times New Roman" w:hAnsi="Times New Roman" w:cs="Times New Roman"/>
                <w:sz w:val="24"/>
                <w:szCs w:val="24"/>
              </w:rPr>
              <w:t xml:space="preserve"> vadovų lygmens pareigybei priskirta ir grupės </w:t>
            </w:r>
            <w:r w:rsidR="008B1403" w:rsidRPr="00C46B07">
              <w:rPr>
                <w:rFonts w:ascii="Times New Roman" w:hAnsi="Times New Roman" w:cs="Times New Roman"/>
                <w:sz w:val="24"/>
                <w:szCs w:val="24"/>
              </w:rPr>
              <w:t>vadovo pareigybė.</w:t>
            </w:r>
          </w:p>
          <w:p w14:paraId="023D5F66" w14:textId="74B060AD" w:rsidR="00617E67" w:rsidRPr="00C46B07" w:rsidRDefault="00617E67" w:rsidP="00782882">
            <w:pPr>
              <w:rPr>
                <w:rFonts w:ascii="Times New Roman" w:hAnsi="Times New Roman" w:cs="Times New Roman"/>
                <w:sz w:val="24"/>
                <w:szCs w:val="24"/>
              </w:rPr>
            </w:pPr>
            <w:r w:rsidRPr="00C46B07">
              <w:rPr>
                <w:rFonts w:ascii="Times New Roman" w:hAnsi="Times New Roman" w:cs="Times New Roman"/>
                <w:sz w:val="24"/>
                <w:szCs w:val="24"/>
              </w:rPr>
              <w:t>VTĮ, įsigaliosiančio 2019-01-01, 1 priede nustatytos valstybės tarnautojų grupės, kurios</w:t>
            </w:r>
            <w:r w:rsidR="00C46B07" w:rsidRPr="00C46B07">
              <w:rPr>
                <w:rFonts w:ascii="Times New Roman" w:hAnsi="Times New Roman" w:cs="Times New Roman"/>
                <w:sz w:val="24"/>
                <w:szCs w:val="24"/>
              </w:rPr>
              <w:t>,</w:t>
            </w:r>
            <w:r w:rsidRPr="00C46B07">
              <w:rPr>
                <w:rFonts w:ascii="Times New Roman" w:hAnsi="Times New Roman" w:cs="Times New Roman"/>
                <w:sz w:val="24"/>
                <w:szCs w:val="24"/>
              </w:rPr>
              <w:t xml:space="preserve"> be kita ko </w:t>
            </w:r>
            <w:r w:rsidR="00C46B07" w:rsidRPr="00C46B07">
              <w:rPr>
                <w:rFonts w:ascii="Times New Roman" w:hAnsi="Times New Roman" w:cs="Times New Roman"/>
                <w:sz w:val="24"/>
                <w:szCs w:val="24"/>
              </w:rPr>
              <w:t>,</w:t>
            </w:r>
            <w:r w:rsidRPr="00C46B07">
              <w:rPr>
                <w:rFonts w:ascii="Times New Roman" w:hAnsi="Times New Roman" w:cs="Times New Roman"/>
                <w:sz w:val="24"/>
                <w:szCs w:val="24"/>
              </w:rPr>
              <w:t xml:space="preserve">apima ir patarėjų, vyresniųjų patarėjų ir vyriausiųjų patarėjų (toliau kartu – Patarėjai) pareigybes. Metodikoje Patarėjų pareigybėse siūloma numatyti ir vadovaujančias </w:t>
            </w:r>
            <w:r w:rsidRPr="00C46B07">
              <w:rPr>
                <w:rFonts w:ascii="Times New Roman" w:hAnsi="Times New Roman" w:cs="Times New Roman"/>
                <w:i/>
                <w:sz w:val="24"/>
                <w:szCs w:val="24"/>
              </w:rPr>
              <w:t>funkcijas.</w:t>
            </w:r>
            <w:r w:rsidRPr="00C46B07">
              <w:rPr>
                <w:rFonts w:ascii="Times New Roman" w:hAnsi="Times New Roman" w:cs="Times New Roman"/>
                <w:sz w:val="24"/>
                <w:szCs w:val="24"/>
              </w:rPr>
              <w:t xml:space="preserve"> Atsižvelgdami į tai, manome, kad </w:t>
            </w:r>
            <w:r w:rsidRPr="00C46B07">
              <w:rPr>
                <w:rFonts w:ascii="Times New Roman" w:hAnsi="Times New Roman" w:cs="Times New Roman"/>
                <w:i/>
                <w:sz w:val="24"/>
                <w:szCs w:val="24"/>
              </w:rPr>
              <w:t>vadovavimo funkcijos</w:t>
            </w:r>
            <w:r w:rsidRPr="00C46B07">
              <w:rPr>
                <w:rFonts w:ascii="Times New Roman" w:hAnsi="Times New Roman" w:cs="Times New Roman"/>
                <w:sz w:val="24"/>
                <w:szCs w:val="24"/>
              </w:rPr>
              <w:t xml:space="preserve"> priskyrimas Patarėjų pareigybėms nėra nauja pareigybė VTĮ prasme.</w:t>
            </w:r>
          </w:p>
          <w:p w14:paraId="4AAC36C7" w14:textId="73DCAB45" w:rsidR="00CA1B68" w:rsidRPr="00C46B07" w:rsidRDefault="00617E67" w:rsidP="00782882">
            <w:pPr>
              <w:rPr>
                <w:rFonts w:ascii="Times New Roman" w:hAnsi="Times New Roman" w:cs="Times New Roman"/>
                <w:sz w:val="24"/>
                <w:szCs w:val="24"/>
              </w:rPr>
            </w:pPr>
            <w:r w:rsidRPr="00C46B07">
              <w:rPr>
                <w:rFonts w:ascii="Times New Roman" w:hAnsi="Times New Roman" w:cs="Times New Roman"/>
                <w:sz w:val="24"/>
                <w:szCs w:val="24"/>
              </w:rPr>
              <w:t>VTĮ 1 priede naudojama „pareigybių grupių“</w:t>
            </w:r>
            <w:r w:rsidR="0076349F" w:rsidRPr="00C46B07">
              <w:rPr>
                <w:rFonts w:ascii="Times New Roman" w:hAnsi="Times New Roman" w:cs="Times New Roman"/>
                <w:sz w:val="24"/>
                <w:szCs w:val="24"/>
              </w:rPr>
              <w:t xml:space="preserve"> terminas</w:t>
            </w:r>
            <w:r w:rsidRPr="00C46B07">
              <w:rPr>
                <w:rFonts w:ascii="Times New Roman" w:hAnsi="Times New Roman" w:cs="Times New Roman"/>
                <w:sz w:val="24"/>
                <w:szCs w:val="24"/>
              </w:rPr>
              <w:t xml:space="preserve"> yra naudojama</w:t>
            </w:r>
            <w:r w:rsidR="0076349F" w:rsidRPr="00C46B07">
              <w:rPr>
                <w:rFonts w:ascii="Times New Roman" w:hAnsi="Times New Roman" w:cs="Times New Roman"/>
                <w:sz w:val="24"/>
                <w:szCs w:val="24"/>
              </w:rPr>
              <w:t>s</w:t>
            </w:r>
            <w:r w:rsidRPr="00C46B07">
              <w:rPr>
                <w:rFonts w:ascii="Times New Roman" w:hAnsi="Times New Roman" w:cs="Times New Roman"/>
                <w:sz w:val="24"/>
                <w:szCs w:val="24"/>
              </w:rPr>
              <w:t xml:space="preserve"> </w:t>
            </w:r>
            <w:r w:rsidR="0076349F" w:rsidRPr="00C46B07">
              <w:rPr>
                <w:rFonts w:ascii="Times New Roman" w:hAnsi="Times New Roman" w:cs="Times New Roman"/>
                <w:sz w:val="24"/>
                <w:szCs w:val="24"/>
              </w:rPr>
              <w:t xml:space="preserve">pareiginės algos koeficientams diferencijuoti, tuo tarpu Metodikoje naudojamas terminas „pareigybės lygmuo“ </w:t>
            </w:r>
            <w:r w:rsidR="00BF24D3">
              <w:rPr>
                <w:rFonts w:ascii="Times New Roman" w:hAnsi="Times New Roman" w:cs="Times New Roman"/>
                <w:sz w:val="24"/>
                <w:szCs w:val="24"/>
              </w:rPr>
              <w:t xml:space="preserve">norint </w:t>
            </w:r>
            <w:r w:rsidR="0076349F" w:rsidRPr="00C46B07">
              <w:rPr>
                <w:rFonts w:ascii="Times New Roman" w:hAnsi="Times New Roman" w:cs="Times New Roman"/>
                <w:sz w:val="24"/>
                <w:szCs w:val="24"/>
              </w:rPr>
              <w:t xml:space="preserve">skirtas pareigybių grupes sugrupuoti pagal pareigybėms taikomus kompetencijų ir specialiuosius tipinius reikalavimus. </w:t>
            </w:r>
          </w:p>
        </w:tc>
      </w:tr>
    </w:tbl>
    <w:p w14:paraId="5FD55903" w14:textId="5F21F8EA" w:rsidR="00616C15" w:rsidRPr="00C46B07" w:rsidRDefault="00B3094C" w:rsidP="00B3094C">
      <w:pPr>
        <w:spacing w:after="0" w:line="240" w:lineRule="auto"/>
        <w:jc w:val="center"/>
        <w:rPr>
          <w:rFonts w:ascii="Times New Roman" w:hAnsi="Times New Roman" w:cs="Times New Roman"/>
          <w:sz w:val="24"/>
          <w:szCs w:val="24"/>
        </w:rPr>
      </w:pPr>
      <w:r w:rsidRPr="00C46B07">
        <w:rPr>
          <w:rFonts w:ascii="Times New Roman" w:hAnsi="Times New Roman" w:cs="Times New Roman"/>
          <w:sz w:val="24"/>
          <w:szCs w:val="24"/>
        </w:rPr>
        <w:t>_____________________________</w:t>
      </w:r>
    </w:p>
    <w:sectPr w:rsidR="00616C15" w:rsidRPr="00C46B07" w:rsidSect="00BF24D3">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84DD8" w14:textId="77777777" w:rsidR="002D3284" w:rsidRDefault="002D3284" w:rsidP="00BF24D3">
      <w:pPr>
        <w:spacing w:after="0" w:line="240" w:lineRule="auto"/>
      </w:pPr>
      <w:r>
        <w:separator/>
      </w:r>
    </w:p>
  </w:endnote>
  <w:endnote w:type="continuationSeparator" w:id="0">
    <w:p w14:paraId="059A63C9" w14:textId="77777777" w:rsidR="002D3284" w:rsidRDefault="002D3284" w:rsidP="00BF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F1C2B" w14:textId="77777777" w:rsidR="002D3284" w:rsidRDefault="002D3284" w:rsidP="00BF24D3">
      <w:pPr>
        <w:spacing w:after="0" w:line="240" w:lineRule="auto"/>
      </w:pPr>
      <w:r>
        <w:separator/>
      </w:r>
    </w:p>
  </w:footnote>
  <w:footnote w:type="continuationSeparator" w:id="0">
    <w:p w14:paraId="54CD87B2" w14:textId="77777777" w:rsidR="002D3284" w:rsidRDefault="002D3284" w:rsidP="00BF2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029003"/>
      <w:docPartObj>
        <w:docPartGallery w:val="Page Numbers (Top of Page)"/>
        <w:docPartUnique/>
      </w:docPartObj>
    </w:sdtPr>
    <w:sdtEndPr/>
    <w:sdtContent>
      <w:p w14:paraId="1F324B04" w14:textId="01E044D2" w:rsidR="00BF24D3" w:rsidRDefault="00BF24D3">
        <w:pPr>
          <w:pStyle w:val="Antrats"/>
          <w:jc w:val="center"/>
        </w:pPr>
        <w:r>
          <w:fldChar w:fldCharType="begin"/>
        </w:r>
        <w:r>
          <w:instrText>PAGE   \* MERGEFORMAT</w:instrText>
        </w:r>
        <w:r>
          <w:fldChar w:fldCharType="separate"/>
        </w:r>
        <w:r w:rsidR="007C4625">
          <w:rPr>
            <w:noProof/>
          </w:rPr>
          <w:t>5</w:t>
        </w:r>
        <w:r>
          <w:fldChar w:fldCharType="end"/>
        </w:r>
      </w:p>
    </w:sdtContent>
  </w:sdt>
  <w:p w14:paraId="1804C070" w14:textId="77777777" w:rsidR="00BF24D3" w:rsidRDefault="00BF24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22CB"/>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D510E0"/>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268418F"/>
    <w:multiLevelType w:val="hybridMultilevel"/>
    <w:tmpl w:val="054238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EE4F4D"/>
    <w:multiLevelType w:val="hybridMultilevel"/>
    <w:tmpl w:val="D5FCD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D36B94"/>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6479C0"/>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D8A6479"/>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A5C3A90"/>
    <w:multiLevelType w:val="hybridMultilevel"/>
    <w:tmpl w:val="A990A06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67194E"/>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4BA24B89"/>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FD86600"/>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53B51F23"/>
    <w:multiLevelType w:val="hybridMultilevel"/>
    <w:tmpl w:val="077A50C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526108"/>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39C1184"/>
    <w:multiLevelType w:val="hybridMultilevel"/>
    <w:tmpl w:val="8CE83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051BC7"/>
    <w:multiLevelType w:val="hybridMultilevel"/>
    <w:tmpl w:val="DADA665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757BBC"/>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7AC64365"/>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7AEC72B6"/>
    <w:multiLevelType w:val="hybridMultilevel"/>
    <w:tmpl w:val="BDDE5F40"/>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ED152B"/>
    <w:multiLevelType w:val="hybridMultilevel"/>
    <w:tmpl w:val="95902D2E"/>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6"/>
  </w:num>
  <w:num w:numId="3">
    <w:abstractNumId w:val="8"/>
  </w:num>
  <w:num w:numId="4">
    <w:abstractNumId w:val="9"/>
  </w:num>
  <w:num w:numId="5">
    <w:abstractNumId w:val="15"/>
  </w:num>
  <w:num w:numId="6">
    <w:abstractNumId w:val="1"/>
  </w:num>
  <w:num w:numId="7">
    <w:abstractNumId w:val="10"/>
  </w:num>
  <w:num w:numId="8">
    <w:abstractNumId w:val="0"/>
  </w:num>
  <w:num w:numId="9">
    <w:abstractNumId w:val="6"/>
  </w:num>
  <w:num w:numId="10">
    <w:abstractNumId w:val="5"/>
  </w:num>
  <w:num w:numId="11">
    <w:abstractNumId w:val="2"/>
  </w:num>
  <w:num w:numId="12">
    <w:abstractNumId w:val="17"/>
  </w:num>
  <w:num w:numId="13">
    <w:abstractNumId w:val="11"/>
  </w:num>
  <w:num w:numId="14">
    <w:abstractNumId w:val="14"/>
  </w:num>
  <w:num w:numId="15">
    <w:abstractNumId w:val="4"/>
  </w:num>
  <w:num w:numId="16">
    <w:abstractNumId w:val="13"/>
  </w:num>
  <w:num w:numId="17">
    <w:abstractNumId w:val="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45"/>
    <w:rsid w:val="00005DAC"/>
    <w:rsid w:val="00006685"/>
    <w:rsid w:val="000B2974"/>
    <w:rsid w:val="000D6B5D"/>
    <w:rsid w:val="000F003F"/>
    <w:rsid w:val="00144CCB"/>
    <w:rsid w:val="001D27C5"/>
    <w:rsid w:val="002D3284"/>
    <w:rsid w:val="002D6EC1"/>
    <w:rsid w:val="003B75A1"/>
    <w:rsid w:val="00455E9B"/>
    <w:rsid w:val="00456C4E"/>
    <w:rsid w:val="004E79EB"/>
    <w:rsid w:val="00545BFF"/>
    <w:rsid w:val="0059569C"/>
    <w:rsid w:val="00595D54"/>
    <w:rsid w:val="005E5D40"/>
    <w:rsid w:val="005E7EA9"/>
    <w:rsid w:val="00616C15"/>
    <w:rsid w:val="00617E67"/>
    <w:rsid w:val="00641889"/>
    <w:rsid w:val="00667E45"/>
    <w:rsid w:val="00725189"/>
    <w:rsid w:val="0076349F"/>
    <w:rsid w:val="00782882"/>
    <w:rsid w:val="007C4625"/>
    <w:rsid w:val="00820385"/>
    <w:rsid w:val="00867D63"/>
    <w:rsid w:val="00880131"/>
    <w:rsid w:val="008B1403"/>
    <w:rsid w:val="008F55D1"/>
    <w:rsid w:val="00943787"/>
    <w:rsid w:val="00947224"/>
    <w:rsid w:val="00977132"/>
    <w:rsid w:val="009C283A"/>
    <w:rsid w:val="009E601E"/>
    <w:rsid w:val="00A00671"/>
    <w:rsid w:val="00AB414E"/>
    <w:rsid w:val="00AD024D"/>
    <w:rsid w:val="00AF646D"/>
    <w:rsid w:val="00B3094C"/>
    <w:rsid w:val="00B36981"/>
    <w:rsid w:val="00B75B32"/>
    <w:rsid w:val="00BA46C8"/>
    <w:rsid w:val="00BF24D3"/>
    <w:rsid w:val="00BF65F9"/>
    <w:rsid w:val="00C46B07"/>
    <w:rsid w:val="00CA1B68"/>
    <w:rsid w:val="00CE68A2"/>
    <w:rsid w:val="00D738CC"/>
    <w:rsid w:val="00EA768B"/>
    <w:rsid w:val="00F4215A"/>
    <w:rsid w:val="00F648FD"/>
    <w:rsid w:val="00FA2407"/>
    <w:rsid w:val="00FA3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DC00"/>
  <w15:chartTrackingRefBased/>
  <w15:docId w15:val="{DDD7102E-AE44-4214-BE3C-8C17BB6C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A1B68"/>
    <w:pPr>
      <w:keepNext/>
      <w:spacing w:after="0" w:line="240" w:lineRule="auto"/>
      <w:jc w:val="both"/>
      <w:outlineLvl w:val="0"/>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9"/>
    <w:qFormat/>
    <w:rsid w:val="00CA1B68"/>
    <w:pPr>
      <w:keepNext/>
      <w:spacing w:after="0" w:line="240" w:lineRule="auto"/>
      <w:ind w:firstLine="720"/>
      <w:jc w:val="both"/>
      <w:outlineLvl w:val="1"/>
    </w:pPr>
    <w:rPr>
      <w:rFonts w:ascii="Times New Roman" w:eastAsia="Times New Roman" w:hAnsi="Times New Roman"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0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00671"/>
    <w:pPr>
      <w:ind w:left="720"/>
      <w:contextualSpacing/>
    </w:pPr>
  </w:style>
  <w:style w:type="character" w:customStyle="1" w:styleId="Antrat2Diagrama">
    <w:name w:val="Antraštė 2 Diagrama"/>
    <w:basedOn w:val="Numatytasispastraiposriftas"/>
    <w:link w:val="Antrat2"/>
    <w:uiPriority w:val="99"/>
    <w:rsid w:val="00CA1B68"/>
    <w:rPr>
      <w:rFonts w:ascii="Times New Roman" w:eastAsia="Times New Roman" w:hAnsi="Times New Roman" w:cs="Times New Roman"/>
      <w:b/>
      <w:sz w:val="20"/>
      <w:szCs w:val="20"/>
    </w:rPr>
  </w:style>
  <w:style w:type="character" w:customStyle="1" w:styleId="Antrat1Diagrama">
    <w:name w:val="Antraštė 1 Diagrama"/>
    <w:basedOn w:val="Numatytasispastraiposriftas"/>
    <w:link w:val="Antrat1"/>
    <w:uiPriority w:val="99"/>
    <w:rsid w:val="00CA1B68"/>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17E67"/>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617E6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17E67"/>
    <w:rPr>
      <w:sz w:val="16"/>
      <w:szCs w:val="16"/>
    </w:rPr>
  </w:style>
  <w:style w:type="paragraph" w:styleId="Komentarotekstas">
    <w:name w:val="annotation text"/>
    <w:basedOn w:val="prastasis"/>
    <w:link w:val="KomentarotekstasDiagrama"/>
    <w:uiPriority w:val="99"/>
    <w:semiHidden/>
    <w:unhideWhenUsed/>
    <w:rsid w:val="00617E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17E67"/>
    <w:rPr>
      <w:sz w:val="20"/>
      <w:szCs w:val="20"/>
    </w:rPr>
  </w:style>
  <w:style w:type="paragraph" w:styleId="Komentarotema">
    <w:name w:val="annotation subject"/>
    <w:basedOn w:val="Komentarotekstas"/>
    <w:next w:val="Komentarotekstas"/>
    <w:link w:val="KomentarotemaDiagrama"/>
    <w:uiPriority w:val="99"/>
    <w:semiHidden/>
    <w:unhideWhenUsed/>
    <w:rsid w:val="00617E67"/>
    <w:rPr>
      <w:b/>
      <w:bCs/>
    </w:rPr>
  </w:style>
  <w:style w:type="character" w:customStyle="1" w:styleId="KomentarotemaDiagrama">
    <w:name w:val="Komentaro tema Diagrama"/>
    <w:basedOn w:val="KomentarotekstasDiagrama"/>
    <w:link w:val="Komentarotema"/>
    <w:uiPriority w:val="99"/>
    <w:semiHidden/>
    <w:rsid w:val="00617E67"/>
    <w:rPr>
      <w:b/>
      <w:bCs/>
      <w:sz w:val="20"/>
      <w:szCs w:val="20"/>
    </w:rPr>
  </w:style>
  <w:style w:type="paragraph" w:styleId="Debesliotekstas">
    <w:name w:val="Balloon Text"/>
    <w:basedOn w:val="prastasis"/>
    <w:link w:val="DebesliotekstasDiagrama"/>
    <w:uiPriority w:val="99"/>
    <w:semiHidden/>
    <w:unhideWhenUsed/>
    <w:rsid w:val="00617E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E67"/>
    <w:rPr>
      <w:rFonts w:ascii="Segoe UI" w:hAnsi="Segoe UI" w:cs="Segoe UI"/>
      <w:sz w:val="18"/>
      <w:szCs w:val="18"/>
    </w:rPr>
  </w:style>
  <w:style w:type="paragraph" w:styleId="Antrats">
    <w:name w:val="header"/>
    <w:basedOn w:val="prastasis"/>
    <w:link w:val="AntratsDiagrama"/>
    <w:uiPriority w:val="99"/>
    <w:unhideWhenUsed/>
    <w:rsid w:val="00BF24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24D3"/>
  </w:style>
  <w:style w:type="paragraph" w:styleId="Porat">
    <w:name w:val="footer"/>
    <w:basedOn w:val="prastasis"/>
    <w:link w:val="PoratDiagrama"/>
    <w:uiPriority w:val="99"/>
    <w:unhideWhenUsed/>
    <w:rsid w:val="00BF24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687E-40EB-474A-B486-D1BC86F1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9589</Words>
  <Characters>5467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Guščiūtė</dc:creator>
  <cp:keywords/>
  <dc:description/>
  <cp:lastModifiedBy>Janina Guščiūtė</cp:lastModifiedBy>
  <cp:revision>23</cp:revision>
  <dcterms:created xsi:type="dcterms:W3CDTF">2018-10-10T07:05:00Z</dcterms:created>
  <dcterms:modified xsi:type="dcterms:W3CDTF">2018-10-26T11:18:00Z</dcterms:modified>
</cp:coreProperties>
</file>