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5827" w:rsidRPr="005E4DAE" w:rsidRDefault="003D5827" w:rsidP="002D3CDA">
      <w:pPr>
        <w:spacing w:after="0" w:line="240" w:lineRule="auto"/>
        <w:jc w:val="center"/>
        <w:rPr>
          <w:rFonts w:ascii="Times New Roman" w:hAnsi="Times New Roman" w:cs="Times New Roman"/>
          <w:b/>
          <w:bCs/>
          <w:sz w:val="24"/>
          <w:szCs w:val="24"/>
          <w:lang w:val="lt-LT"/>
        </w:rPr>
      </w:pPr>
      <w:r w:rsidRPr="005E4DAE">
        <w:rPr>
          <w:rFonts w:ascii="Times New Roman" w:hAnsi="Times New Roman" w:cs="Times New Roman"/>
          <w:b/>
          <w:bCs/>
          <w:sz w:val="24"/>
          <w:szCs w:val="24"/>
          <w:lang w:val="lt-LT"/>
        </w:rPr>
        <w:t>LIETUVOS RESPUBLIKOS</w:t>
      </w:r>
    </w:p>
    <w:p w:rsidR="003D5827" w:rsidRDefault="003D5827" w:rsidP="002D3CDA">
      <w:pPr>
        <w:tabs>
          <w:tab w:val="left" w:pos="0"/>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aps/>
          <w:sz w:val="24"/>
          <w:szCs w:val="24"/>
          <w:lang w:val="lt-LT"/>
        </w:rPr>
      </w:pPr>
      <w:r w:rsidRPr="005E4DAE">
        <w:rPr>
          <w:rFonts w:ascii="Times New Roman" w:hAnsi="Times New Roman" w:cs="Times New Roman"/>
          <w:b/>
          <w:sz w:val="24"/>
          <w:szCs w:val="24"/>
          <w:lang w:val="lt-LT" w:eastAsia="lt-LT"/>
        </w:rPr>
        <w:t xml:space="preserve">NARKOTINIŲ IR PSICHOTROPINIŲ MEDŽIAGŲ PIRMTAKŲ (PREKURSORIŲ) KONTROLĖS ĮSTATYMO </w:t>
      </w:r>
      <w:r w:rsidRPr="005E4DAE">
        <w:rPr>
          <w:rFonts w:ascii="Times New Roman" w:hAnsi="Times New Roman" w:cs="Times New Roman"/>
          <w:b/>
          <w:sz w:val="24"/>
          <w:szCs w:val="24"/>
          <w:lang w:val="lt-LT"/>
        </w:rPr>
        <w:t xml:space="preserve">NR. VIII–1207 </w:t>
      </w:r>
      <w:r w:rsidRPr="005E4DAE">
        <w:rPr>
          <w:rFonts w:ascii="Times New Roman" w:hAnsi="Times New Roman" w:cs="Times New Roman"/>
          <w:b/>
          <w:sz w:val="24"/>
          <w:szCs w:val="24"/>
          <w:lang w:val="lt-LT" w:eastAsia="lt-LT"/>
        </w:rPr>
        <w:t>PAKEITIMO  ĮSTATYMO PROJEKTO</w:t>
      </w:r>
      <w:r w:rsidRPr="005E4DAE">
        <w:rPr>
          <w:rFonts w:ascii="Times New Roman" w:hAnsi="Times New Roman" w:cs="Times New Roman"/>
          <w:b/>
          <w:bCs/>
          <w:caps/>
          <w:sz w:val="24"/>
          <w:szCs w:val="24"/>
          <w:lang w:val="lt-LT"/>
        </w:rPr>
        <w:t xml:space="preserve"> Derinimo pažyma</w:t>
      </w:r>
    </w:p>
    <w:p w:rsidR="003D5827" w:rsidRPr="005E4DAE" w:rsidRDefault="003D5827" w:rsidP="002D3CDA">
      <w:pPr>
        <w:tabs>
          <w:tab w:val="left" w:pos="0"/>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lt-LT" w:eastAsia="lt-LT"/>
        </w:rPr>
      </w:pP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4"/>
        <w:gridCol w:w="4937"/>
        <w:gridCol w:w="7655"/>
      </w:tblGrid>
      <w:tr w:rsidR="003D5827" w:rsidRPr="005E4DAE" w:rsidTr="00845C04">
        <w:tc>
          <w:tcPr>
            <w:tcW w:w="1584" w:type="dxa"/>
          </w:tcPr>
          <w:p w:rsidR="003D5827" w:rsidRPr="005E4DAE" w:rsidRDefault="003D5827" w:rsidP="002D3CDA">
            <w:pPr>
              <w:spacing w:after="0" w:line="240" w:lineRule="auto"/>
              <w:jc w:val="both"/>
              <w:rPr>
                <w:rFonts w:ascii="Times New Roman" w:hAnsi="Times New Roman" w:cs="Times New Roman"/>
                <w:b/>
                <w:bCs/>
                <w:sz w:val="24"/>
                <w:szCs w:val="24"/>
                <w:lang w:val="lt-LT"/>
              </w:rPr>
            </w:pPr>
            <w:r w:rsidRPr="005E4DAE">
              <w:rPr>
                <w:rFonts w:ascii="Times New Roman" w:hAnsi="Times New Roman" w:cs="Times New Roman"/>
                <w:b/>
                <w:bCs/>
                <w:sz w:val="24"/>
                <w:szCs w:val="24"/>
                <w:lang w:val="lt-LT"/>
              </w:rPr>
              <w:t>Institucijos pavadinimas, rašto data ir numeris</w:t>
            </w:r>
          </w:p>
        </w:tc>
        <w:tc>
          <w:tcPr>
            <w:tcW w:w="4937" w:type="dxa"/>
          </w:tcPr>
          <w:p w:rsidR="003D5827" w:rsidRPr="005E4DAE" w:rsidRDefault="003D5827" w:rsidP="002D3CDA">
            <w:pPr>
              <w:spacing w:after="0" w:line="240" w:lineRule="auto"/>
              <w:jc w:val="both"/>
              <w:rPr>
                <w:rFonts w:ascii="Times New Roman" w:hAnsi="Times New Roman" w:cs="Times New Roman"/>
                <w:b/>
                <w:bCs/>
                <w:sz w:val="24"/>
                <w:szCs w:val="24"/>
                <w:lang w:val="lt-LT"/>
              </w:rPr>
            </w:pPr>
            <w:r w:rsidRPr="005E4DAE">
              <w:rPr>
                <w:rFonts w:ascii="Times New Roman" w:hAnsi="Times New Roman" w:cs="Times New Roman"/>
                <w:b/>
                <w:bCs/>
                <w:sz w:val="24"/>
                <w:szCs w:val="24"/>
                <w:lang w:val="lt-LT"/>
              </w:rPr>
              <w:t>Pastabos ir pasiūlymai</w:t>
            </w:r>
          </w:p>
        </w:tc>
        <w:tc>
          <w:tcPr>
            <w:tcW w:w="7655" w:type="dxa"/>
          </w:tcPr>
          <w:p w:rsidR="003D5827" w:rsidRDefault="003D5827" w:rsidP="002D3CDA">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shd w:val="clear" w:color="auto" w:fill="FFFFFF"/>
                <w:lang w:val="lt-LT"/>
              </w:rPr>
              <w:t>Argumentai, kodėl neatsižvelgta į institucijų pastabas ir pasiūlymus</w:t>
            </w:r>
          </w:p>
          <w:p w:rsidR="003D5827" w:rsidRPr="005E4DAE" w:rsidRDefault="003D5827" w:rsidP="002D3CDA">
            <w:pPr>
              <w:spacing w:after="0" w:line="240" w:lineRule="auto"/>
              <w:jc w:val="both"/>
              <w:rPr>
                <w:rFonts w:ascii="Times New Roman" w:hAnsi="Times New Roman" w:cs="Times New Roman"/>
                <w:b/>
                <w:bCs/>
                <w:sz w:val="24"/>
                <w:szCs w:val="24"/>
                <w:lang w:val="lt-LT"/>
              </w:rPr>
            </w:pPr>
          </w:p>
        </w:tc>
      </w:tr>
      <w:tr w:rsidR="003D5827" w:rsidRPr="006F3F81" w:rsidTr="00845C04">
        <w:tc>
          <w:tcPr>
            <w:tcW w:w="1584" w:type="dxa"/>
          </w:tcPr>
          <w:p w:rsidR="003D5827" w:rsidRPr="005E4DAE" w:rsidRDefault="003D5827" w:rsidP="002D3CDA">
            <w:pPr>
              <w:spacing w:after="0" w:line="240" w:lineRule="auto"/>
              <w:rPr>
                <w:rFonts w:ascii="Times New Roman" w:hAnsi="Times New Roman" w:cs="Times New Roman"/>
                <w:sz w:val="24"/>
                <w:szCs w:val="24"/>
                <w:lang w:val="lt-LT"/>
              </w:rPr>
            </w:pPr>
            <w:r w:rsidRPr="005E4DAE">
              <w:rPr>
                <w:rFonts w:ascii="Times New Roman" w:hAnsi="Times New Roman" w:cs="Times New Roman"/>
                <w:sz w:val="24"/>
                <w:szCs w:val="24"/>
                <w:lang w:val="lt-LT"/>
              </w:rPr>
              <w:t xml:space="preserve">LRV kanceliarijos </w:t>
            </w:r>
            <w:r>
              <w:rPr>
                <w:rFonts w:ascii="Times New Roman" w:hAnsi="Times New Roman" w:cs="Times New Roman"/>
                <w:sz w:val="24"/>
                <w:szCs w:val="24"/>
                <w:lang w:val="lt-LT"/>
              </w:rPr>
              <w:t>T</w:t>
            </w:r>
            <w:r w:rsidRPr="005E4DAE">
              <w:rPr>
                <w:rFonts w:ascii="Times New Roman" w:hAnsi="Times New Roman" w:cs="Times New Roman"/>
                <w:sz w:val="24"/>
                <w:szCs w:val="24"/>
                <w:lang w:val="lt-LT"/>
              </w:rPr>
              <w:t>eisės grupė</w:t>
            </w:r>
            <w:r>
              <w:rPr>
                <w:rFonts w:ascii="Times New Roman" w:hAnsi="Times New Roman" w:cs="Times New Roman"/>
                <w:sz w:val="24"/>
                <w:szCs w:val="24"/>
                <w:lang w:val="lt-LT"/>
              </w:rPr>
              <w:t>s 2020-03-25 išvada Nr. NV-841</w:t>
            </w:r>
          </w:p>
        </w:tc>
        <w:tc>
          <w:tcPr>
            <w:tcW w:w="4937" w:type="dxa"/>
          </w:tcPr>
          <w:p w:rsidR="003D5827"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1. Tiek Narkotinių psichotropinių medžiagų pirmtakų (</w:t>
            </w:r>
            <w:proofErr w:type="spellStart"/>
            <w:r w:rsidRPr="005E4DAE">
              <w:rPr>
                <w:rFonts w:ascii="Times New Roman" w:hAnsi="Times New Roman" w:cs="Times New Roman"/>
                <w:sz w:val="24"/>
                <w:szCs w:val="24"/>
                <w:lang w:val="lt-LT"/>
              </w:rPr>
              <w:t>prekursorių</w:t>
            </w:r>
            <w:proofErr w:type="spellEnd"/>
            <w:r w:rsidRPr="005E4DAE">
              <w:rPr>
                <w:rFonts w:ascii="Times New Roman" w:hAnsi="Times New Roman" w:cs="Times New Roman"/>
                <w:sz w:val="24"/>
                <w:szCs w:val="24"/>
                <w:lang w:val="lt-LT"/>
              </w:rPr>
              <w:t xml:space="preserve">) </w:t>
            </w:r>
            <w:r w:rsidRPr="005E4DAE">
              <w:rPr>
                <w:rFonts w:ascii="Times New Roman" w:hAnsi="Times New Roman" w:cs="Times New Roman"/>
                <w:i/>
                <w:iCs/>
                <w:sz w:val="24"/>
                <w:szCs w:val="24"/>
                <w:lang w:val="lt-LT"/>
              </w:rPr>
              <w:t xml:space="preserve">kontrolės </w:t>
            </w:r>
            <w:r w:rsidRPr="005E4DAE">
              <w:rPr>
                <w:rFonts w:ascii="Times New Roman" w:hAnsi="Times New Roman" w:cs="Times New Roman"/>
                <w:sz w:val="24"/>
                <w:szCs w:val="24"/>
                <w:lang w:val="lt-LT"/>
              </w:rPr>
              <w:t>įstatymo projekto (toliau - Įstatymo projektas), tiek galiojančio Narkotinių psichotropinių medžiagų pirmtakų (</w:t>
            </w:r>
            <w:proofErr w:type="spellStart"/>
            <w:r w:rsidRPr="005E4DAE">
              <w:rPr>
                <w:rFonts w:ascii="Times New Roman" w:hAnsi="Times New Roman" w:cs="Times New Roman"/>
                <w:sz w:val="24"/>
                <w:szCs w:val="24"/>
                <w:lang w:val="lt-LT"/>
              </w:rPr>
              <w:t>prekursorių</w:t>
            </w:r>
            <w:proofErr w:type="spellEnd"/>
            <w:r w:rsidRPr="005E4DAE">
              <w:rPr>
                <w:rFonts w:ascii="Times New Roman" w:hAnsi="Times New Roman" w:cs="Times New Roman"/>
                <w:sz w:val="24"/>
                <w:szCs w:val="24"/>
                <w:lang w:val="lt-LT"/>
              </w:rPr>
              <w:t xml:space="preserve">) </w:t>
            </w:r>
            <w:r w:rsidRPr="005E4DAE">
              <w:rPr>
                <w:rFonts w:ascii="Times New Roman" w:hAnsi="Times New Roman" w:cs="Times New Roman"/>
                <w:i/>
                <w:iCs/>
                <w:sz w:val="24"/>
                <w:szCs w:val="24"/>
                <w:lang w:val="lt-LT"/>
              </w:rPr>
              <w:t>kontrolės</w:t>
            </w:r>
            <w:r w:rsidRPr="005E4DAE">
              <w:rPr>
                <w:rFonts w:ascii="Times New Roman" w:hAnsi="Times New Roman" w:cs="Times New Roman"/>
                <w:sz w:val="24"/>
                <w:szCs w:val="24"/>
                <w:lang w:val="lt-LT"/>
              </w:rPr>
              <w:t xml:space="preserve"> įstatymo (toliau – Įstatymas) antraštės neatitinka Viešojo administravimo įstatymo IV skirsnio „Ūkio subjektų veiklos priežiūra“ nuostatų bei Įstatymo projekto turinio. Todėl atsižvelgiant į tai, bei kaip analogiją vertinant Nuodingųjų medžiagų priežiūros įstatymą, siūlytume tikslinti Įstatymo projekto pavadinimą.</w:t>
            </w:r>
          </w:p>
          <w:p w:rsidR="003D5827" w:rsidRPr="005E4DAE" w:rsidRDefault="003D5827" w:rsidP="002D3CDA">
            <w:pPr>
              <w:spacing w:after="0" w:line="240" w:lineRule="auto"/>
              <w:jc w:val="both"/>
              <w:rPr>
                <w:rFonts w:ascii="Times New Roman" w:hAnsi="Times New Roman" w:cs="Times New Roman"/>
                <w:sz w:val="24"/>
                <w:szCs w:val="24"/>
                <w:lang w:val="lt-LT"/>
              </w:rPr>
            </w:pPr>
          </w:p>
          <w:p w:rsidR="003D5827" w:rsidRPr="005E4DAE"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Tikslinant Įstatymo projekto pavadinimą turėtų būti įvertinta ir tai, kad Įstatymo projektas susijęs ne tik su narkotinių ir psichotropinių medžiagų pirmtakų (</w:t>
            </w:r>
            <w:proofErr w:type="spellStart"/>
            <w:r w:rsidRPr="005E4DAE">
              <w:rPr>
                <w:rFonts w:ascii="Times New Roman" w:hAnsi="Times New Roman" w:cs="Times New Roman"/>
                <w:sz w:val="24"/>
                <w:szCs w:val="24"/>
                <w:lang w:val="lt-LT"/>
              </w:rPr>
              <w:t>prekursorių</w:t>
            </w:r>
            <w:proofErr w:type="spellEnd"/>
            <w:r w:rsidRPr="005E4DAE">
              <w:rPr>
                <w:rFonts w:ascii="Times New Roman" w:hAnsi="Times New Roman" w:cs="Times New Roman"/>
                <w:sz w:val="24"/>
                <w:szCs w:val="24"/>
                <w:lang w:val="lt-LT"/>
              </w:rPr>
              <w:t xml:space="preserve">) (toliau – </w:t>
            </w:r>
            <w:proofErr w:type="spellStart"/>
            <w:r w:rsidRPr="005E4DAE">
              <w:rPr>
                <w:rFonts w:ascii="Times New Roman" w:hAnsi="Times New Roman" w:cs="Times New Roman"/>
                <w:sz w:val="24"/>
                <w:szCs w:val="24"/>
                <w:lang w:val="lt-LT"/>
              </w:rPr>
              <w:t>prekursoriai</w:t>
            </w:r>
            <w:proofErr w:type="spellEnd"/>
            <w:r w:rsidRPr="005E4DAE">
              <w:rPr>
                <w:rFonts w:ascii="Times New Roman" w:hAnsi="Times New Roman" w:cs="Times New Roman"/>
                <w:sz w:val="24"/>
                <w:szCs w:val="24"/>
                <w:lang w:val="lt-LT"/>
              </w:rPr>
              <w:t>)  priežiūra, bet ir veiklos, susijusios su į oficialų sąrašą neįtrauktomis medžiagomis, stebėsena ir kontrole. Tikslinant Įstatymo projekto antraštę, turėtų būti įvertintas ir pastarasis aspektas, nes, priešingu atveju, Įstatymo projekto turinys neatitiks Įstatymo projekto antraštės.</w:t>
            </w:r>
          </w:p>
          <w:p w:rsidR="003D5827" w:rsidRPr="005E4DAE" w:rsidRDefault="003D5827" w:rsidP="002D3CDA">
            <w:pPr>
              <w:spacing w:after="0" w:line="240" w:lineRule="auto"/>
              <w:ind w:firstLine="720"/>
              <w:jc w:val="both"/>
              <w:rPr>
                <w:rFonts w:ascii="Times New Roman" w:hAnsi="Times New Roman" w:cs="Times New Roman"/>
                <w:sz w:val="24"/>
                <w:szCs w:val="24"/>
                <w:lang w:val="lt-LT"/>
              </w:rPr>
            </w:pPr>
          </w:p>
        </w:tc>
        <w:tc>
          <w:tcPr>
            <w:tcW w:w="7655" w:type="dxa"/>
          </w:tcPr>
          <w:p w:rsidR="003D5827" w:rsidRPr="005E4DAE" w:rsidRDefault="003D5827" w:rsidP="002D3CDA">
            <w:pPr>
              <w:spacing w:after="0" w:line="240" w:lineRule="auto"/>
              <w:jc w:val="both"/>
              <w:rPr>
                <w:rFonts w:ascii="Times New Roman" w:hAnsi="Times New Roman" w:cs="Times New Roman"/>
                <w:b/>
                <w:bCs/>
                <w:sz w:val="24"/>
                <w:szCs w:val="24"/>
                <w:lang w:val="lt-LT"/>
              </w:rPr>
            </w:pPr>
            <w:r w:rsidRPr="005E4DAE">
              <w:rPr>
                <w:rFonts w:ascii="Times New Roman" w:hAnsi="Times New Roman" w:cs="Times New Roman"/>
                <w:b/>
                <w:bCs/>
                <w:sz w:val="24"/>
                <w:szCs w:val="24"/>
                <w:lang w:val="lt-LT"/>
              </w:rPr>
              <w:t>Neatsižvelgta.</w:t>
            </w:r>
          </w:p>
          <w:p w:rsidR="003D5827" w:rsidRPr="00F758D3" w:rsidRDefault="003D5827" w:rsidP="002D3CDA">
            <w:pPr>
              <w:spacing w:after="0" w:line="240" w:lineRule="auto"/>
              <w:jc w:val="both"/>
              <w:rPr>
                <w:rFonts w:ascii="Times New Roman" w:hAnsi="Times New Roman" w:cs="Times New Roman"/>
                <w:b/>
                <w:bCs/>
                <w:sz w:val="24"/>
                <w:szCs w:val="24"/>
                <w:lang w:val="lt-LT"/>
              </w:rPr>
            </w:pPr>
            <w:r w:rsidRPr="005E4DAE">
              <w:rPr>
                <w:rFonts w:ascii="Times New Roman" w:hAnsi="Times New Roman" w:cs="Times New Roman"/>
                <w:sz w:val="24"/>
                <w:szCs w:val="24"/>
                <w:lang w:val="lt-LT"/>
              </w:rPr>
              <w:t>Ūkio subjektų, kurių veikla susijusi su narkotinių ir psichotropinių medžiagų teisėta apyvarta, veiklos priežiūrą vykdo N</w:t>
            </w:r>
            <w:r>
              <w:rPr>
                <w:rFonts w:ascii="Times New Roman" w:hAnsi="Times New Roman" w:cs="Times New Roman"/>
                <w:sz w:val="24"/>
                <w:szCs w:val="24"/>
                <w:lang w:val="lt-LT"/>
              </w:rPr>
              <w:t xml:space="preserve">arkotikų, tabako ir alkoholio kontrolės departamentas </w:t>
            </w:r>
            <w:r w:rsidRPr="005E4DAE">
              <w:rPr>
                <w:rFonts w:ascii="Times New Roman" w:hAnsi="Times New Roman" w:cs="Times New Roman"/>
                <w:sz w:val="24"/>
                <w:szCs w:val="24"/>
                <w:lang w:val="lt-LT"/>
              </w:rPr>
              <w:t>(teisėtos veiklos licencijavimas, tikrinama</w:t>
            </w:r>
            <w:r>
              <w:rPr>
                <w:rFonts w:ascii="Times New Roman" w:hAnsi="Times New Roman" w:cs="Times New Roman"/>
                <w:sz w:val="24"/>
                <w:szCs w:val="24"/>
                <w:lang w:val="lt-LT"/>
              </w:rPr>
              <w:t>,</w:t>
            </w:r>
            <w:r w:rsidRPr="005E4DAE">
              <w:rPr>
                <w:rFonts w:ascii="Times New Roman" w:hAnsi="Times New Roman" w:cs="Times New Roman"/>
                <w:sz w:val="24"/>
                <w:szCs w:val="24"/>
                <w:lang w:val="lt-LT"/>
              </w:rPr>
              <w:t xml:space="preserve"> kokie kiekiai ir medžiagos ir kokiems teisėtiems tikslams yra naudojamos subjektų veikloje), tačiau teisėsaugos institucijos, kurios irgi yra </w:t>
            </w:r>
            <w:r>
              <w:rPr>
                <w:rFonts w:ascii="Times New Roman" w:hAnsi="Times New Roman" w:cs="Times New Roman"/>
                <w:sz w:val="24"/>
                <w:szCs w:val="24"/>
                <w:lang w:val="lt-LT"/>
              </w:rPr>
              <w:t>Į</w:t>
            </w:r>
            <w:r w:rsidRPr="005E4DAE">
              <w:rPr>
                <w:rFonts w:ascii="Times New Roman" w:hAnsi="Times New Roman" w:cs="Times New Roman"/>
                <w:sz w:val="24"/>
                <w:szCs w:val="24"/>
                <w:lang w:val="lt-LT"/>
              </w:rPr>
              <w:t>statymo nuostatas įgyvendinančiosios institucijos</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 xml:space="preserve">(importo, eksporto procedūros, </w:t>
            </w:r>
            <w:r w:rsidRPr="00A4230B">
              <w:rPr>
                <w:rFonts w:ascii="Times New Roman" w:hAnsi="Times New Roman" w:cs="Times New Roman"/>
                <w:sz w:val="24"/>
                <w:szCs w:val="24"/>
                <w:lang w:val="lt-LT"/>
              </w:rPr>
              <w:t>neteisėta apyvarta, veikla neturint eksporto / importo leidimo, licencijos ar veiklos vietos registravimo pažymėjimo)</w:t>
            </w:r>
            <w:r w:rsidRPr="005E4DAE">
              <w:rPr>
                <w:rFonts w:ascii="Times New Roman" w:hAnsi="Times New Roman" w:cs="Times New Roman"/>
                <w:sz w:val="24"/>
                <w:szCs w:val="24"/>
                <w:lang w:val="lt-LT"/>
              </w:rPr>
              <w:t xml:space="preserve"> pagal savo funkcijas vykdo</w:t>
            </w:r>
            <w:r w:rsidRPr="005E4DAE">
              <w:rPr>
                <w:rFonts w:ascii="Times New Roman" w:hAnsi="Times New Roman" w:cs="Times New Roman"/>
                <w:b/>
                <w:bCs/>
                <w:sz w:val="24"/>
                <w:szCs w:val="24"/>
                <w:lang w:val="lt-LT"/>
              </w:rPr>
              <w:t xml:space="preserve"> kontrolės veiksmus</w:t>
            </w:r>
            <w:r w:rsidRPr="005E4DAE">
              <w:rPr>
                <w:rFonts w:ascii="Times New Roman" w:hAnsi="Times New Roman" w:cs="Times New Roman"/>
                <w:sz w:val="24"/>
                <w:szCs w:val="24"/>
                <w:lang w:val="lt-LT"/>
              </w:rPr>
              <w:t>. Šis aspektas (priežiūra</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 xml:space="preserve">kontrolė) jau buvo svarstomas rengiant galiojantį </w:t>
            </w:r>
            <w:r>
              <w:rPr>
                <w:rFonts w:ascii="Times New Roman" w:hAnsi="Times New Roman" w:cs="Times New Roman"/>
                <w:sz w:val="24"/>
                <w:szCs w:val="24"/>
                <w:lang w:val="lt-LT"/>
              </w:rPr>
              <w:t>Į</w:t>
            </w:r>
            <w:r w:rsidRPr="005E4DAE">
              <w:rPr>
                <w:rFonts w:ascii="Times New Roman" w:hAnsi="Times New Roman" w:cs="Times New Roman"/>
                <w:sz w:val="24"/>
                <w:szCs w:val="24"/>
                <w:lang w:val="lt-LT"/>
              </w:rPr>
              <w:t>statymą ir pasirinkta alternatyva – bendrinis terminas „</w:t>
            </w:r>
            <w:r w:rsidRPr="005E4DAE">
              <w:rPr>
                <w:rFonts w:ascii="Times New Roman" w:hAnsi="Times New Roman" w:cs="Times New Roman"/>
                <w:b/>
                <w:bCs/>
                <w:sz w:val="24"/>
                <w:szCs w:val="24"/>
                <w:lang w:val="lt-LT"/>
              </w:rPr>
              <w:t xml:space="preserve">kontrolė “, kaip geriausiai įtvirtinantis </w:t>
            </w:r>
            <w:r w:rsidRPr="00F758D3">
              <w:rPr>
                <w:rFonts w:ascii="Times New Roman" w:hAnsi="Times New Roman" w:cs="Times New Roman"/>
                <w:b/>
                <w:bCs/>
                <w:spacing w:val="-2"/>
                <w:sz w:val="24"/>
                <w:szCs w:val="24"/>
                <w:lang w:val="lt-LT"/>
              </w:rPr>
              <w:t>2004 m. vasario 11 d. Europos Parlamento ir Tarybos reglamento (EB) Nr. 273/2004 dėl narkotinių medžiagų pirmtakų (</w:t>
            </w:r>
            <w:proofErr w:type="spellStart"/>
            <w:r w:rsidRPr="00F758D3">
              <w:rPr>
                <w:rFonts w:ascii="Times New Roman" w:hAnsi="Times New Roman" w:cs="Times New Roman"/>
                <w:b/>
                <w:bCs/>
                <w:spacing w:val="-2"/>
                <w:sz w:val="24"/>
                <w:szCs w:val="24"/>
                <w:lang w:val="lt-LT"/>
              </w:rPr>
              <w:t>prekursorių</w:t>
            </w:r>
            <w:proofErr w:type="spellEnd"/>
            <w:r w:rsidRPr="00F758D3">
              <w:rPr>
                <w:rFonts w:ascii="Times New Roman" w:hAnsi="Times New Roman" w:cs="Times New Roman"/>
                <w:b/>
                <w:bCs/>
                <w:spacing w:val="-2"/>
                <w:sz w:val="24"/>
                <w:szCs w:val="24"/>
                <w:lang w:val="lt-LT"/>
              </w:rPr>
              <w:t xml:space="preserve">) (toliau – </w:t>
            </w:r>
            <w:r w:rsidRPr="00F758D3">
              <w:rPr>
                <w:rFonts w:ascii="Times New Roman" w:hAnsi="Times New Roman" w:cs="Times New Roman"/>
                <w:b/>
                <w:bCs/>
                <w:sz w:val="24"/>
                <w:szCs w:val="24"/>
                <w:lang w:val="lt-LT"/>
              </w:rPr>
              <w:t xml:space="preserve">Reglamentas (EB) 273/2004) ir </w:t>
            </w:r>
            <w:r w:rsidRPr="00F758D3">
              <w:rPr>
                <w:rFonts w:ascii="Times New Roman" w:hAnsi="Times New Roman" w:cs="Times New Roman"/>
                <w:b/>
                <w:bCs/>
                <w:sz w:val="24"/>
                <w:szCs w:val="24"/>
                <w:shd w:val="clear" w:color="auto" w:fill="FFFFFF"/>
                <w:lang w:val="lt-LT"/>
              </w:rPr>
              <w:t>2004 m. gruodžio 22 d. Tarybos reglamento (EB) Nr. 111/2005, nustatan</w:t>
            </w:r>
            <w:r>
              <w:rPr>
                <w:rFonts w:ascii="Times New Roman" w:hAnsi="Times New Roman" w:cs="Times New Roman"/>
                <w:b/>
                <w:bCs/>
                <w:sz w:val="24"/>
                <w:szCs w:val="24"/>
                <w:shd w:val="clear" w:color="auto" w:fill="FFFFFF"/>
                <w:lang w:val="lt-LT"/>
              </w:rPr>
              <w:t>čio</w:t>
            </w:r>
            <w:r w:rsidRPr="00F758D3">
              <w:rPr>
                <w:rFonts w:ascii="Times New Roman" w:hAnsi="Times New Roman" w:cs="Times New Roman"/>
                <w:b/>
                <w:bCs/>
                <w:sz w:val="24"/>
                <w:szCs w:val="24"/>
                <w:shd w:val="clear" w:color="auto" w:fill="FFFFFF"/>
                <w:lang w:val="lt-LT"/>
              </w:rPr>
              <w:t xml:space="preserve"> prekybos narkotinių ir psichotropinių medžiagų pirmtakais (</w:t>
            </w:r>
            <w:proofErr w:type="spellStart"/>
            <w:r w:rsidRPr="00F758D3">
              <w:rPr>
                <w:rFonts w:ascii="Times New Roman" w:hAnsi="Times New Roman" w:cs="Times New Roman"/>
                <w:b/>
                <w:bCs/>
                <w:sz w:val="24"/>
                <w:szCs w:val="24"/>
                <w:shd w:val="clear" w:color="auto" w:fill="FFFFFF"/>
                <w:lang w:val="lt-LT"/>
              </w:rPr>
              <w:t>prekursoriais</w:t>
            </w:r>
            <w:proofErr w:type="spellEnd"/>
            <w:r w:rsidRPr="00F758D3">
              <w:rPr>
                <w:rFonts w:ascii="Times New Roman" w:hAnsi="Times New Roman" w:cs="Times New Roman"/>
                <w:b/>
                <w:bCs/>
                <w:sz w:val="24"/>
                <w:szCs w:val="24"/>
                <w:shd w:val="clear" w:color="auto" w:fill="FFFFFF"/>
                <w:lang w:val="lt-LT"/>
              </w:rPr>
              <w:t>) tarp Bendrijos ir trečiųjų šalių stebėsenos taisykles</w:t>
            </w:r>
            <w:r w:rsidRPr="00F758D3">
              <w:rPr>
                <w:rFonts w:ascii="Times New Roman" w:hAnsi="Times New Roman" w:cs="Times New Roman"/>
                <w:b/>
                <w:bCs/>
                <w:sz w:val="24"/>
                <w:szCs w:val="24"/>
                <w:lang w:val="lt-LT"/>
              </w:rPr>
              <w:t xml:space="preserve"> (toliau – </w:t>
            </w:r>
            <w:r>
              <w:rPr>
                <w:rFonts w:ascii="Times New Roman" w:hAnsi="Times New Roman" w:cs="Times New Roman"/>
                <w:b/>
                <w:bCs/>
                <w:sz w:val="24"/>
                <w:szCs w:val="24"/>
                <w:lang w:val="lt-LT"/>
              </w:rPr>
              <w:t>R</w:t>
            </w:r>
            <w:r w:rsidRPr="00F758D3">
              <w:rPr>
                <w:rFonts w:ascii="Times New Roman" w:hAnsi="Times New Roman" w:cs="Times New Roman"/>
                <w:b/>
                <w:bCs/>
                <w:sz w:val="24"/>
                <w:szCs w:val="24"/>
                <w:lang w:val="lt-LT"/>
              </w:rPr>
              <w:t>eglamentas (EB) 111/2005) nuostatas.</w:t>
            </w:r>
          </w:p>
          <w:p w:rsidR="003D5827" w:rsidRPr="00F758D3" w:rsidRDefault="003D5827" w:rsidP="002D3CDA">
            <w:pPr>
              <w:spacing w:after="0" w:line="240" w:lineRule="auto"/>
              <w:jc w:val="both"/>
              <w:rPr>
                <w:rFonts w:ascii="Times New Roman" w:hAnsi="Times New Roman" w:cs="Times New Roman"/>
                <w:b/>
                <w:bCs/>
                <w:sz w:val="24"/>
                <w:szCs w:val="24"/>
                <w:lang w:val="lt-LT"/>
              </w:rPr>
            </w:pPr>
          </w:p>
          <w:p w:rsidR="003D5827"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Reglamentas (EB) 273/2004</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yra narkotinių ir psichotropinių medžiagų pirmtakų (</w:t>
            </w:r>
            <w:proofErr w:type="spellStart"/>
            <w:r w:rsidRPr="005E4DAE">
              <w:rPr>
                <w:rFonts w:ascii="Times New Roman" w:hAnsi="Times New Roman" w:cs="Times New Roman"/>
                <w:sz w:val="24"/>
                <w:szCs w:val="24"/>
                <w:lang w:val="lt-LT"/>
              </w:rPr>
              <w:t>prekursorių</w:t>
            </w:r>
            <w:proofErr w:type="spellEnd"/>
            <w:r w:rsidRPr="005E4DAE">
              <w:rPr>
                <w:rFonts w:ascii="Times New Roman" w:hAnsi="Times New Roman" w:cs="Times New Roman"/>
                <w:sz w:val="24"/>
                <w:szCs w:val="24"/>
                <w:lang w:val="lt-LT"/>
              </w:rPr>
              <w:t>) reglamentas, kuriuo sukuriamos suderintos priemonės kontroliuoti ir stebėti Bendrijos viduje tam tikras medžiagas, dažnai naudojamas neteisėtai narkotinių ar psichotropinių medžiagų gamybai, siekiant užkirsti kelią ši</w:t>
            </w:r>
            <w:r>
              <w:rPr>
                <w:rFonts w:ascii="Times New Roman" w:hAnsi="Times New Roman" w:cs="Times New Roman"/>
                <w:sz w:val="24"/>
                <w:szCs w:val="24"/>
                <w:lang w:val="lt-LT"/>
              </w:rPr>
              <w:t>oms</w:t>
            </w:r>
            <w:r w:rsidRPr="005E4DAE">
              <w:rPr>
                <w:rFonts w:ascii="Times New Roman" w:hAnsi="Times New Roman" w:cs="Times New Roman"/>
                <w:sz w:val="24"/>
                <w:szCs w:val="24"/>
                <w:lang w:val="lt-LT"/>
              </w:rPr>
              <w:t xml:space="preserve"> medžiag</w:t>
            </w:r>
            <w:r>
              <w:rPr>
                <w:rFonts w:ascii="Times New Roman" w:hAnsi="Times New Roman" w:cs="Times New Roman"/>
                <w:sz w:val="24"/>
                <w:szCs w:val="24"/>
                <w:lang w:val="lt-LT"/>
              </w:rPr>
              <w:t>oms</w:t>
            </w:r>
            <w:r w:rsidRPr="005E4DAE">
              <w:rPr>
                <w:rFonts w:ascii="Times New Roman" w:hAnsi="Times New Roman" w:cs="Times New Roman"/>
                <w:sz w:val="24"/>
                <w:szCs w:val="24"/>
                <w:lang w:val="lt-LT"/>
              </w:rPr>
              <w:t xml:space="preserve"> patek</w:t>
            </w:r>
            <w:r>
              <w:rPr>
                <w:rFonts w:ascii="Times New Roman" w:hAnsi="Times New Roman" w:cs="Times New Roman"/>
                <w:sz w:val="24"/>
                <w:szCs w:val="24"/>
                <w:lang w:val="lt-LT"/>
              </w:rPr>
              <w:t>ti</w:t>
            </w:r>
            <w:r w:rsidRPr="005E4DAE">
              <w:rPr>
                <w:rFonts w:ascii="Times New Roman" w:hAnsi="Times New Roman" w:cs="Times New Roman"/>
                <w:sz w:val="24"/>
                <w:szCs w:val="24"/>
                <w:lang w:val="lt-LT"/>
              </w:rPr>
              <w:t xml:space="preserve"> į neteisėtą rinką.</w:t>
            </w:r>
          </w:p>
          <w:p w:rsidR="003D5827"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2013 m</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 xml:space="preserve">pagal pasikeitusias narkotikų neteisėtos gamybos tendencijas, šis </w:t>
            </w:r>
            <w:r w:rsidRPr="005E4DAE">
              <w:rPr>
                <w:rFonts w:ascii="Times New Roman" w:hAnsi="Times New Roman" w:cs="Times New Roman"/>
                <w:sz w:val="24"/>
                <w:szCs w:val="24"/>
                <w:lang w:val="lt-LT"/>
              </w:rPr>
              <w:lastRenderedPageBreak/>
              <w:t xml:space="preserve">reglamentas buvo papildytas būtinomis sąvokomis ir straipsniais, kuriais </w:t>
            </w:r>
            <w:r>
              <w:rPr>
                <w:rFonts w:ascii="Times New Roman" w:hAnsi="Times New Roman" w:cs="Times New Roman"/>
                <w:sz w:val="24"/>
                <w:szCs w:val="24"/>
                <w:lang w:val="lt-LT"/>
              </w:rPr>
              <w:t>v</w:t>
            </w:r>
            <w:r w:rsidRPr="005E4DAE">
              <w:rPr>
                <w:rFonts w:ascii="Times New Roman" w:hAnsi="Times New Roman" w:cs="Times New Roman"/>
                <w:sz w:val="24"/>
                <w:szCs w:val="24"/>
                <w:lang w:val="lt-LT"/>
              </w:rPr>
              <w:t>alstybėms narėms (toliau –</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 xml:space="preserve">VN) suteikti įgaliojimai imtis priemonių ir į oficialų sąrašą </w:t>
            </w:r>
            <w:r w:rsidRPr="005E4DAE">
              <w:rPr>
                <w:rFonts w:ascii="Times New Roman" w:hAnsi="Times New Roman" w:cs="Times New Roman"/>
                <w:b/>
                <w:bCs/>
                <w:sz w:val="24"/>
                <w:szCs w:val="24"/>
                <w:lang w:val="lt-LT"/>
              </w:rPr>
              <w:t>neįtrauktų</w:t>
            </w:r>
            <w:r w:rsidRPr="005E4DAE">
              <w:rPr>
                <w:rFonts w:ascii="Times New Roman" w:hAnsi="Times New Roman" w:cs="Times New Roman"/>
                <w:sz w:val="24"/>
                <w:szCs w:val="24"/>
                <w:lang w:val="lt-LT"/>
              </w:rPr>
              <w:t xml:space="preserve"> medžiagų apyvartai stebėti bei sandoriams kontroliuoti, taip pat imtis būtinų priemonių bei sulaikyti tokias medžiagas įtarus, kad jos gali būti panaudotos neteisėtai narkotikų gamybai.</w:t>
            </w:r>
          </w:p>
          <w:p w:rsidR="003D5827" w:rsidRDefault="003D5827" w:rsidP="002D3CDA">
            <w:pPr>
              <w:spacing w:after="0" w:line="240" w:lineRule="auto"/>
              <w:jc w:val="both"/>
              <w:rPr>
                <w:rFonts w:ascii="Times New Roman" w:hAnsi="Times New Roman" w:cs="Times New Roman"/>
                <w:sz w:val="24"/>
                <w:szCs w:val="24"/>
                <w:lang w:val="lt-LT"/>
              </w:rPr>
            </w:pPr>
          </w:p>
          <w:p w:rsidR="003D5827"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Pagal Reglament</w:t>
            </w:r>
            <w:r>
              <w:rPr>
                <w:rFonts w:ascii="Times New Roman" w:hAnsi="Times New Roman" w:cs="Times New Roman"/>
                <w:sz w:val="24"/>
                <w:szCs w:val="24"/>
                <w:lang w:val="lt-LT"/>
              </w:rPr>
              <w:t>o</w:t>
            </w:r>
            <w:r w:rsidRPr="005E4DAE">
              <w:rPr>
                <w:rFonts w:ascii="Times New Roman" w:hAnsi="Times New Roman" w:cs="Times New Roman"/>
                <w:sz w:val="24"/>
                <w:szCs w:val="24"/>
                <w:lang w:val="lt-LT"/>
              </w:rPr>
              <w:t xml:space="preserve"> (EB) 273/2004 2 straipsnį, Narkotinių ir psichotropinių medžiagų pirmtakai (</w:t>
            </w:r>
            <w:proofErr w:type="spellStart"/>
            <w:r w:rsidRPr="005E4DAE">
              <w:rPr>
                <w:rFonts w:ascii="Times New Roman" w:hAnsi="Times New Roman" w:cs="Times New Roman"/>
                <w:sz w:val="24"/>
                <w:szCs w:val="24"/>
                <w:lang w:val="lt-LT"/>
              </w:rPr>
              <w:t>prekursoriai</w:t>
            </w:r>
            <w:proofErr w:type="spellEnd"/>
            <w:r w:rsidRPr="005E4DAE">
              <w:rPr>
                <w:rFonts w:ascii="Times New Roman" w:hAnsi="Times New Roman" w:cs="Times New Roman"/>
                <w:sz w:val="24"/>
                <w:szCs w:val="24"/>
                <w:lang w:val="lt-LT"/>
              </w:rPr>
              <w:t>) – tai Į oficialų sąrašą įtrauktos medžiagos, veiklai su kuriomis taikomi specialūs reikalavimai</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(licencijos, veiklos vietos registracija, eksporto</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importo specialiosios sąlygos) ir numatyti kontrolės veiksmai, bei į oficialų sąrašą neįtrauktos medžiagos, kurios  naudojamos neteisėtai narkotikų gamybai</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 xml:space="preserve">(dažnai siekiant </w:t>
            </w:r>
            <w:r>
              <w:rPr>
                <w:rFonts w:ascii="Times New Roman" w:hAnsi="Times New Roman" w:cs="Times New Roman"/>
                <w:sz w:val="24"/>
                <w:szCs w:val="24"/>
                <w:lang w:val="lt-LT"/>
              </w:rPr>
              <w:t xml:space="preserve">nenaudoti </w:t>
            </w:r>
            <w:r w:rsidRPr="005E4DAE">
              <w:rPr>
                <w:rFonts w:ascii="Times New Roman" w:hAnsi="Times New Roman" w:cs="Times New Roman"/>
                <w:sz w:val="24"/>
                <w:szCs w:val="24"/>
                <w:lang w:val="lt-LT"/>
              </w:rPr>
              <w:t>kont</w:t>
            </w:r>
            <w:r>
              <w:rPr>
                <w:rFonts w:ascii="Times New Roman" w:hAnsi="Times New Roman" w:cs="Times New Roman"/>
                <w:sz w:val="24"/>
                <w:szCs w:val="24"/>
                <w:lang w:val="lt-LT"/>
              </w:rPr>
              <w:t>roliuojamų medžiagų, už kurių</w:t>
            </w:r>
            <w:r w:rsidRPr="005E4DAE">
              <w:rPr>
                <w:rFonts w:ascii="Times New Roman" w:hAnsi="Times New Roman" w:cs="Times New Roman"/>
                <w:sz w:val="24"/>
                <w:szCs w:val="24"/>
                <w:lang w:val="lt-LT"/>
              </w:rPr>
              <w:t xml:space="preserve"> panaudojimą numatyta net baudžiamoji atsakomybė), kurios pramoniniais tikslais savo pritaikymo net neturi arba turi ribotą naudojimą laboratorijose tyrimų tikslais. Tokioms medžiagoms kontrolės priemonės nėra numatytos ES mastu, o VN raginamos imtis priemonių stebint veiklą su šiomis medžiagomis bei šių medžiagų apyvartą </w:t>
            </w:r>
            <w:r>
              <w:rPr>
                <w:rFonts w:ascii="Times New Roman" w:hAnsi="Times New Roman" w:cs="Times New Roman"/>
                <w:sz w:val="24"/>
                <w:szCs w:val="24"/>
                <w:lang w:val="lt-LT"/>
              </w:rPr>
              <w:t>ir</w:t>
            </w:r>
            <w:r w:rsidRPr="005E4DAE">
              <w:rPr>
                <w:rFonts w:ascii="Times New Roman" w:hAnsi="Times New Roman" w:cs="Times New Roman"/>
                <w:sz w:val="24"/>
                <w:szCs w:val="24"/>
                <w:lang w:val="lt-LT"/>
              </w:rPr>
              <w:t xml:space="preserve"> sandorius.</w:t>
            </w:r>
          </w:p>
          <w:p w:rsidR="003D5827" w:rsidRPr="005E4DAE" w:rsidRDefault="003D5827" w:rsidP="002D3CDA">
            <w:pPr>
              <w:spacing w:after="0" w:line="240" w:lineRule="auto"/>
              <w:jc w:val="both"/>
              <w:rPr>
                <w:rFonts w:ascii="Times New Roman" w:hAnsi="Times New Roman" w:cs="Times New Roman"/>
                <w:sz w:val="24"/>
                <w:szCs w:val="24"/>
                <w:lang w:val="lt-LT"/>
              </w:rPr>
            </w:pPr>
          </w:p>
          <w:p w:rsidR="003D5827" w:rsidRDefault="003D5827" w:rsidP="002D3CDA">
            <w:pPr>
              <w:spacing w:after="0" w:line="240" w:lineRule="auto"/>
              <w:jc w:val="both"/>
              <w:rPr>
                <w:rFonts w:ascii="Times New Roman" w:hAnsi="Times New Roman" w:cs="Times New Roman"/>
                <w:sz w:val="24"/>
                <w:szCs w:val="24"/>
                <w:lang w:val="lt-LT"/>
              </w:rPr>
            </w:pPr>
            <w:r w:rsidRPr="00797F18">
              <w:rPr>
                <w:rFonts w:ascii="Times New Roman" w:hAnsi="Times New Roman" w:cs="Times New Roman"/>
                <w:sz w:val="24"/>
                <w:szCs w:val="24"/>
                <w:lang w:val="lt-LT"/>
              </w:rPr>
              <w:t xml:space="preserve"> „Į oficialų sąrašą neįtraukta medžiaga“ yra bet kokia medžiaga, kuri, nors ir nenurodyta I priede, identifikuojama kaip naudota neteisėtai narkotinių ar psichotropinių medžiagų gamybai</w:t>
            </w:r>
            <w:r>
              <w:rPr>
                <w:rFonts w:ascii="Times New Roman" w:hAnsi="Times New Roman" w:cs="Times New Roman"/>
                <w:sz w:val="24"/>
                <w:szCs w:val="24"/>
                <w:lang w:val="lt-LT"/>
              </w:rPr>
              <w:t>.</w:t>
            </w:r>
          </w:p>
          <w:p w:rsidR="003D5827" w:rsidRPr="00797F18" w:rsidRDefault="003D5827" w:rsidP="002D3CDA">
            <w:pPr>
              <w:spacing w:after="0" w:line="240" w:lineRule="auto"/>
              <w:jc w:val="both"/>
              <w:rPr>
                <w:rFonts w:ascii="Times New Roman" w:hAnsi="Times New Roman" w:cs="Times New Roman"/>
                <w:sz w:val="24"/>
                <w:szCs w:val="24"/>
                <w:lang w:val="lt-LT"/>
              </w:rPr>
            </w:pPr>
          </w:p>
          <w:p w:rsidR="003D5827" w:rsidRPr="00365932"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Taip pat VN rekomenduota, o vėliau ir tikrinta, kad nebūtų akcentuojamos</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 xml:space="preserve">konkretinamos </w:t>
            </w:r>
            <w:r w:rsidRPr="00365932">
              <w:rPr>
                <w:rFonts w:ascii="Times New Roman" w:hAnsi="Times New Roman" w:cs="Times New Roman"/>
                <w:sz w:val="24"/>
                <w:szCs w:val="24"/>
                <w:lang w:val="lt-LT"/>
              </w:rPr>
              <w:t xml:space="preserve">įstatymuose į oficialų sąrašą neįtrauktos medžiagos, kad nusikalstamas veikas vykdantis ar tokias veikas planuojantys subjektai iš anksto nepasinaudotų informacija. </w:t>
            </w:r>
          </w:p>
          <w:p w:rsidR="003D5827" w:rsidRPr="00365932" w:rsidRDefault="003D5827" w:rsidP="002D3CDA">
            <w:pPr>
              <w:spacing w:after="0" w:line="240" w:lineRule="auto"/>
              <w:jc w:val="both"/>
              <w:rPr>
                <w:rFonts w:ascii="Times New Roman" w:hAnsi="Times New Roman" w:cs="Times New Roman"/>
                <w:sz w:val="24"/>
                <w:szCs w:val="24"/>
                <w:lang w:val="lt-LT"/>
              </w:rPr>
            </w:pPr>
          </w:p>
          <w:p w:rsidR="003D5827" w:rsidRDefault="003D5827" w:rsidP="002D3CDA">
            <w:pPr>
              <w:spacing w:after="0" w:line="240" w:lineRule="auto"/>
              <w:jc w:val="both"/>
              <w:rPr>
                <w:rFonts w:ascii="Times New Roman" w:hAnsi="Times New Roman" w:cs="Times New Roman"/>
                <w:sz w:val="24"/>
                <w:szCs w:val="24"/>
                <w:lang w:val="lt-LT"/>
              </w:rPr>
            </w:pPr>
            <w:r w:rsidRPr="00365932">
              <w:rPr>
                <w:rFonts w:ascii="Times New Roman" w:hAnsi="Times New Roman" w:cs="Times New Roman"/>
                <w:sz w:val="24"/>
                <w:szCs w:val="24"/>
                <w:lang w:val="lt-LT"/>
              </w:rPr>
              <w:t>Į projektą nuostatos dėl į oficialų sąrašą neįtrauktų medžiagų kontrolės, stebėsenos bei sulaikymo aplinkybių</w:t>
            </w:r>
            <w:r w:rsidRPr="005E4DAE">
              <w:rPr>
                <w:rFonts w:ascii="Times New Roman" w:hAnsi="Times New Roman" w:cs="Times New Roman"/>
                <w:sz w:val="24"/>
                <w:szCs w:val="24"/>
                <w:lang w:val="lt-LT"/>
              </w:rPr>
              <w:t xml:space="preserve"> buvo įtrauktos Muitinės departamento pasiūlymu, siekiant nustatyti</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konkretinti muitinės pareigūno teises</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bei veiksmus kontrolės ir sulaikymo procese, nes nesant šių nuostatų, nesudaromas teisinis pagrindas teisėtiems jų veiksmams.</w:t>
            </w:r>
          </w:p>
          <w:p w:rsidR="003D5827" w:rsidRPr="005E4DAE" w:rsidRDefault="003D5827" w:rsidP="002D3CDA">
            <w:pPr>
              <w:spacing w:after="0" w:line="240" w:lineRule="auto"/>
              <w:jc w:val="both"/>
              <w:rPr>
                <w:rFonts w:ascii="Times New Roman" w:hAnsi="Times New Roman" w:cs="Times New Roman"/>
                <w:sz w:val="24"/>
                <w:szCs w:val="24"/>
                <w:lang w:val="lt-LT"/>
              </w:rPr>
            </w:pPr>
          </w:p>
          <w:p w:rsidR="003D5827" w:rsidRPr="005E4DAE" w:rsidRDefault="003D5827" w:rsidP="002D3CDA">
            <w:pPr>
              <w:spacing w:after="0" w:line="240" w:lineRule="auto"/>
              <w:jc w:val="both"/>
              <w:rPr>
                <w:rFonts w:ascii="Times New Roman" w:hAnsi="Times New Roman" w:cs="Times New Roman"/>
                <w:b/>
                <w:bCs/>
                <w:sz w:val="24"/>
                <w:szCs w:val="24"/>
                <w:lang w:val="lt-LT"/>
              </w:rPr>
            </w:pPr>
            <w:r w:rsidRPr="005E4DAE">
              <w:rPr>
                <w:rFonts w:ascii="Times New Roman" w:hAnsi="Times New Roman" w:cs="Times New Roman"/>
                <w:b/>
                <w:bCs/>
                <w:sz w:val="24"/>
                <w:szCs w:val="24"/>
                <w:lang w:val="lt-LT"/>
              </w:rPr>
              <w:lastRenderedPageBreak/>
              <w:t xml:space="preserve">Todėl siekiant aiškumo, tikslinga palikti bendrinį galiojantį </w:t>
            </w:r>
            <w:r>
              <w:rPr>
                <w:rFonts w:ascii="Times New Roman" w:hAnsi="Times New Roman" w:cs="Times New Roman"/>
                <w:b/>
                <w:bCs/>
                <w:sz w:val="24"/>
                <w:szCs w:val="24"/>
                <w:lang w:val="lt-LT"/>
              </w:rPr>
              <w:t>Į</w:t>
            </w:r>
            <w:r w:rsidRPr="005E4DAE">
              <w:rPr>
                <w:rFonts w:ascii="Times New Roman" w:hAnsi="Times New Roman" w:cs="Times New Roman"/>
                <w:b/>
                <w:bCs/>
                <w:sz w:val="24"/>
                <w:szCs w:val="24"/>
                <w:lang w:val="lt-LT"/>
              </w:rPr>
              <w:t>statymo pavadinimą, kaip ir numatyta Reglamente (EB) 273/2004.</w:t>
            </w:r>
          </w:p>
        </w:tc>
      </w:tr>
      <w:tr w:rsidR="003D5827" w:rsidRPr="006F3F81" w:rsidTr="00845C04">
        <w:tc>
          <w:tcPr>
            <w:tcW w:w="1584" w:type="dxa"/>
          </w:tcPr>
          <w:p w:rsidR="003D5827" w:rsidRPr="005E4DAE" w:rsidRDefault="003D5827" w:rsidP="002D3CDA">
            <w:pPr>
              <w:spacing w:after="0" w:line="240" w:lineRule="auto"/>
              <w:jc w:val="both"/>
              <w:rPr>
                <w:rFonts w:ascii="Times New Roman" w:hAnsi="Times New Roman" w:cs="Times New Roman"/>
                <w:sz w:val="24"/>
                <w:szCs w:val="24"/>
                <w:lang w:val="lt-LT"/>
              </w:rPr>
            </w:pPr>
          </w:p>
        </w:tc>
        <w:tc>
          <w:tcPr>
            <w:tcW w:w="4937" w:type="dxa"/>
          </w:tcPr>
          <w:p w:rsidR="003D5827"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 xml:space="preserve">2. </w:t>
            </w:r>
            <w:r w:rsidRPr="005E4DAE">
              <w:rPr>
                <w:rFonts w:ascii="Times New Roman" w:hAnsi="Times New Roman" w:cs="Times New Roman"/>
                <w:sz w:val="24"/>
                <w:szCs w:val="24"/>
                <w:lang w:val="lt-LT" w:eastAsia="lt-LT"/>
              </w:rPr>
              <w:t xml:space="preserve">Konstitucijos 94 straipsnyje numatyta, kad Vyriausybė koordinuoja ministerijų ir kitų Vyriausybės įstaigų veiklą. Vyriausybės įstatymo 22 straipsnio 9 punkte Vyriausybei pavesta tvirtinti ministerijų, Vyriausybės įstaigų ir įstaigų prie ministerijų nuostatus. </w:t>
            </w:r>
            <w:r w:rsidRPr="005E4DAE">
              <w:rPr>
                <w:rFonts w:ascii="Times New Roman" w:hAnsi="Times New Roman" w:cs="Times New Roman"/>
                <w:i/>
                <w:sz w:val="24"/>
                <w:szCs w:val="24"/>
                <w:lang w:val="lt-LT" w:eastAsia="lt-LT"/>
              </w:rPr>
              <w:t>Vyriausybė,</w:t>
            </w:r>
            <w:r w:rsidRPr="005E4DAE">
              <w:rPr>
                <w:rFonts w:ascii="Times New Roman" w:hAnsi="Times New Roman" w:cs="Times New Roman"/>
                <w:sz w:val="24"/>
                <w:szCs w:val="24"/>
                <w:lang w:val="lt-LT" w:eastAsia="lt-LT"/>
              </w:rPr>
              <w:t xml:space="preserve"> įgyvendindama minėtus Konstitucijoje ir Vyriausybės įstatyme numatytus įgaliojimus, </w:t>
            </w:r>
            <w:r w:rsidRPr="005E4DAE">
              <w:rPr>
                <w:rFonts w:ascii="Times New Roman" w:hAnsi="Times New Roman" w:cs="Times New Roman"/>
                <w:i/>
                <w:sz w:val="24"/>
                <w:szCs w:val="24"/>
                <w:lang w:val="lt-LT" w:eastAsia="lt-LT"/>
              </w:rPr>
              <w:t>yra kompetentinga</w:t>
            </w:r>
            <w:r w:rsidRPr="005E4DAE">
              <w:rPr>
                <w:rFonts w:ascii="Times New Roman" w:hAnsi="Times New Roman" w:cs="Times New Roman"/>
                <w:sz w:val="24"/>
                <w:szCs w:val="24"/>
                <w:lang w:val="lt-LT" w:eastAsia="lt-LT"/>
              </w:rPr>
              <w:t xml:space="preserve"> nustatyti ministerijų, įstaigų prie ministerijų veiklos sritis ir funkcijas, </w:t>
            </w:r>
            <w:r w:rsidRPr="005E4DAE">
              <w:rPr>
                <w:rFonts w:ascii="Times New Roman" w:hAnsi="Times New Roman" w:cs="Times New Roman"/>
                <w:i/>
                <w:sz w:val="24"/>
                <w:szCs w:val="24"/>
                <w:lang w:val="lt-LT" w:eastAsia="lt-LT"/>
              </w:rPr>
              <w:t xml:space="preserve">spręsti su Vyriausybės ir jai atskaitingų įstaigų veiklos organizavimu susijusius klausimus. </w:t>
            </w:r>
            <w:r w:rsidRPr="005E4DAE">
              <w:rPr>
                <w:rFonts w:ascii="Times New Roman" w:hAnsi="Times New Roman" w:cs="Times New Roman"/>
                <w:sz w:val="24"/>
                <w:szCs w:val="24"/>
                <w:lang w:val="lt-LT" w:eastAsia="lt-LT"/>
              </w:rPr>
              <w:t>Atsižvelgiant į tai, manytume, kad Įstatymo projekte nurodyta veikla atitinkamai institucijai (Narkotikų, tabako ir alkoholio kontrolės departamentui (toliau – Departamentas) turėtų būti pavedama Vyriausybės, o ne Seimo sprendimu (esant būtinumui turėtų būti vartojamas žodžių junginys „Vyriausybės įgaliota institucija“).</w:t>
            </w:r>
            <w:r w:rsidRPr="005E4DAE">
              <w:rPr>
                <w:rFonts w:ascii="Times New Roman" w:hAnsi="Times New Roman" w:cs="Times New Roman"/>
                <w:sz w:val="24"/>
                <w:szCs w:val="24"/>
                <w:lang w:val="lt-LT"/>
              </w:rPr>
              <w:t xml:space="preserve"> </w:t>
            </w:r>
            <w:r w:rsidRPr="005E4DAE">
              <w:rPr>
                <w:rFonts w:ascii="Times New Roman" w:hAnsi="Times New Roman" w:cs="Times New Roman"/>
                <w:iCs/>
                <w:sz w:val="24"/>
                <w:szCs w:val="24"/>
                <w:lang w:val="lt-LT"/>
              </w:rPr>
              <w:t>Tokiu būdų būtų taip pat užtikrinta ir teisės aktų hierarchija ir ekonomiškumo principą atitinkanti teisėkūra.</w:t>
            </w:r>
            <w:r w:rsidRPr="005E4DAE">
              <w:rPr>
                <w:rFonts w:ascii="Times New Roman" w:hAnsi="Times New Roman" w:cs="Times New Roman"/>
                <w:sz w:val="24"/>
                <w:szCs w:val="24"/>
                <w:lang w:val="lt-LT"/>
              </w:rPr>
              <w:t xml:space="preserve"> </w:t>
            </w:r>
          </w:p>
          <w:p w:rsidR="003D5827" w:rsidRPr="005E4DAE"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Šiame kontekste pažymėtina, kad Vyriausybė 2019 m. liepos 7 d. nutarimu Nr. 686</w:t>
            </w:r>
            <w:r w:rsidRPr="005E4DAE">
              <w:rPr>
                <w:rStyle w:val="Puslapioinaosnuoroda"/>
                <w:rFonts w:ascii="Times New Roman" w:hAnsi="Times New Roman"/>
                <w:sz w:val="24"/>
                <w:szCs w:val="24"/>
                <w:lang w:val="lt-LT"/>
              </w:rPr>
              <w:footnoteReference w:id="1"/>
            </w:r>
            <w:r w:rsidRPr="005E4DAE">
              <w:rPr>
                <w:rFonts w:ascii="Times New Roman" w:hAnsi="Times New Roman" w:cs="Times New Roman"/>
                <w:sz w:val="24"/>
                <w:szCs w:val="24"/>
                <w:lang w:val="lt-LT"/>
              </w:rPr>
              <w:t xml:space="preserve"> teikė </w:t>
            </w:r>
            <w:r w:rsidRPr="005E4DAE">
              <w:rPr>
                <w:rFonts w:ascii="Times New Roman" w:hAnsi="Times New Roman" w:cs="Times New Roman"/>
                <w:sz w:val="24"/>
                <w:szCs w:val="24"/>
                <w:lang w:val="lt-LT"/>
              </w:rPr>
              <w:lastRenderedPageBreak/>
              <w:t>Seimui ir Narkotinių ir psichotropinių medžiagų pirmtakų (</w:t>
            </w:r>
            <w:proofErr w:type="spellStart"/>
            <w:r w:rsidRPr="005E4DAE">
              <w:rPr>
                <w:rFonts w:ascii="Times New Roman" w:hAnsi="Times New Roman" w:cs="Times New Roman"/>
                <w:sz w:val="24"/>
                <w:szCs w:val="24"/>
                <w:lang w:val="lt-LT"/>
              </w:rPr>
              <w:t>prekursorių</w:t>
            </w:r>
            <w:proofErr w:type="spellEnd"/>
            <w:r w:rsidRPr="005E4DAE">
              <w:rPr>
                <w:rFonts w:ascii="Times New Roman" w:hAnsi="Times New Roman" w:cs="Times New Roman"/>
                <w:sz w:val="24"/>
                <w:szCs w:val="24"/>
                <w:lang w:val="lt-LT"/>
              </w:rPr>
              <w:t>) kontrolės įstatymo pakeitimus, kuriuose buvo siūloma Lošimų priežiūros tarnybą prie Lietuvos Respublikos finansų ministerijos ir Departamentą jungimo būdu reorganizuoti į vieną įvairias priklausomybės sritis koordinuojančią ir prižiūrinčią biudžetinę įstaigą – Priklausomybių prevencijos ir priežiūros departamentą, kurio statusas yra Vyriausybės įstaiga, veikianti sveikatos apsaugos ministro valdymo srityje.</w:t>
            </w:r>
          </w:p>
          <w:p w:rsidR="003D5827" w:rsidRDefault="003D5827" w:rsidP="002D3CDA">
            <w:pPr>
              <w:spacing w:after="0" w:line="240" w:lineRule="auto"/>
              <w:jc w:val="both"/>
              <w:rPr>
                <w:rFonts w:ascii="Times New Roman" w:hAnsi="Times New Roman" w:cs="Times New Roman"/>
                <w:sz w:val="24"/>
                <w:szCs w:val="24"/>
                <w:lang w:val="lt-LT"/>
              </w:rPr>
            </w:pPr>
          </w:p>
          <w:p w:rsidR="003D5827" w:rsidRPr="005E4DAE"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 xml:space="preserve">Siekiant nuoseklios Vyriausybės pozicijos formavimo, siūlytume atitinkamai tikslinti ir Įstatymo projektą – tikslingiausia nenurodyti konkretaus įstaigos pavadinimo arba bent išlaikyti nuoseklią Vyriausybės poziciją. </w:t>
            </w:r>
          </w:p>
        </w:tc>
        <w:tc>
          <w:tcPr>
            <w:tcW w:w="7655" w:type="dxa"/>
          </w:tcPr>
          <w:p w:rsidR="003D5827" w:rsidRDefault="003D5827" w:rsidP="002D3CDA">
            <w:pPr>
              <w:spacing w:after="0" w:line="240" w:lineRule="auto"/>
              <w:jc w:val="both"/>
              <w:rPr>
                <w:rFonts w:ascii="Times New Roman" w:hAnsi="Times New Roman" w:cs="Times New Roman"/>
                <w:b/>
                <w:bCs/>
                <w:sz w:val="24"/>
                <w:szCs w:val="24"/>
                <w:lang w:val="lt-LT"/>
              </w:rPr>
            </w:pPr>
            <w:r w:rsidRPr="005E4DAE">
              <w:rPr>
                <w:rFonts w:ascii="Times New Roman" w:hAnsi="Times New Roman" w:cs="Times New Roman"/>
                <w:b/>
                <w:bCs/>
                <w:sz w:val="24"/>
                <w:szCs w:val="24"/>
                <w:lang w:val="lt-LT"/>
              </w:rPr>
              <w:lastRenderedPageBreak/>
              <w:t xml:space="preserve">Neatsižvelgta. </w:t>
            </w:r>
          </w:p>
          <w:p w:rsidR="003D5827" w:rsidRPr="005E4DAE" w:rsidRDefault="003D5827" w:rsidP="002D3CDA">
            <w:pPr>
              <w:spacing w:after="0" w:line="240" w:lineRule="auto"/>
              <w:jc w:val="both"/>
              <w:rPr>
                <w:rFonts w:ascii="Times New Roman" w:hAnsi="Times New Roman" w:cs="Times New Roman"/>
                <w:b/>
                <w:bCs/>
                <w:sz w:val="24"/>
                <w:szCs w:val="24"/>
                <w:lang w:val="lt-LT"/>
              </w:rPr>
            </w:pPr>
            <w:r w:rsidRPr="005E4DAE">
              <w:rPr>
                <w:rFonts w:ascii="Times New Roman" w:hAnsi="Times New Roman" w:cs="Times New Roman"/>
                <w:bCs/>
                <w:sz w:val="24"/>
                <w:szCs w:val="24"/>
                <w:lang w:val="lt-LT"/>
              </w:rPr>
              <w:t>Šiuo metu galiojančiame Lietuvos Respublikos sveikatos sistemos įstatymo 70</w:t>
            </w:r>
            <w:r w:rsidRPr="005E4DAE">
              <w:rPr>
                <w:rFonts w:ascii="Times New Roman" w:hAnsi="Times New Roman" w:cs="Times New Roman"/>
                <w:bCs/>
                <w:sz w:val="24"/>
                <w:szCs w:val="24"/>
                <w:vertAlign w:val="superscript"/>
                <w:lang w:val="lt-LT"/>
              </w:rPr>
              <w:t xml:space="preserve">1 </w:t>
            </w:r>
            <w:r w:rsidRPr="005E4DAE">
              <w:rPr>
                <w:rFonts w:ascii="Times New Roman" w:hAnsi="Times New Roman" w:cs="Times New Roman"/>
                <w:bCs/>
                <w:sz w:val="24"/>
                <w:szCs w:val="24"/>
                <w:lang w:val="lt-LT"/>
              </w:rPr>
              <w:t>straipsnyje nustatyta, kad narkotinių ir psichotropinių medžiagų pirmtakų (</w:t>
            </w:r>
            <w:proofErr w:type="spellStart"/>
            <w:r w:rsidRPr="005E4DAE">
              <w:rPr>
                <w:rFonts w:ascii="Times New Roman" w:hAnsi="Times New Roman" w:cs="Times New Roman"/>
                <w:bCs/>
                <w:sz w:val="24"/>
                <w:szCs w:val="24"/>
                <w:lang w:val="lt-LT"/>
              </w:rPr>
              <w:t>prekursorių</w:t>
            </w:r>
            <w:proofErr w:type="spellEnd"/>
            <w:r w:rsidRPr="005E4DAE">
              <w:rPr>
                <w:rFonts w:ascii="Times New Roman" w:hAnsi="Times New Roman" w:cs="Times New Roman"/>
                <w:bCs/>
                <w:sz w:val="24"/>
                <w:szCs w:val="24"/>
                <w:lang w:val="lt-LT"/>
              </w:rPr>
              <w:t>) kontrolės, leidimų veiklai su šiomis medžiagomis funkcijas atlieka Narkotikų, tabako ir alkoholio kontrolės departamentas.</w:t>
            </w:r>
            <w:r w:rsidRPr="005E4DAE">
              <w:rPr>
                <w:rFonts w:ascii="Times New Roman" w:hAnsi="Times New Roman" w:cs="Times New Roman"/>
                <w:b/>
                <w:bCs/>
                <w:sz w:val="24"/>
                <w:szCs w:val="24"/>
                <w:lang w:val="lt-LT"/>
              </w:rPr>
              <w:t xml:space="preserve"> </w:t>
            </w:r>
          </w:p>
        </w:tc>
      </w:tr>
      <w:tr w:rsidR="003D5827" w:rsidRPr="006F3F81" w:rsidTr="00845C04">
        <w:tc>
          <w:tcPr>
            <w:tcW w:w="1584" w:type="dxa"/>
          </w:tcPr>
          <w:p w:rsidR="003D5827" w:rsidRPr="005E4DAE" w:rsidRDefault="003D5827" w:rsidP="002D3CDA">
            <w:pPr>
              <w:spacing w:after="0" w:line="240" w:lineRule="auto"/>
              <w:jc w:val="both"/>
              <w:rPr>
                <w:rFonts w:ascii="Times New Roman" w:hAnsi="Times New Roman" w:cs="Times New Roman"/>
                <w:sz w:val="24"/>
                <w:szCs w:val="24"/>
                <w:lang w:val="lt-LT"/>
              </w:rPr>
            </w:pPr>
          </w:p>
        </w:tc>
        <w:tc>
          <w:tcPr>
            <w:tcW w:w="4937" w:type="dxa"/>
          </w:tcPr>
          <w:p w:rsidR="003D5827" w:rsidRPr="005E4DAE"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eastAsia="ar-SA"/>
              </w:rPr>
              <w:t>4.</w:t>
            </w:r>
            <w:r w:rsidRPr="005E4DAE">
              <w:rPr>
                <w:rFonts w:ascii="Times New Roman" w:hAnsi="Times New Roman" w:cs="Times New Roman"/>
                <w:sz w:val="24"/>
                <w:szCs w:val="24"/>
                <w:lang w:val="lt-LT"/>
              </w:rPr>
              <w:t xml:space="preserve"> Įstatymo projekto 1 str. 1 dalyje įtvirtinta, kad Įstatymo projekto tikslas nustatyti </w:t>
            </w:r>
            <w:r w:rsidRPr="005E4DAE">
              <w:rPr>
                <w:rFonts w:ascii="Times New Roman" w:hAnsi="Times New Roman" w:cs="Times New Roman"/>
                <w:i/>
                <w:iCs/>
                <w:sz w:val="24"/>
                <w:szCs w:val="24"/>
                <w:lang w:val="lt-LT"/>
              </w:rPr>
              <w:t>priemones</w:t>
            </w:r>
            <w:r w:rsidRPr="005E4DAE">
              <w:rPr>
                <w:rFonts w:ascii="Times New Roman" w:hAnsi="Times New Roman" w:cs="Times New Roman"/>
                <w:sz w:val="24"/>
                <w:szCs w:val="24"/>
                <w:lang w:val="lt-LT"/>
              </w:rPr>
              <w:t xml:space="preserve"> stebėti ir kontroliuoti </w:t>
            </w:r>
            <w:proofErr w:type="spellStart"/>
            <w:r w:rsidRPr="005E4DAE">
              <w:rPr>
                <w:rFonts w:ascii="Times New Roman" w:hAnsi="Times New Roman" w:cs="Times New Roman"/>
                <w:sz w:val="24"/>
                <w:szCs w:val="24"/>
                <w:lang w:val="lt-LT"/>
              </w:rPr>
              <w:t>prekursorius</w:t>
            </w:r>
            <w:proofErr w:type="spellEnd"/>
            <w:r w:rsidRPr="005E4DAE">
              <w:rPr>
                <w:rFonts w:ascii="Times New Roman" w:hAnsi="Times New Roman" w:cs="Times New Roman"/>
                <w:sz w:val="24"/>
                <w:szCs w:val="24"/>
                <w:lang w:val="lt-LT"/>
              </w:rPr>
              <w:t xml:space="preserve"> &lt;…&gt;, tačiau Įstatymo projekto turinyje jokios priemonės </w:t>
            </w:r>
            <w:r w:rsidRPr="005E4DAE">
              <w:rPr>
                <w:rFonts w:ascii="Times New Roman" w:hAnsi="Times New Roman" w:cs="Times New Roman"/>
                <w:sz w:val="24"/>
                <w:szCs w:val="24"/>
                <w:lang w:val="lt-LT"/>
              </w:rPr>
              <w:lastRenderedPageBreak/>
              <w:t>neišskiriamos, todėl pastaroji nuostata turėtų būti tikslinama.</w:t>
            </w:r>
          </w:p>
        </w:tc>
        <w:tc>
          <w:tcPr>
            <w:tcW w:w="7655" w:type="dxa"/>
          </w:tcPr>
          <w:p w:rsidR="003D5827" w:rsidRPr="005E4DAE" w:rsidRDefault="003D5827" w:rsidP="002D3CDA">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Atsižvelgta (pateikiamas paaiškinimas)</w:t>
            </w:r>
          </w:p>
          <w:p w:rsidR="003D5827" w:rsidRPr="005E4DAE"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Priemonės yra išvard</w:t>
            </w:r>
            <w:r>
              <w:rPr>
                <w:rFonts w:ascii="Times New Roman" w:hAnsi="Times New Roman" w:cs="Times New Roman"/>
                <w:sz w:val="24"/>
                <w:szCs w:val="24"/>
                <w:lang w:val="lt-LT"/>
              </w:rPr>
              <w:t>y</w:t>
            </w:r>
            <w:r w:rsidRPr="005E4DAE">
              <w:rPr>
                <w:rFonts w:ascii="Times New Roman" w:hAnsi="Times New Roman" w:cs="Times New Roman"/>
                <w:sz w:val="24"/>
                <w:szCs w:val="24"/>
                <w:lang w:val="lt-LT"/>
              </w:rPr>
              <w:t>tos III skyriuje</w:t>
            </w:r>
            <w:r>
              <w:rPr>
                <w:rFonts w:ascii="Times New Roman" w:hAnsi="Times New Roman" w:cs="Times New Roman"/>
                <w:sz w:val="24"/>
                <w:szCs w:val="24"/>
                <w:lang w:val="lt-LT"/>
              </w:rPr>
              <w:t>.</w:t>
            </w:r>
          </w:p>
          <w:p w:rsidR="003D5827" w:rsidRPr="002D3CDA" w:rsidRDefault="003D5827" w:rsidP="002D3CDA">
            <w:pPr>
              <w:spacing w:after="0" w:line="240" w:lineRule="auto"/>
              <w:jc w:val="both"/>
              <w:rPr>
                <w:rFonts w:ascii="Times New Roman" w:hAnsi="Times New Roman" w:cs="Times New Roman"/>
                <w:color w:val="000000"/>
                <w:sz w:val="24"/>
                <w:szCs w:val="24"/>
                <w:shd w:val="clear" w:color="auto" w:fill="FFFFFF"/>
                <w:lang w:val="lt-LT"/>
              </w:rPr>
            </w:pPr>
            <w:r w:rsidRPr="005E4DAE">
              <w:rPr>
                <w:rFonts w:ascii="Times New Roman" w:hAnsi="Times New Roman" w:cs="Times New Roman"/>
                <w:sz w:val="24"/>
                <w:szCs w:val="24"/>
                <w:lang w:val="lt-LT"/>
              </w:rPr>
              <w:t>Vadovaujantis R</w:t>
            </w:r>
            <w:r>
              <w:rPr>
                <w:rFonts w:ascii="Times New Roman" w:hAnsi="Times New Roman" w:cs="Times New Roman"/>
                <w:sz w:val="24"/>
                <w:szCs w:val="24"/>
                <w:lang w:val="lt-LT"/>
              </w:rPr>
              <w:t xml:space="preserve">eglamento </w:t>
            </w:r>
            <w:r w:rsidRPr="005E4DAE">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(EB) </w:t>
            </w:r>
            <w:r w:rsidRPr="005E4DAE">
              <w:rPr>
                <w:rFonts w:ascii="Times New Roman" w:hAnsi="Times New Roman" w:cs="Times New Roman"/>
                <w:sz w:val="24"/>
                <w:szCs w:val="24"/>
                <w:lang w:val="lt-LT"/>
              </w:rPr>
              <w:t>273/2004 10 str</w:t>
            </w:r>
            <w:r>
              <w:rPr>
                <w:rFonts w:ascii="Times New Roman" w:hAnsi="Times New Roman" w:cs="Times New Roman"/>
                <w:sz w:val="24"/>
                <w:szCs w:val="24"/>
                <w:lang w:val="lt-LT"/>
              </w:rPr>
              <w:t>aipsnio 1 dalies nuostatomis,</w:t>
            </w:r>
            <w:r>
              <w:rPr>
                <w:rFonts w:ascii="Times New Roman" w:hAnsi="Times New Roman" w:cs="Times New Roman"/>
                <w:color w:val="000000"/>
                <w:sz w:val="24"/>
                <w:szCs w:val="24"/>
                <w:shd w:val="clear" w:color="auto" w:fill="FFFFFF"/>
                <w:lang w:val="lt-LT"/>
              </w:rPr>
              <w:t xml:space="preserve"> „</w:t>
            </w:r>
            <w:r w:rsidRPr="005E4DAE">
              <w:rPr>
                <w:rFonts w:ascii="Times New Roman" w:hAnsi="Times New Roman" w:cs="Times New Roman"/>
                <w:color w:val="000000"/>
                <w:sz w:val="24"/>
                <w:szCs w:val="24"/>
                <w:shd w:val="clear" w:color="auto" w:fill="FFFFFF"/>
                <w:lang w:val="lt-LT"/>
              </w:rPr>
              <w:t xml:space="preserve">Siekdamos užtikrinti teisingą straipsnių nuo 3 iki 8 taikymą, </w:t>
            </w:r>
            <w:r w:rsidRPr="005E4DAE">
              <w:rPr>
                <w:rFonts w:ascii="Times New Roman" w:hAnsi="Times New Roman" w:cs="Times New Roman"/>
                <w:color w:val="000000"/>
                <w:sz w:val="24"/>
                <w:szCs w:val="24"/>
                <w:shd w:val="clear" w:color="auto" w:fill="FFFFFF"/>
                <w:lang w:val="lt-LT"/>
              </w:rPr>
              <w:lastRenderedPageBreak/>
              <w:t>visos valstybės narės priima priemones, kurios reikalingos siekiant leisti jų kompetentingoms institucijoms vykdyti kontrolės ir stebėjimo užduotis</w:t>
            </w:r>
            <w:r>
              <w:rPr>
                <w:rFonts w:ascii="Times New Roman" w:hAnsi="Times New Roman" w:cs="Times New Roman"/>
                <w:color w:val="000000"/>
                <w:sz w:val="24"/>
                <w:szCs w:val="24"/>
                <w:shd w:val="clear" w:color="auto" w:fill="FFFFFF"/>
                <w:lang w:val="lt-LT"/>
              </w:rPr>
              <w:t>, &lt;...&gt;“</w:t>
            </w:r>
          </w:p>
        </w:tc>
      </w:tr>
      <w:tr w:rsidR="003D5827" w:rsidRPr="006F3F81" w:rsidTr="00845C04">
        <w:tc>
          <w:tcPr>
            <w:tcW w:w="1584" w:type="dxa"/>
          </w:tcPr>
          <w:p w:rsidR="003D5827" w:rsidRPr="005E4DAE" w:rsidRDefault="003D5827" w:rsidP="002D3CDA">
            <w:pPr>
              <w:spacing w:after="0" w:line="240" w:lineRule="auto"/>
              <w:jc w:val="both"/>
              <w:rPr>
                <w:rFonts w:ascii="Times New Roman" w:hAnsi="Times New Roman" w:cs="Times New Roman"/>
                <w:sz w:val="24"/>
                <w:szCs w:val="24"/>
                <w:lang w:val="lt-LT"/>
              </w:rPr>
            </w:pPr>
          </w:p>
        </w:tc>
        <w:tc>
          <w:tcPr>
            <w:tcW w:w="4937" w:type="dxa"/>
          </w:tcPr>
          <w:p w:rsidR="003D5827" w:rsidRPr="005E4DAE"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8. Vertinant Įstatymo projekto 14 str. 1 dalies bei 2 str. 9 dalies nuostatas bei siekiant teisinio reguliavimo lakoniškumo, siūlytume įvertinti galimybę kaip besidubliuojančių atsisakyti Įstatymo projekto 2 str. 2 ir 3 dalių. Šios pastabos kontekste turėtų būti peržiūrėtos ir kitos sąvokų apibrėžtys ir jų poreikis vertinant jas Įstatymo projekto turinio kontekste.</w:t>
            </w:r>
          </w:p>
        </w:tc>
        <w:tc>
          <w:tcPr>
            <w:tcW w:w="7655" w:type="dxa"/>
          </w:tcPr>
          <w:p w:rsidR="003D5827"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b/>
                <w:sz w:val="24"/>
                <w:szCs w:val="24"/>
                <w:lang w:val="lt-LT"/>
              </w:rPr>
              <w:t>Atsižvelgta iš dalies.</w:t>
            </w:r>
            <w:r w:rsidRPr="005E4DAE">
              <w:rPr>
                <w:rFonts w:ascii="Times New Roman" w:hAnsi="Times New Roman" w:cs="Times New Roman"/>
                <w:sz w:val="24"/>
                <w:szCs w:val="24"/>
                <w:lang w:val="lt-LT"/>
              </w:rPr>
              <w:t xml:space="preserve">  </w:t>
            </w:r>
          </w:p>
          <w:p w:rsidR="003D5827"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Patikslint</w:t>
            </w:r>
            <w:r>
              <w:rPr>
                <w:rFonts w:ascii="Times New Roman" w:hAnsi="Times New Roman" w:cs="Times New Roman"/>
                <w:sz w:val="24"/>
                <w:szCs w:val="24"/>
                <w:lang w:val="lt-LT"/>
              </w:rPr>
              <w:t>os</w:t>
            </w:r>
            <w:r w:rsidRPr="005E4DAE">
              <w:rPr>
                <w:rFonts w:ascii="Times New Roman" w:hAnsi="Times New Roman" w:cs="Times New Roman"/>
                <w:sz w:val="24"/>
                <w:szCs w:val="24"/>
                <w:lang w:val="lt-LT"/>
              </w:rPr>
              <w:t xml:space="preserve"> Įstatymo projekto 2 </w:t>
            </w:r>
            <w:r>
              <w:rPr>
                <w:rFonts w:ascii="Times New Roman" w:hAnsi="Times New Roman" w:cs="Times New Roman"/>
                <w:sz w:val="24"/>
                <w:szCs w:val="24"/>
                <w:lang w:val="lt-LT"/>
              </w:rPr>
              <w:t xml:space="preserve">straipsnio nuostatos, atsisakyta buvusio </w:t>
            </w:r>
            <w:r w:rsidRPr="005E4DAE">
              <w:rPr>
                <w:rFonts w:ascii="Times New Roman" w:hAnsi="Times New Roman" w:cs="Times New Roman"/>
                <w:sz w:val="24"/>
                <w:szCs w:val="24"/>
                <w:lang w:val="lt-LT"/>
              </w:rPr>
              <w:t>14 straipsni</w:t>
            </w:r>
            <w:r>
              <w:rPr>
                <w:rFonts w:ascii="Times New Roman" w:hAnsi="Times New Roman" w:cs="Times New Roman"/>
                <w:sz w:val="24"/>
                <w:szCs w:val="24"/>
                <w:lang w:val="lt-LT"/>
              </w:rPr>
              <w:t>o nuostatų.</w:t>
            </w:r>
          </w:p>
          <w:p w:rsidR="003D5827" w:rsidRPr="005E4DAE"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 xml:space="preserve">Įstatymo projekto 2 straipsnyje sąvokas palikti </w:t>
            </w:r>
            <w:r>
              <w:rPr>
                <w:rFonts w:ascii="Times New Roman" w:hAnsi="Times New Roman" w:cs="Times New Roman"/>
                <w:sz w:val="24"/>
                <w:szCs w:val="24"/>
                <w:lang w:val="lt-LT"/>
              </w:rPr>
              <w:t xml:space="preserve">tikslinga </w:t>
            </w:r>
            <w:r w:rsidRPr="005E4DAE">
              <w:rPr>
                <w:rFonts w:ascii="Times New Roman" w:hAnsi="Times New Roman" w:cs="Times New Roman"/>
                <w:sz w:val="24"/>
                <w:szCs w:val="24"/>
                <w:lang w:val="lt-LT"/>
              </w:rPr>
              <w:t xml:space="preserve">subjektų, ketinančių vykdyti veiklą su </w:t>
            </w:r>
            <w:proofErr w:type="spellStart"/>
            <w:r w:rsidRPr="005E4DAE">
              <w:rPr>
                <w:rFonts w:ascii="Times New Roman" w:hAnsi="Times New Roman" w:cs="Times New Roman"/>
                <w:sz w:val="24"/>
                <w:szCs w:val="24"/>
                <w:lang w:val="lt-LT"/>
              </w:rPr>
              <w:t>prekursoriais</w:t>
            </w:r>
            <w:proofErr w:type="spellEnd"/>
            <w:r w:rsidRPr="005E4DAE">
              <w:rPr>
                <w:rFonts w:ascii="Times New Roman" w:hAnsi="Times New Roman" w:cs="Times New Roman"/>
                <w:sz w:val="24"/>
                <w:szCs w:val="24"/>
                <w:lang w:val="lt-LT"/>
              </w:rPr>
              <w:t>, aiškumui ir patogumui.</w:t>
            </w:r>
          </w:p>
          <w:p w:rsidR="003D5827" w:rsidRPr="005E4DAE" w:rsidRDefault="003D5827" w:rsidP="002D3CDA">
            <w:pPr>
              <w:spacing w:after="0" w:line="240" w:lineRule="auto"/>
              <w:jc w:val="both"/>
              <w:rPr>
                <w:rFonts w:ascii="Times New Roman" w:hAnsi="Times New Roman" w:cs="Times New Roman"/>
                <w:b/>
                <w:sz w:val="24"/>
                <w:szCs w:val="24"/>
                <w:lang w:val="lt-LT"/>
              </w:rPr>
            </w:pPr>
          </w:p>
        </w:tc>
      </w:tr>
      <w:tr w:rsidR="003D5827" w:rsidRPr="006F3F81" w:rsidTr="00845C04">
        <w:tc>
          <w:tcPr>
            <w:tcW w:w="1584" w:type="dxa"/>
          </w:tcPr>
          <w:p w:rsidR="003D5827" w:rsidRPr="00BA0277" w:rsidRDefault="003D5827" w:rsidP="002D3CDA">
            <w:pPr>
              <w:spacing w:after="0" w:line="240" w:lineRule="auto"/>
              <w:jc w:val="both"/>
              <w:rPr>
                <w:rFonts w:ascii="Times New Roman" w:hAnsi="Times New Roman" w:cs="Times New Roman"/>
                <w:sz w:val="24"/>
                <w:szCs w:val="24"/>
                <w:lang w:val="lt-LT"/>
              </w:rPr>
            </w:pPr>
          </w:p>
        </w:tc>
        <w:tc>
          <w:tcPr>
            <w:tcW w:w="4937" w:type="dxa"/>
          </w:tcPr>
          <w:p w:rsidR="003D5827" w:rsidRPr="00BA0277" w:rsidRDefault="003D5827" w:rsidP="002D3CDA">
            <w:pPr>
              <w:spacing w:after="0" w:line="240" w:lineRule="auto"/>
              <w:jc w:val="both"/>
              <w:rPr>
                <w:rFonts w:ascii="Times New Roman" w:hAnsi="Times New Roman" w:cs="Times New Roman"/>
                <w:sz w:val="24"/>
                <w:szCs w:val="24"/>
                <w:lang w:val="lt-LT"/>
              </w:rPr>
            </w:pPr>
            <w:r w:rsidRPr="00BA0277">
              <w:rPr>
                <w:rFonts w:ascii="Times New Roman" w:hAnsi="Times New Roman" w:cs="Times New Roman"/>
                <w:sz w:val="24"/>
                <w:szCs w:val="24"/>
                <w:lang w:val="lt-LT"/>
              </w:rPr>
              <w:t>9. Turėtų būti peržiūrėtas Įstatymo projekto 3 straipsnis, reglamentuojantis nepriekaištingos reputacijos reikalavimus asmenims, atsižvelgiant į šiuos aspektus:&lt;...&gt;</w:t>
            </w:r>
          </w:p>
          <w:p w:rsidR="003D5827" w:rsidRPr="00BA0277" w:rsidRDefault="003D5827" w:rsidP="002D3CDA">
            <w:pPr>
              <w:spacing w:after="0" w:line="240" w:lineRule="auto"/>
              <w:jc w:val="both"/>
              <w:rPr>
                <w:rFonts w:ascii="Times New Roman" w:hAnsi="Times New Roman" w:cs="Times New Roman"/>
                <w:sz w:val="24"/>
                <w:szCs w:val="24"/>
                <w:lang w:val="lt-LT"/>
              </w:rPr>
            </w:pPr>
            <w:r w:rsidRPr="00BA0277">
              <w:rPr>
                <w:rFonts w:ascii="Times New Roman" w:hAnsi="Times New Roman" w:cs="Times New Roman"/>
                <w:sz w:val="24"/>
                <w:szCs w:val="24"/>
                <w:lang w:val="lt-LT"/>
              </w:rPr>
              <w:t xml:space="preserve">- siūlytume įvertinti, ar Įstatymo projekto 3 str. 2 punkte įtvirtintas nepriekaištingos reputacijos reikalavimas yra pakankamai pagrįstas, kuriuo remiantis galėtų būti neišduodamas atitinkamas leidimas, o jeigu išduodamas - stabdomas ar panaikinamas, jeigu Organizuoto nusikalstamumo užkardymo įstatyme nustatytos tik prevencinės poveikio priemonės, kurios gali būti taikomos asmenims, jei iš įstatymų nustatyta tvarka gautų duomenų apie šių asmenų ryšius su organizuotomis grupėmis, nusikalstamais susivienijimais ar jų nariais </w:t>
            </w:r>
            <w:r w:rsidRPr="00BA0277">
              <w:rPr>
                <w:rFonts w:ascii="Times New Roman" w:hAnsi="Times New Roman" w:cs="Times New Roman"/>
                <w:i/>
                <w:iCs/>
                <w:sz w:val="24"/>
                <w:szCs w:val="24"/>
                <w:lang w:val="lt-LT"/>
              </w:rPr>
              <w:t>yra pakankamas pagrindas manyti</w:t>
            </w:r>
            <w:r w:rsidRPr="00BA0277">
              <w:rPr>
                <w:rFonts w:ascii="Times New Roman" w:hAnsi="Times New Roman" w:cs="Times New Roman"/>
                <w:sz w:val="24"/>
                <w:szCs w:val="24"/>
                <w:lang w:val="lt-LT"/>
              </w:rPr>
              <w:t>, kad šie asmenys gali daryti sunkius ar labai sunkius nusikaltimus ir prevencines poveikio priemones reikia taikyti siekiant garantuoti visuomenės bei valstybės saugumą, užtikrinti viešąją tvarką, asmenų teises ir laisves.</w:t>
            </w:r>
          </w:p>
        </w:tc>
        <w:tc>
          <w:tcPr>
            <w:tcW w:w="7655" w:type="dxa"/>
          </w:tcPr>
          <w:p w:rsidR="003D5827" w:rsidRPr="00BA0277" w:rsidRDefault="003D5827" w:rsidP="002D3CDA">
            <w:pPr>
              <w:spacing w:after="0" w:line="240" w:lineRule="auto"/>
              <w:jc w:val="both"/>
              <w:rPr>
                <w:rFonts w:ascii="Times New Roman" w:hAnsi="Times New Roman" w:cs="Times New Roman"/>
                <w:b/>
                <w:bCs/>
                <w:sz w:val="24"/>
                <w:szCs w:val="24"/>
                <w:lang w:val="lt-LT"/>
              </w:rPr>
            </w:pPr>
            <w:r w:rsidRPr="00BA0277">
              <w:rPr>
                <w:rFonts w:ascii="Times New Roman" w:hAnsi="Times New Roman" w:cs="Times New Roman"/>
                <w:b/>
                <w:bCs/>
                <w:sz w:val="24"/>
                <w:szCs w:val="24"/>
                <w:lang w:val="lt-LT"/>
              </w:rPr>
              <w:t xml:space="preserve">Neatsižvelgta. </w:t>
            </w:r>
          </w:p>
          <w:p w:rsidR="003D5827" w:rsidRPr="00BA0277" w:rsidRDefault="003D5827" w:rsidP="002D3CDA">
            <w:pPr>
              <w:spacing w:after="0" w:line="240" w:lineRule="auto"/>
              <w:jc w:val="both"/>
              <w:rPr>
                <w:rFonts w:ascii="Times New Roman" w:hAnsi="Times New Roman" w:cs="Times New Roman"/>
                <w:b/>
                <w:sz w:val="24"/>
                <w:szCs w:val="24"/>
                <w:lang w:val="lt-LT"/>
              </w:rPr>
            </w:pPr>
            <w:r w:rsidRPr="00BA0277">
              <w:rPr>
                <w:rFonts w:ascii="Times New Roman" w:hAnsi="Times New Roman" w:cs="Times New Roman"/>
                <w:sz w:val="24"/>
                <w:szCs w:val="24"/>
                <w:lang w:val="lt-LT"/>
              </w:rPr>
              <w:t>Narkotinių ir psichotropinių medžiagų pirmtakai (</w:t>
            </w:r>
            <w:proofErr w:type="spellStart"/>
            <w:r w:rsidRPr="00BA0277">
              <w:rPr>
                <w:rFonts w:ascii="Times New Roman" w:hAnsi="Times New Roman" w:cs="Times New Roman"/>
                <w:sz w:val="24"/>
                <w:szCs w:val="24"/>
                <w:lang w:val="lt-LT"/>
              </w:rPr>
              <w:t>prekursoriai</w:t>
            </w:r>
            <w:proofErr w:type="spellEnd"/>
            <w:r w:rsidRPr="00BA0277">
              <w:rPr>
                <w:rFonts w:ascii="Times New Roman" w:hAnsi="Times New Roman" w:cs="Times New Roman"/>
                <w:sz w:val="24"/>
                <w:szCs w:val="24"/>
                <w:lang w:val="lt-LT"/>
              </w:rPr>
              <w:t xml:space="preserve">), tai medžiagos, kurios gali būti naudojamos neteisėtai narkotinių ir psichotropinių medžiagų gamybai. Siekiant įgyvendinti pagrindinį Įstatymo projekto </w:t>
            </w:r>
            <w:r>
              <w:rPr>
                <w:rFonts w:ascii="Times New Roman" w:hAnsi="Times New Roman" w:cs="Times New Roman"/>
                <w:sz w:val="24"/>
                <w:szCs w:val="24"/>
                <w:lang w:val="lt-LT"/>
              </w:rPr>
              <w:t>siekį</w:t>
            </w:r>
            <w:r w:rsidRPr="00BA0277">
              <w:rPr>
                <w:rFonts w:ascii="Times New Roman" w:hAnsi="Times New Roman" w:cs="Times New Roman"/>
                <w:sz w:val="24"/>
                <w:szCs w:val="24"/>
                <w:lang w:val="lt-LT"/>
              </w:rPr>
              <w:t xml:space="preserve"> – užkirsti kelią ši</w:t>
            </w:r>
            <w:r>
              <w:rPr>
                <w:rFonts w:ascii="Times New Roman" w:hAnsi="Times New Roman" w:cs="Times New Roman"/>
                <w:sz w:val="24"/>
                <w:szCs w:val="24"/>
                <w:lang w:val="lt-LT"/>
              </w:rPr>
              <w:t>oms</w:t>
            </w:r>
            <w:r w:rsidRPr="00BA0277">
              <w:rPr>
                <w:rFonts w:ascii="Times New Roman" w:hAnsi="Times New Roman" w:cs="Times New Roman"/>
                <w:sz w:val="24"/>
                <w:szCs w:val="24"/>
                <w:lang w:val="lt-LT"/>
              </w:rPr>
              <w:t xml:space="preserve"> medžiag</w:t>
            </w:r>
            <w:r>
              <w:rPr>
                <w:rFonts w:ascii="Times New Roman" w:hAnsi="Times New Roman" w:cs="Times New Roman"/>
                <w:sz w:val="24"/>
                <w:szCs w:val="24"/>
                <w:lang w:val="lt-LT"/>
              </w:rPr>
              <w:t>oms</w:t>
            </w:r>
            <w:r w:rsidRPr="00BA0277">
              <w:rPr>
                <w:rFonts w:ascii="Times New Roman" w:hAnsi="Times New Roman" w:cs="Times New Roman"/>
                <w:sz w:val="24"/>
                <w:szCs w:val="24"/>
                <w:lang w:val="lt-LT"/>
              </w:rPr>
              <w:t xml:space="preserve"> patek</w:t>
            </w:r>
            <w:r>
              <w:rPr>
                <w:rFonts w:ascii="Times New Roman" w:hAnsi="Times New Roman" w:cs="Times New Roman"/>
                <w:sz w:val="24"/>
                <w:szCs w:val="24"/>
                <w:lang w:val="lt-LT"/>
              </w:rPr>
              <w:t>ti</w:t>
            </w:r>
            <w:r w:rsidRPr="00BA0277">
              <w:rPr>
                <w:rFonts w:ascii="Times New Roman" w:hAnsi="Times New Roman" w:cs="Times New Roman"/>
                <w:sz w:val="24"/>
                <w:szCs w:val="24"/>
                <w:lang w:val="lt-LT"/>
              </w:rPr>
              <w:t xml:space="preserve"> į neteisėtą rinką, svarbu, kad teisėtą veiklą su jomis vykdytų tik patikimi, nepriekaištingos reputacijos subjektai. Reglamento (EB) Nr. 273/2004 preambulės 15 įtraukoje nurodyta, kad &lt;..</w:t>
            </w:r>
            <w:r>
              <w:rPr>
                <w:rFonts w:ascii="Times New Roman" w:hAnsi="Times New Roman" w:cs="Times New Roman"/>
                <w:sz w:val="24"/>
                <w:szCs w:val="24"/>
                <w:lang w:val="lt-LT"/>
              </w:rPr>
              <w:t>.&gt;</w:t>
            </w:r>
            <w:r w:rsidRPr="00BA0277">
              <w:rPr>
                <w:rFonts w:ascii="Times New Roman" w:hAnsi="Times New Roman" w:cs="Times New Roman"/>
                <w:sz w:val="24"/>
                <w:szCs w:val="24"/>
                <w:lang w:val="lt-LT"/>
              </w:rPr>
              <w:t xml:space="preserve"> Atsižvelgiant į tai, kad prekyba pirmtakais (</w:t>
            </w:r>
            <w:proofErr w:type="spellStart"/>
            <w:r w:rsidRPr="00BA0277">
              <w:rPr>
                <w:rFonts w:ascii="Times New Roman" w:hAnsi="Times New Roman" w:cs="Times New Roman"/>
                <w:sz w:val="24"/>
                <w:szCs w:val="24"/>
                <w:lang w:val="lt-LT"/>
              </w:rPr>
              <w:t>prekursoriais</w:t>
            </w:r>
            <w:proofErr w:type="spellEnd"/>
            <w:r w:rsidRPr="00BA0277">
              <w:rPr>
                <w:rFonts w:ascii="Times New Roman" w:hAnsi="Times New Roman" w:cs="Times New Roman"/>
                <w:sz w:val="24"/>
                <w:szCs w:val="24"/>
                <w:lang w:val="lt-LT"/>
              </w:rPr>
              <w:t>) įgalina neteisėtai gaminti sintetines narkotines ir psichotropines medžiagas, valstybės narės turėtų laisvai pasirinkti labiausiai atgrasančias bausmes, galimas pagal jų nacionalinius teisės aktus.</w:t>
            </w:r>
            <w:r>
              <w:rPr>
                <w:rFonts w:ascii="Times New Roman" w:hAnsi="Times New Roman" w:cs="Times New Roman"/>
                <w:sz w:val="24"/>
                <w:szCs w:val="24"/>
                <w:lang w:val="lt-LT"/>
              </w:rPr>
              <w:t xml:space="preserve"> &lt;...&gt;</w:t>
            </w:r>
            <w:r w:rsidRPr="00BA0277">
              <w:rPr>
                <w:rFonts w:ascii="Times New Roman" w:hAnsi="Times New Roman" w:cs="Times New Roman"/>
                <w:sz w:val="24"/>
                <w:szCs w:val="24"/>
                <w:lang w:val="lt-LT"/>
              </w:rPr>
              <w:t xml:space="preserve"> </w:t>
            </w:r>
            <w:r w:rsidRPr="00BA0277">
              <w:rPr>
                <w:rFonts w:ascii="Times New Roman" w:hAnsi="Times New Roman" w:cs="Times New Roman"/>
                <w:b/>
                <w:bCs/>
                <w:sz w:val="24"/>
                <w:szCs w:val="24"/>
                <w:lang w:val="lt-LT"/>
              </w:rPr>
              <w:t>Siekiant visuomenės saugumo, įvertinant narkotinių medžiagų poveikį žmonių sveikatai, veiklą su minėtomis medžiagomis gali vykdyti tik visapusiškai nepriekaištingos reputacijos asmenys.</w:t>
            </w:r>
          </w:p>
        </w:tc>
      </w:tr>
      <w:tr w:rsidR="003D5827" w:rsidRPr="006F3F81" w:rsidTr="00845C04">
        <w:tc>
          <w:tcPr>
            <w:tcW w:w="1584" w:type="dxa"/>
          </w:tcPr>
          <w:p w:rsidR="003D5827" w:rsidRPr="005E4DAE" w:rsidRDefault="003D5827" w:rsidP="002D3CDA">
            <w:pPr>
              <w:spacing w:after="0" w:line="240" w:lineRule="auto"/>
              <w:jc w:val="both"/>
              <w:rPr>
                <w:rFonts w:ascii="Times New Roman" w:hAnsi="Times New Roman" w:cs="Times New Roman"/>
                <w:sz w:val="24"/>
                <w:szCs w:val="24"/>
                <w:lang w:val="lt-LT"/>
              </w:rPr>
            </w:pPr>
          </w:p>
        </w:tc>
        <w:tc>
          <w:tcPr>
            <w:tcW w:w="4937" w:type="dxa"/>
          </w:tcPr>
          <w:p w:rsidR="003D5827" w:rsidRPr="002039B9" w:rsidRDefault="003D5827" w:rsidP="002D3CDA">
            <w:pPr>
              <w:spacing w:after="0" w:line="240" w:lineRule="auto"/>
              <w:jc w:val="both"/>
              <w:rPr>
                <w:rFonts w:ascii="Times New Roman" w:hAnsi="Times New Roman" w:cs="Times New Roman"/>
                <w:sz w:val="24"/>
                <w:szCs w:val="24"/>
                <w:lang w:val="lt-LT" w:eastAsia="lt-LT"/>
              </w:rPr>
            </w:pPr>
            <w:r w:rsidRPr="005E4DAE">
              <w:rPr>
                <w:rFonts w:ascii="Times New Roman" w:hAnsi="Times New Roman" w:cs="Times New Roman"/>
                <w:sz w:val="24"/>
                <w:szCs w:val="24"/>
                <w:lang w:val="lt-LT" w:eastAsia="lt-LT"/>
              </w:rPr>
              <w:t>26. Pažymėtina, kad Įstatymo projekto II skyriaus trečiame skirsnyje nėra įtvirtinti esminiai reikalavimai</w:t>
            </w:r>
            <w:r>
              <w:rPr>
                <w:rFonts w:ascii="Times New Roman" w:hAnsi="Times New Roman" w:cs="Times New Roman"/>
                <w:sz w:val="24"/>
                <w:szCs w:val="24"/>
                <w:lang w:val="lt-LT" w:eastAsia="lt-LT"/>
              </w:rPr>
              <w:t xml:space="preserve"> </w:t>
            </w:r>
            <w:r w:rsidRPr="005E4DAE">
              <w:rPr>
                <w:rFonts w:ascii="Times New Roman" w:hAnsi="Times New Roman" w:cs="Times New Roman"/>
                <w:sz w:val="24"/>
                <w:szCs w:val="24"/>
                <w:lang w:val="lt-LT" w:eastAsia="lt-LT"/>
              </w:rPr>
              <w:t>/</w:t>
            </w:r>
            <w:r>
              <w:rPr>
                <w:rFonts w:ascii="Times New Roman" w:hAnsi="Times New Roman" w:cs="Times New Roman"/>
                <w:sz w:val="24"/>
                <w:szCs w:val="24"/>
                <w:lang w:val="lt-LT" w:eastAsia="lt-LT"/>
              </w:rPr>
              <w:t xml:space="preserve"> </w:t>
            </w:r>
            <w:r w:rsidRPr="005E4DAE">
              <w:rPr>
                <w:rFonts w:ascii="Times New Roman" w:hAnsi="Times New Roman" w:cs="Times New Roman"/>
                <w:sz w:val="24"/>
                <w:szCs w:val="24"/>
                <w:lang w:val="lt-LT" w:eastAsia="lt-LT"/>
              </w:rPr>
              <w:t>sąlygos subjektams, siekiantiems gauti importo ir (ar) eksporto leidimus, kas turėtų būti nustatyta įstatyminio lygmens nuostatose, vadovaujantis Licencijavimo pagrindų aprašo, todėl nurodomą teisinį reguliavimą siūlytume tikslinti.</w:t>
            </w:r>
          </w:p>
        </w:tc>
        <w:tc>
          <w:tcPr>
            <w:tcW w:w="7655" w:type="dxa"/>
          </w:tcPr>
          <w:p w:rsidR="003D5827" w:rsidRDefault="003D5827" w:rsidP="002D3CDA">
            <w:pPr>
              <w:spacing w:after="0" w:line="240" w:lineRule="auto"/>
              <w:jc w:val="both"/>
              <w:rPr>
                <w:rFonts w:ascii="Times New Roman" w:hAnsi="Times New Roman" w:cs="Times New Roman"/>
                <w:b/>
                <w:bCs/>
                <w:sz w:val="24"/>
                <w:szCs w:val="24"/>
                <w:lang w:val="lt-LT"/>
              </w:rPr>
            </w:pPr>
            <w:r w:rsidRPr="005E4DAE">
              <w:rPr>
                <w:rFonts w:ascii="Times New Roman" w:hAnsi="Times New Roman" w:cs="Times New Roman"/>
                <w:b/>
                <w:bCs/>
                <w:sz w:val="24"/>
                <w:szCs w:val="24"/>
                <w:lang w:val="lt-LT"/>
              </w:rPr>
              <w:t xml:space="preserve">Atsižvelgta iš dalies. </w:t>
            </w:r>
          </w:p>
          <w:p w:rsidR="003D5827" w:rsidRPr="005E4DAE" w:rsidRDefault="003D5827" w:rsidP="002D3CDA">
            <w:pPr>
              <w:spacing w:after="0" w:line="240" w:lineRule="auto"/>
              <w:jc w:val="both"/>
              <w:rPr>
                <w:rFonts w:ascii="Times New Roman" w:hAnsi="Times New Roman" w:cs="Times New Roman"/>
                <w:b/>
                <w:bCs/>
                <w:sz w:val="24"/>
                <w:szCs w:val="24"/>
                <w:lang w:val="lt-LT"/>
              </w:rPr>
            </w:pPr>
            <w:r w:rsidRPr="005E4DAE">
              <w:rPr>
                <w:rFonts w:ascii="Times New Roman" w:hAnsi="Times New Roman" w:cs="Times New Roman"/>
                <w:bCs/>
                <w:sz w:val="24"/>
                <w:szCs w:val="24"/>
                <w:lang w:val="lt-LT"/>
              </w:rPr>
              <w:t>Įstatymo projekto 1</w:t>
            </w:r>
            <w:r>
              <w:rPr>
                <w:rFonts w:ascii="Times New Roman" w:hAnsi="Times New Roman" w:cs="Times New Roman"/>
                <w:bCs/>
                <w:sz w:val="24"/>
                <w:szCs w:val="24"/>
              </w:rPr>
              <w:t>2</w:t>
            </w:r>
            <w:r w:rsidRPr="005E4DAE">
              <w:rPr>
                <w:rFonts w:ascii="Times New Roman" w:hAnsi="Times New Roman" w:cs="Times New Roman"/>
                <w:bCs/>
                <w:sz w:val="24"/>
                <w:szCs w:val="24"/>
                <w:lang w:val="lt-LT"/>
              </w:rPr>
              <w:t xml:space="preserve"> straipsnis papildytas nuostata, kad</w:t>
            </w:r>
            <w:r w:rsidRPr="005E4DAE">
              <w:rPr>
                <w:rFonts w:ascii="Times New Roman" w:hAnsi="Times New Roman" w:cs="Times New Roman"/>
                <w:b/>
                <w:bCs/>
                <w:sz w:val="24"/>
                <w:szCs w:val="24"/>
                <w:lang w:val="lt-LT"/>
              </w:rPr>
              <w:t xml:space="preserve"> </w:t>
            </w:r>
            <w:r w:rsidRPr="002039B9">
              <w:rPr>
                <w:rFonts w:ascii="Times New Roman" w:hAnsi="Times New Roman" w:cs="Times New Roman"/>
                <w:sz w:val="24"/>
                <w:szCs w:val="24"/>
                <w:lang w:val="lt-LT"/>
              </w:rPr>
              <w:t>i</w:t>
            </w:r>
            <w:r w:rsidRPr="005E4DAE">
              <w:rPr>
                <w:rFonts w:ascii="Times New Roman" w:hAnsi="Times New Roman" w:cs="Times New Roman"/>
                <w:sz w:val="24"/>
                <w:szCs w:val="24"/>
                <w:lang w:val="lt-LT" w:eastAsia="lt-LT"/>
              </w:rPr>
              <w:t xml:space="preserve">mporto ar eksporto leidimas gali būti išduodamas tik tiems subjektams, kurie turi licencijas ar specialiąsias licencijas, veiklos vietos registracijos pažymėjimus ar veiklos vietos specialiuosius registracijos pažymėjimus. Taigi, </w:t>
            </w:r>
            <w:r w:rsidRPr="002039B9">
              <w:rPr>
                <w:rFonts w:ascii="Times New Roman" w:hAnsi="Times New Roman" w:cs="Times New Roman"/>
                <w:sz w:val="24"/>
                <w:szCs w:val="24"/>
                <w:u w:val="single"/>
                <w:lang w:val="lt-LT" w:eastAsia="lt-LT"/>
              </w:rPr>
              <w:t>importo ir eksporto leidimai gali būti išduodami tik</w:t>
            </w:r>
            <w:r w:rsidRPr="005E4DAE">
              <w:rPr>
                <w:rFonts w:ascii="Times New Roman" w:hAnsi="Times New Roman" w:cs="Times New Roman"/>
                <w:sz w:val="24"/>
                <w:szCs w:val="24"/>
                <w:lang w:val="lt-LT" w:eastAsia="lt-LT"/>
              </w:rPr>
              <w:t xml:space="preserve"> </w:t>
            </w:r>
            <w:r w:rsidRPr="005E4DAE">
              <w:rPr>
                <w:rFonts w:ascii="Times New Roman" w:hAnsi="Times New Roman" w:cs="Times New Roman"/>
                <w:sz w:val="24"/>
                <w:szCs w:val="24"/>
                <w:u w:val="single"/>
                <w:lang w:val="lt-LT" w:eastAsia="lt-LT"/>
              </w:rPr>
              <w:t>jau Įstatyme nustatytiems reikalavimams atitinkantiems subjektams</w:t>
            </w:r>
            <w:r w:rsidRPr="005E4DAE">
              <w:rPr>
                <w:rFonts w:ascii="Times New Roman" w:hAnsi="Times New Roman" w:cs="Times New Roman"/>
                <w:sz w:val="24"/>
                <w:szCs w:val="24"/>
                <w:lang w:val="lt-LT" w:eastAsia="lt-LT"/>
              </w:rPr>
              <w:t>, todėl man</w:t>
            </w:r>
            <w:r>
              <w:rPr>
                <w:rFonts w:ascii="Times New Roman" w:hAnsi="Times New Roman" w:cs="Times New Roman"/>
                <w:sz w:val="24"/>
                <w:szCs w:val="24"/>
                <w:lang w:val="lt-LT" w:eastAsia="lt-LT"/>
              </w:rPr>
              <w:t>ytina, kad</w:t>
            </w:r>
            <w:r w:rsidRPr="005E4DAE">
              <w:rPr>
                <w:rFonts w:ascii="Times New Roman" w:hAnsi="Times New Roman" w:cs="Times New Roman"/>
                <w:sz w:val="24"/>
                <w:szCs w:val="24"/>
                <w:lang w:val="lt-LT" w:eastAsia="lt-LT"/>
              </w:rPr>
              <w:t xml:space="preserve"> pakartotinai įtvirtinti reikalavimus, kuriuos turi atitikti subjektas, būtų perteklinė nuostata. </w:t>
            </w:r>
          </w:p>
        </w:tc>
      </w:tr>
      <w:tr w:rsidR="003D5827" w:rsidRPr="006F3F81" w:rsidTr="00845C04">
        <w:tc>
          <w:tcPr>
            <w:tcW w:w="1584" w:type="dxa"/>
          </w:tcPr>
          <w:p w:rsidR="003D5827" w:rsidRPr="005E4DAE" w:rsidRDefault="003D5827" w:rsidP="002D3CDA">
            <w:pPr>
              <w:spacing w:after="0" w:line="240" w:lineRule="auto"/>
              <w:jc w:val="both"/>
              <w:rPr>
                <w:rFonts w:ascii="Times New Roman" w:hAnsi="Times New Roman" w:cs="Times New Roman"/>
                <w:sz w:val="24"/>
                <w:szCs w:val="24"/>
                <w:lang w:val="lt-LT"/>
              </w:rPr>
            </w:pPr>
          </w:p>
        </w:tc>
        <w:tc>
          <w:tcPr>
            <w:tcW w:w="4937" w:type="dxa"/>
          </w:tcPr>
          <w:p w:rsidR="003D5827" w:rsidRPr="005E4DAE"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27.</w:t>
            </w:r>
            <w:r w:rsidRPr="005E4DAE">
              <w:rPr>
                <w:rFonts w:ascii="Times New Roman" w:hAnsi="Times New Roman" w:cs="Times New Roman"/>
                <w:sz w:val="24"/>
                <w:szCs w:val="24"/>
                <w:lang w:val="lt-LT" w:eastAsia="lt-LT"/>
              </w:rPr>
              <w:t xml:space="preserve"> </w:t>
            </w:r>
            <w:r w:rsidRPr="005E4DAE">
              <w:rPr>
                <w:rFonts w:ascii="Times New Roman" w:hAnsi="Times New Roman" w:cs="Times New Roman"/>
                <w:sz w:val="24"/>
                <w:szCs w:val="24"/>
                <w:lang w:val="lt-LT"/>
              </w:rPr>
              <w:t>Subjektai, atliksiantys veiklos,</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 xml:space="preserve">susijusios su </w:t>
            </w:r>
            <w:proofErr w:type="spellStart"/>
            <w:r w:rsidRPr="005E4DAE">
              <w:rPr>
                <w:rFonts w:ascii="Times New Roman" w:hAnsi="Times New Roman" w:cs="Times New Roman"/>
                <w:sz w:val="24"/>
                <w:szCs w:val="24"/>
                <w:lang w:val="lt-LT"/>
              </w:rPr>
              <w:t>prekursoriais</w:t>
            </w:r>
            <w:proofErr w:type="spellEnd"/>
            <w:r w:rsidRPr="005E4DAE">
              <w:rPr>
                <w:rFonts w:ascii="Times New Roman" w:hAnsi="Times New Roman" w:cs="Times New Roman"/>
                <w:sz w:val="24"/>
                <w:szCs w:val="24"/>
                <w:lang w:val="lt-LT"/>
              </w:rPr>
              <w:t>, kontrolę (priežiūrą), įtvirtinami Įstatymo projekto 17 straipsnyje, kuriame nurodoma jų kompetencija, tačiau kompetenciją įtvirtinančios nuostatos, galimai sukels įstatymo taikymo problemų, t.</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y. kuri institucija už ką bus praktiškai atsakinga iš pastarojo straipsnio sunku identifikuoti; be kita ko, ne visų minėto straipsnio 1 dalyje nurodytų institucijų kompetencija yra išskirta; taip pat vienų institucijų išskiriama darbuotojų kompetencija, kitų – pačių institucijų; kartu siūlytume įvertinti, ar nebūtų tikslinga į oficialų sąrašą neįtrauktų medžiagų kontrolę (priežiūrą) dėstyti atskiriame straipsnyje. Siekiant teisinio aiškumo, siūlytume iš esmės peržiūrėti minėtą straipsnį, o tikslinant, kaip analogiją vertinti Nuodingųjų medžiagų priežiūros įstatymo atitinkamas nuostatas. Be kita ko, atitinkamos veiklos kontrolė (priežiūra) turėtų</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būti siejama tik su šio Įstatymo projekto nuostatomis.</w:t>
            </w:r>
          </w:p>
        </w:tc>
        <w:tc>
          <w:tcPr>
            <w:tcW w:w="7655" w:type="dxa"/>
          </w:tcPr>
          <w:p w:rsidR="003D5827" w:rsidRDefault="003D5827" w:rsidP="002D3CDA">
            <w:pPr>
              <w:spacing w:after="0" w:line="240" w:lineRule="auto"/>
              <w:jc w:val="both"/>
              <w:rPr>
                <w:rFonts w:ascii="Times New Roman" w:hAnsi="Times New Roman" w:cs="Times New Roman"/>
                <w:b/>
                <w:bCs/>
                <w:sz w:val="24"/>
                <w:szCs w:val="24"/>
                <w:lang w:val="lt-LT"/>
              </w:rPr>
            </w:pPr>
            <w:r w:rsidRPr="005E4DAE">
              <w:rPr>
                <w:rFonts w:ascii="Times New Roman" w:hAnsi="Times New Roman" w:cs="Times New Roman"/>
                <w:b/>
                <w:bCs/>
                <w:sz w:val="24"/>
                <w:szCs w:val="24"/>
                <w:lang w:val="lt-LT"/>
              </w:rPr>
              <w:t>Atsižvelgta iš dalies</w:t>
            </w:r>
            <w:r>
              <w:rPr>
                <w:rFonts w:ascii="Times New Roman" w:hAnsi="Times New Roman" w:cs="Times New Roman"/>
                <w:b/>
                <w:bCs/>
                <w:sz w:val="24"/>
                <w:szCs w:val="24"/>
                <w:lang w:val="lt-LT"/>
              </w:rPr>
              <w:t>.</w:t>
            </w:r>
          </w:p>
          <w:p w:rsidR="003D5827" w:rsidRPr="00D739BC" w:rsidRDefault="003D5827" w:rsidP="002D3CDA">
            <w:pPr>
              <w:spacing w:after="0" w:line="240" w:lineRule="auto"/>
              <w:jc w:val="both"/>
              <w:rPr>
                <w:rFonts w:ascii="Times New Roman" w:hAnsi="Times New Roman" w:cs="Times New Roman"/>
                <w:sz w:val="24"/>
                <w:szCs w:val="24"/>
                <w:lang w:val="lt-LT"/>
              </w:rPr>
            </w:pPr>
            <w:r w:rsidRPr="00D739BC">
              <w:rPr>
                <w:rFonts w:ascii="Times New Roman" w:hAnsi="Times New Roman" w:cs="Times New Roman"/>
                <w:sz w:val="24"/>
                <w:szCs w:val="24"/>
                <w:lang w:val="lt-LT"/>
              </w:rPr>
              <w:t xml:space="preserve">Patikslintos Įstatymo projekto </w:t>
            </w:r>
            <w:r>
              <w:rPr>
                <w:rFonts w:ascii="Times New Roman" w:hAnsi="Times New Roman" w:cs="Times New Roman"/>
                <w:sz w:val="24"/>
                <w:szCs w:val="24"/>
              </w:rPr>
              <w:t xml:space="preserve">14 </w:t>
            </w:r>
            <w:r w:rsidRPr="00D739BC">
              <w:rPr>
                <w:rFonts w:ascii="Times New Roman" w:hAnsi="Times New Roman" w:cs="Times New Roman"/>
                <w:sz w:val="24"/>
                <w:szCs w:val="24"/>
                <w:lang w:val="lt-LT"/>
              </w:rPr>
              <w:t>straipsnio nuostatos.</w:t>
            </w:r>
          </w:p>
          <w:p w:rsidR="003D5827" w:rsidRPr="00D739BC"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rPr>
              <w:t>P</w:t>
            </w:r>
            <w:r>
              <w:rPr>
                <w:rFonts w:ascii="Times New Roman" w:hAnsi="Times New Roman" w:cs="Times New Roman"/>
                <w:sz w:val="24"/>
                <w:szCs w:val="24"/>
                <w:lang w:val="lt-LT"/>
              </w:rPr>
              <w:t>olicijos departamento</w:t>
            </w:r>
            <w:r w:rsidRPr="005E4DAE">
              <w:rPr>
                <w:rFonts w:ascii="Times New Roman" w:hAnsi="Times New Roman" w:cs="Times New Roman"/>
                <w:sz w:val="24"/>
                <w:szCs w:val="24"/>
                <w:lang w:val="lt-LT"/>
              </w:rPr>
              <w:t xml:space="preserve"> ir </w:t>
            </w:r>
            <w:r>
              <w:rPr>
                <w:rFonts w:ascii="Times New Roman" w:hAnsi="Times New Roman" w:cs="Times New Roman"/>
                <w:sz w:val="24"/>
                <w:szCs w:val="24"/>
                <w:lang w:val="lt-LT"/>
              </w:rPr>
              <w:t>Valstybinės sienos apsaugos tarnybos</w:t>
            </w:r>
            <w:r w:rsidRPr="005E4DAE">
              <w:rPr>
                <w:rFonts w:ascii="Times New Roman" w:hAnsi="Times New Roman" w:cs="Times New Roman"/>
                <w:sz w:val="24"/>
                <w:szCs w:val="24"/>
                <w:lang w:val="lt-LT"/>
              </w:rPr>
              <w:t xml:space="preserve"> funkcijos nenurodytos, nes jie </w:t>
            </w:r>
            <w:r w:rsidRPr="00D739BC">
              <w:rPr>
                <w:rFonts w:ascii="Times New Roman" w:hAnsi="Times New Roman" w:cs="Times New Roman"/>
                <w:sz w:val="24"/>
                <w:szCs w:val="24"/>
                <w:lang w:val="lt-LT"/>
              </w:rPr>
              <w:t>nevykdo teisėtos apyvartos kontrolės bei importo / eksporto procedūrų, tačiau jie savo darbe vadovaujasi įstatymo nuostatomis (tirdami neteisėtas veikas). Derinant Įstatymo projektą buvo atsisakyta konkretinti jų veiklas, kadangi savo darbe sulaik</w:t>
            </w:r>
            <w:r>
              <w:rPr>
                <w:rFonts w:ascii="Times New Roman" w:hAnsi="Times New Roman" w:cs="Times New Roman"/>
                <w:sz w:val="24"/>
                <w:szCs w:val="24"/>
                <w:lang w:val="lt-LT"/>
              </w:rPr>
              <w:t>ydamos</w:t>
            </w:r>
            <w:r w:rsidRPr="00D739BC">
              <w:rPr>
                <w:rFonts w:ascii="Times New Roman" w:hAnsi="Times New Roman" w:cs="Times New Roman"/>
                <w:sz w:val="24"/>
                <w:szCs w:val="24"/>
                <w:lang w:val="lt-LT"/>
              </w:rPr>
              <w:t xml:space="preserve"> </w:t>
            </w:r>
            <w:proofErr w:type="spellStart"/>
            <w:r w:rsidRPr="00D739BC">
              <w:rPr>
                <w:rFonts w:ascii="Times New Roman" w:hAnsi="Times New Roman" w:cs="Times New Roman"/>
                <w:sz w:val="24"/>
                <w:szCs w:val="24"/>
                <w:lang w:val="lt-LT"/>
              </w:rPr>
              <w:t>prekursorius</w:t>
            </w:r>
            <w:proofErr w:type="spellEnd"/>
            <w:r w:rsidRPr="00D739BC">
              <w:rPr>
                <w:rFonts w:ascii="Times New Roman" w:hAnsi="Times New Roman" w:cs="Times New Roman"/>
                <w:sz w:val="24"/>
                <w:szCs w:val="24"/>
                <w:lang w:val="lt-LT"/>
              </w:rPr>
              <w:t xml:space="preserve"> ar tirdam</w:t>
            </w:r>
            <w:r>
              <w:rPr>
                <w:rFonts w:ascii="Times New Roman" w:hAnsi="Times New Roman" w:cs="Times New Roman"/>
                <w:sz w:val="24"/>
                <w:szCs w:val="24"/>
                <w:lang w:val="lt-LT"/>
              </w:rPr>
              <w:t>os</w:t>
            </w:r>
            <w:r w:rsidRPr="00D739BC">
              <w:rPr>
                <w:rFonts w:ascii="Times New Roman" w:hAnsi="Times New Roman" w:cs="Times New Roman"/>
                <w:sz w:val="24"/>
                <w:szCs w:val="24"/>
                <w:lang w:val="lt-LT"/>
              </w:rPr>
              <w:t xml:space="preserve"> subjektų veiklas šios institucijos vadovaujasi kitais teisės aktais.</w:t>
            </w:r>
          </w:p>
          <w:p w:rsidR="003D5827" w:rsidRPr="00D739BC" w:rsidRDefault="003D5827" w:rsidP="002D3CDA">
            <w:pPr>
              <w:spacing w:after="0" w:line="240" w:lineRule="auto"/>
              <w:jc w:val="both"/>
              <w:rPr>
                <w:rFonts w:ascii="Times New Roman" w:hAnsi="Times New Roman" w:cs="Times New Roman"/>
                <w:sz w:val="24"/>
                <w:szCs w:val="24"/>
                <w:lang w:val="lt-LT"/>
              </w:rPr>
            </w:pPr>
            <w:r w:rsidRPr="00D739BC">
              <w:rPr>
                <w:rFonts w:ascii="Times New Roman" w:hAnsi="Times New Roman" w:cs="Times New Roman"/>
                <w:sz w:val="24"/>
                <w:szCs w:val="24"/>
                <w:lang w:val="lt-LT"/>
              </w:rPr>
              <w:t xml:space="preserve">Į oficialų sąrašą neįtrauktų medžiagų kontrolė tikslingai neišdėstyta atskiru straipsniu, siekiant nesureikšminti bei neatkreipti dėmesio į šias medžiagas. EK nuomone, ši veikla turėtų būti neviešinama aktyviai, o likti išimtinai valstybinių teisėsaugos institucijų žiniai, tačiau įstatymu nenumatant konkrečių priemonių ar veiksmų su šiomis medžiagomis, teisėsaugos institucijos neturi pakankamo teisinio pagrindo sulaikyti nekontroliuojamų medžiagų, todėl pasitarus su teisėsaugos institucijomis, buvo priimtas sprendimas </w:t>
            </w:r>
            <w:r>
              <w:rPr>
                <w:rFonts w:ascii="Times New Roman" w:hAnsi="Times New Roman" w:cs="Times New Roman"/>
                <w:sz w:val="24"/>
                <w:szCs w:val="24"/>
                <w:lang w:val="lt-LT"/>
              </w:rPr>
              <w:t xml:space="preserve">būtinus teisėtus </w:t>
            </w:r>
            <w:r w:rsidRPr="00D739BC">
              <w:rPr>
                <w:rFonts w:ascii="Times New Roman" w:hAnsi="Times New Roman" w:cs="Times New Roman"/>
                <w:sz w:val="24"/>
                <w:szCs w:val="24"/>
                <w:lang w:val="lt-LT"/>
              </w:rPr>
              <w:t>veiksmus išvard</w:t>
            </w:r>
            <w:r>
              <w:rPr>
                <w:rFonts w:ascii="Times New Roman" w:hAnsi="Times New Roman" w:cs="Times New Roman"/>
                <w:sz w:val="24"/>
                <w:szCs w:val="24"/>
                <w:lang w:val="lt-LT"/>
              </w:rPr>
              <w:t>y</w:t>
            </w:r>
            <w:r w:rsidRPr="00D739BC">
              <w:rPr>
                <w:rFonts w:ascii="Times New Roman" w:hAnsi="Times New Roman" w:cs="Times New Roman"/>
                <w:sz w:val="24"/>
                <w:szCs w:val="24"/>
                <w:lang w:val="lt-LT"/>
              </w:rPr>
              <w:t>ti šiame įstatyme.</w:t>
            </w:r>
          </w:p>
          <w:p w:rsidR="003D5827" w:rsidRPr="005E4DAE" w:rsidRDefault="003D5827" w:rsidP="002D3CDA">
            <w:pPr>
              <w:spacing w:after="0" w:line="240" w:lineRule="auto"/>
              <w:jc w:val="both"/>
              <w:rPr>
                <w:rFonts w:ascii="Times New Roman" w:hAnsi="Times New Roman" w:cs="Times New Roman"/>
                <w:b/>
                <w:sz w:val="24"/>
                <w:szCs w:val="24"/>
                <w:lang w:val="lt-LT"/>
              </w:rPr>
            </w:pPr>
            <w:r w:rsidRPr="00D739BC">
              <w:rPr>
                <w:rFonts w:ascii="Times New Roman" w:hAnsi="Times New Roman" w:cs="Times New Roman"/>
                <w:sz w:val="24"/>
                <w:szCs w:val="24"/>
                <w:lang w:val="lt-LT"/>
              </w:rPr>
              <w:t>Reglamento (EB) 273/2004 10 str</w:t>
            </w:r>
            <w:r>
              <w:rPr>
                <w:rFonts w:ascii="Times New Roman" w:hAnsi="Times New Roman" w:cs="Times New Roman"/>
                <w:sz w:val="24"/>
                <w:szCs w:val="24"/>
                <w:lang w:val="lt-LT"/>
              </w:rPr>
              <w:t>aipsnyje</w:t>
            </w:r>
            <w:r w:rsidRPr="00D739BC">
              <w:rPr>
                <w:rFonts w:ascii="Times New Roman" w:hAnsi="Times New Roman" w:cs="Times New Roman"/>
                <w:sz w:val="24"/>
                <w:szCs w:val="24"/>
                <w:lang w:val="lt-LT"/>
              </w:rPr>
              <w:t xml:space="preserve"> bei Reglament</w:t>
            </w:r>
            <w:r>
              <w:rPr>
                <w:rFonts w:ascii="Times New Roman" w:hAnsi="Times New Roman" w:cs="Times New Roman"/>
                <w:sz w:val="24"/>
                <w:szCs w:val="24"/>
                <w:lang w:val="lt-LT"/>
              </w:rPr>
              <w:t>o</w:t>
            </w:r>
            <w:r w:rsidRPr="002039B9">
              <w:rPr>
                <w:rFonts w:ascii="Times New Roman" w:hAnsi="Times New Roman" w:cs="Times New Roman"/>
                <w:sz w:val="24"/>
                <w:szCs w:val="24"/>
                <w:lang w:val="lt-LT"/>
              </w:rPr>
              <w:t xml:space="preserve"> (EB) 111/2005</w:t>
            </w:r>
            <w:r>
              <w:rPr>
                <w:rFonts w:ascii="Times New Roman" w:hAnsi="Times New Roman" w:cs="Times New Roman"/>
                <w:b/>
                <w:bCs/>
                <w:sz w:val="24"/>
                <w:szCs w:val="24"/>
                <w:lang w:val="lt-LT"/>
              </w:rPr>
              <w:t xml:space="preserve"> </w:t>
            </w:r>
            <w:r w:rsidRPr="005E4DAE">
              <w:rPr>
                <w:rFonts w:ascii="Times New Roman" w:hAnsi="Times New Roman" w:cs="Times New Roman"/>
                <w:sz w:val="24"/>
                <w:szCs w:val="24"/>
                <w:lang w:val="lt-LT"/>
              </w:rPr>
              <w:t>26 straipsnyje yra numatyta pareiga VN imtis teisėtų priemonių įtarus, kad į oficialų sąrašą neįtraukta medžiaga ga</w:t>
            </w:r>
            <w:r>
              <w:rPr>
                <w:rFonts w:ascii="Times New Roman" w:hAnsi="Times New Roman" w:cs="Times New Roman"/>
                <w:sz w:val="24"/>
                <w:szCs w:val="24"/>
                <w:lang w:val="lt-LT"/>
              </w:rPr>
              <w:t>l</w:t>
            </w:r>
            <w:r w:rsidRPr="005E4DAE">
              <w:rPr>
                <w:rFonts w:ascii="Times New Roman" w:hAnsi="Times New Roman" w:cs="Times New Roman"/>
                <w:sz w:val="24"/>
                <w:szCs w:val="24"/>
                <w:lang w:val="lt-LT"/>
              </w:rPr>
              <w:t>i būti panaudota neteisėtai narkotikų gamybai.</w:t>
            </w:r>
          </w:p>
        </w:tc>
      </w:tr>
      <w:tr w:rsidR="003D5827" w:rsidRPr="005E4DAE" w:rsidTr="00845C04">
        <w:tc>
          <w:tcPr>
            <w:tcW w:w="1584" w:type="dxa"/>
          </w:tcPr>
          <w:p w:rsidR="003D5827" w:rsidRPr="005E4DAE" w:rsidRDefault="003D5827" w:rsidP="002D3CDA">
            <w:pPr>
              <w:spacing w:after="0" w:line="240" w:lineRule="auto"/>
              <w:jc w:val="both"/>
              <w:rPr>
                <w:rFonts w:ascii="Times New Roman" w:hAnsi="Times New Roman" w:cs="Times New Roman"/>
                <w:sz w:val="24"/>
                <w:szCs w:val="24"/>
                <w:lang w:val="lt-LT"/>
              </w:rPr>
            </w:pPr>
          </w:p>
        </w:tc>
        <w:tc>
          <w:tcPr>
            <w:tcW w:w="4937" w:type="dxa"/>
          </w:tcPr>
          <w:p w:rsidR="003D5827" w:rsidRPr="005E4DAE" w:rsidRDefault="003D5827" w:rsidP="002D3CDA">
            <w:pPr>
              <w:spacing w:after="0" w:line="240" w:lineRule="auto"/>
              <w:jc w:val="both"/>
              <w:rPr>
                <w:rFonts w:ascii="Times New Roman" w:hAnsi="Times New Roman" w:cs="Times New Roman"/>
                <w:sz w:val="24"/>
                <w:szCs w:val="24"/>
                <w:lang w:val="lt-LT" w:eastAsia="lt-LT"/>
              </w:rPr>
            </w:pPr>
            <w:r w:rsidRPr="005E4DAE">
              <w:rPr>
                <w:rFonts w:ascii="Times New Roman" w:hAnsi="Times New Roman" w:cs="Times New Roman"/>
                <w:sz w:val="24"/>
                <w:szCs w:val="24"/>
                <w:lang w:val="lt-LT" w:eastAsia="ar-SA"/>
              </w:rPr>
              <w:t>28.</w:t>
            </w:r>
            <w:r w:rsidRPr="005E4DAE">
              <w:rPr>
                <w:rFonts w:ascii="Times New Roman" w:hAnsi="Times New Roman" w:cs="Times New Roman"/>
                <w:sz w:val="24"/>
                <w:szCs w:val="24"/>
                <w:lang w:val="lt-LT"/>
              </w:rPr>
              <w:t xml:space="preserve"> Viešojo administravimo įstatymo 36</w:t>
            </w:r>
            <w:r w:rsidRPr="005E4DAE">
              <w:rPr>
                <w:rFonts w:ascii="Times New Roman" w:hAnsi="Times New Roman" w:cs="Times New Roman"/>
                <w:sz w:val="24"/>
                <w:szCs w:val="24"/>
                <w:vertAlign w:val="superscript"/>
                <w:lang w:val="lt-LT"/>
              </w:rPr>
              <w:t>1</w:t>
            </w:r>
            <w:r w:rsidRPr="005E4DAE">
              <w:rPr>
                <w:rFonts w:ascii="Times New Roman" w:hAnsi="Times New Roman" w:cs="Times New Roman"/>
                <w:sz w:val="24"/>
                <w:szCs w:val="24"/>
                <w:lang w:val="lt-LT"/>
              </w:rPr>
              <w:t xml:space="preserve"> str. 2 d. 2 punkte įtvirtintas vienas iš ūkio subjektų veiklos priežiūros elementų -</w:t>
            </w:r>
            <w:r w:rsidRPr="005E4DAE">
              <w:rPr>
                <w:rFonts w:ascii="Times New Roman" w:hAnsi="Times New Roman" w:cs="Times New Roman"/>
                <w:sz w:val="24"/>
                <w:szCs w:val="24"/>
                <w:lang w:val="lt-LT" w:eastAsia="lt-LT"/>
              </w:rPr>
              <w:t xml:space="preserve"> ūkio subjektų veiklos patikrinimai, o minėto įstatymo 36</w:t>
            </w:r>
            <w:r w:rsidRPr="005E4DAE">
              <w:rPr>
                <w:rFonts w:ascii="Times New Roman" w:hAnsi="Times New Roman" w:cs="Times New Roman"/>
                <w:sz w:val="24"/>
                <w:szCs w:val="24"/>
                <w:vertAlign w:val="superscript"/>
                <w:lang w:val="lt-LT" w:eastAsia="lt-LT"/>
              </w:rPr>
              <w:t>4</w:t>
            </w:r>
            <w:r w:rsidRPr="005E4DAE">
              <w:rPr>
                <w:rFonts w:ascii="Times New Roman" w:hAnsi="Times New Roman" w:cs="Times New Roman"/>
                <w:sz w:val="24"/>
                <w:szCs w:val="24"/>
                <w:lang w:val="lt-LT" w:eastAsia="lt-LT"/>
              </w:rPr>
              <w:t xml:space="preserve"> </w:t>
            </w:r>
            <w:r w:rsidRPr="005E4DAE">
              <w:rPr>
                <w:rFonts w:ascii="Times New Roman" w:hAnsi="Times New Roman" w:cs="Times New Roman"/>
                <w:sz w:val="24"/>
                <w:szCs w:val="24"/>
                <w:lang w:val="lt-LT" w:eastAsia="lt-LT"/>
              </w:rPr>
              <w:lastRenderedPageBreak/>
              <w:t>straipsnyje įtvirtinta esminiai reikalavimai, taikytini tokiems patikrinimams, todėl abejotinas tokių patikrinimų reglamentavimo būtinumas Įstatymo projekto 17 str. 2 d. 1 punkte, juolab, kad jokios išimtys neįtvirtinamos.</w:t>
            </w:r>
          </w:p>
          <w:p w:rsidR="003D5827" w:rsidRPr="005E4DAE" w:rsidRDefault="003D5827" w:rsidP="002D3CDA">
            <w:pPr>
              <w:spacing w:after="0" w:line="240" w:lineRule="auto"/>
              <w:ind w:firstLine="720"/>
              <w:jc w:val="both"/>
              <w:rPr>
                <w:rFonts w:ascii="Times New Roman" w:hAnsi="Times New Roman" w:cs="Times New Roman"/>
                <w:sz w:val="24"/>
                <w:szCs w:val="24"/>
                <w:lang w:val="lt-LT"/>
              </w:rPr>
            </w:pPr>
          </w:p>
        </w:tc>
        <w:tc>
          <w:tcPr>
            <w:tcW w:w="7655" w:type="dxa"/>
          </w:tcPr>
          <w:p w:rsidR="003D5827" w:rsidRDefault="003D5827" w:rsidP="002D3CDA">
            <w:pPr>
              <w:spacing w:after="0" w:line="240" w:lineRule="auto"/>
              <w:jc w:val="both"/>
              <w:rPr>
                <w:rFonts w:ascii="Times New Roman" w:hAnsi="Times New Roman" w:cs="Times New Roman"/>
                <w:b/>
                <w:bCs/>
                <w:sz w:val="24"/>
                <w:szCs w:val="24"/>
                <w:lang w:val="lt-LT"/>
              </w:rPr>
            </w:pPr>
            <w:r w:rsidRPr="005E4DAE">
              <w:rPr>
                <w:rFonts w:ascii="Times New Roman" w:hAnsi="Times New Roman" w:cs="Times New Roman"/>
                <w:b/>
                <w:bCs/>
                <w:sz w:val="24"/>
                <w:szCs w:val="24"/>
                <w:lang w:val="lt-LT"/>
              </w:rPr>
              <w:lastRenderedPageBreak/>
              <w:t xml:space="preserve">Atsižvelgta iš dalies, </w:t>
            </w:r>
          </w:p>
          <w:p w:rsidR="003D5827" w:rsidRDefault="003D5827" w:rsidP="002D3CDA">
            <w:pPr>
              <w:spacing w:after="0" w:line="240" w:lineRule="auto"/>
              <w:jc w:val="both"/>
              <w:rPr>
                <w:rFonts w:ascii="Times New Roman" w:hAnsi="Times New Roman" w:cs="Times New Roman"/>
                <w:sz w:val="24"/>
                <w:szCs w:val="24"/>
                <w:lang w:val="lt-LT"/>
              </w:rPr>
            </w:pPr>
            <w:r w:rsidRPr="00FD61EC">
              <w:rPr>
                <w:rFonts w:ascii="Times New Roman" w:hAnsi="Times New Roman" w:cs="Times New Roman"/>
                <w:sz w:val="24"/>
                <w:szCs w:val="24"/>
                <w:lang w:val="lt-LT"/>
              </w:rPr>
              <w:t xml:space="preserve">kadangi esminiai reikalavimai vykdant kontrolę bei įtartinų sandorių nustatymą yra nurodyti </w:t>
            </w:r>
            <w:r>
              <w:rPr>
                <w:rFonts w:ascii="Times New Roman" w:hAnsi="Times New Roman" w:cs="Times New Roman"/>
                <w:sz w:val="24"/>
                <w:szCs w:val="24"/>
                <w:lang w:val="lt-LT"/>
              </w:rPr>
              <w:t xml:space="preserve">minėtuose </w:t>
            </w:r>
            <w:r w:rsidRPr="00FD61EC">
              <w:rPr>
                <w:rFonts w:ascii="Times New Roman" w:hAnsi="Times New Roman" w:cs="Times New Roman"/>
                <w:sz w:val="24"/>
                <w:szCs w:val="24"/>
                <w:lang w:val="lt-LT"/>
              </w:rPr>
              <w:t>reglamentuose</w:t>
            </w:r>
            <w:r>
              <w:rPr>
                <w:rFonts w:ascii="Times New Roman" w:hAnsi="Times New Roman" w:cs="Times New Roman"/>
                <w:sz w:val="24"/>
                <w:szCs w:val="24"/>
                <w:lang w:val="lt-LT"/>
              </w:rPr>
              <w:t>.</w:t>
            </w:r>
          </w:p>
          <w:p w:rsidR="003D5827" w:rsidRPr="002D3CDA" w:rsidRDefault="003D5827" w:rsidP="002D3CD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FD61EC">
              <w:rPr>
                <w:rFonts w:ascii="Times New Roman" w:hAnsi="Times New Roman" w:cs="Times New Roman"/>
                <w:sz w:val="24"/>
                <w:szCs w:val="24"/>
                <w:lang w:val="lt-LT"/>
              </w:rPr>
              <w:t xml:space="preserve">agal </w:t>
            </w:r>
            <w:r w:rsidRPr="005E4DAE">
              <w:rPr>
                <w:rFonts w:ascii="Times New Roman" w:hAnsi="Times New Roman" w:cs="Times New Roman"/>
                <w:sz w:val="24"/>
                <w:szCs w:val="24"/>
                <w:lang w:val="lt-LT"/>
              </w:rPr>
              <w:t>Reglament</w:t>
            </w:r>
            <w:r>
              <w:rPr>
                <w:rFonts w:ascii="Times New Roman" w:hAnsi="Times New Roman" w:cs="Times New Roman"/>
                <w:sz w:val="24"/>
                <w:szCs w:val="24"/>
                <w:lang w:val="lt-LT"/>
              </w:rPr>
              <w:t>o</w:t>
            </w:r>
            <w:r w:rsidRPr="005E4DAE">
              <w:rPr>
                <w:rFonts w:ascii="Times New Roman" w:hAnsi="Times New Roman" w:cs="Times New Roman"/>
                <w:sz w:val="24"/>
                <w:szCs w:val="24"/>
                <w:lang w:val="lt-LT"/>
              </w:rPr>
              <w:t xml:space="preserve"> (EB) 273/2004</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10 str</w:t>
            </w:r>
            <w:r>
              <w:rPr>
                <w:rFonts w:ascii="Times New Roman" w:hAnsi="Times New Roman" w:cs="Times New Roman"/>
                <w:sz w:val="24"/>
                <w:szCs w:val="24"/>
                <w:lang w:val="lt-LT"/>
              </w:rPr>
              <w:t>aipsnį:</w:t>
            </w:r>
          </w:p>
          <w:p w:rsidR="003D5827" w:rsidRDefault="003D5827" w:rsidP="00845C04">
            <w:pPr>
              <w:spacing w:after="0" w:line="240" w:lineRule="auto"/>
              <w:ind w:left="181" w:hanging="225"/>
              <w:jc w:val="both"/>
              <w:rPr>
                <w:rFonts w:ascii="Times New Roman" w:hAnsi="Times New Roman" w:cs="Times New Roman"/>
                <w:i/>
                <w:iCs/>
                <w:color w:val="000000"/>
                <w:sz w:val="24"/>
                <w:szCs w:val="24"/>
                <w:lang w:val="lt-LT"/>
              </w:rPr>
            </w:pPr>
            <w:r>
              <w:rPr>
                <w:rFonts w:ascii="Times New Roman" w:hAnsi="Times New Roman" w:cs="Times New Roman"/>
                <w:i/>
                <w:iCs/>
                <w:color w:val="000000"/>
                <w:sz w:val="24"/>
                <w:szCs w:val="24"/>
                <w:lang w:val="lt-LT"/>
              </w:rPr>
              <w:lastRenderedPageBreak/>
              <w:t>„</w:t>
            </w:r>
            <w:r w:rsidRPr="005E4DAE">
              <w:rPr>
                <w:rFonts w:ascii="Times New Roman" w:hAnsi="Times New Roman" w:cs="Times New Roman"/>
                <w:i/>
                <w:iCs/>
                <w:color w:val="000000"/>
                <w:sz w:val="24"/>
                <w:szCs w:val="24"/>
                <w:lang w:val="lt-LT"/>
              </w:rPr>
              <w:t>Kompetentingų institucijų įgaliojimai ir prievolės</w:t>
            </w:r>
          </w:p>
          <w:p w:rsidR="003D5827" w:rsidRPr="005E4DAE" w:rsidRDefault="003D5827" w:rsidP="000F7D9A">
            <w:pPr>
              <w:spacing w:after="0" w:line="240" w:lineRule="auto"/>
              <w:ind w:left="181"/>
              <w:jc w:val="both"/>
              <w:rPr>
                <w:rFonts w:ascii="Times New Roman" w:hAnsi="Times New Roman" w:cs="Times New Roman"/>
                <w:i/>
                <w:iCs/>
                <w:color w:val="000000"/>
                <w:sz w:val="24"/>
                <w:szCs w:val="24"/>
                <w:lang w:val="lt-LT"/>
              </w:rPr>
            </w:pPr>
            <w:r w:rsidRPr="005E4DAE">
              <w:rPr>
                <w:rFonts w:ascii="Times New Roman" w:hAnsi="Times New Roman" w:cs="Times New Roman"/>
                <w:i/>
                <w:iCs/>
                <w:color w:val="000000"/>
                <w:sz w:val="24"/>
                <w:szCs w:val="24"/>
                <w:lang w:val="lt-LT"/>
              </w:rPr>
              <w:t>1. Siekdamos užtikrinti teisingą straipsnių nuo 3 iki 8 taikymą, visos valstybės narės priima priemones, kurios reikalingos siekiant leisti jų kompetentingoms institucijoms vykdyti kontrolės ir stebėjimo užduotis, ypač:</w:t>
            </w:r>
          </w:p>
          <w:p w:rsidR="003D5827" w:rsidRDefault="003D5827" w:rsidP="000F7D9A">
            <w:pPr>
              <w:spacing w:after="0" w:line="240" w:lineRule="auto"/>
              <w:ind w:left="181"/>
              <w:jc w:val="both"/>
              <w:rPr>
                <w:rFonts w:ascii="Times New Roman" w:hAnsi="Times New Roman" w:cs="Times New Roman"/>
                <w:i/>
                <w:iCs/>
                <w:color w:val="000000"/>
                <w:sz w:val="24"/>
                <w:szCs w:val="24"/>
                <w:lang w:val="lt-LT"/>
              </w:rPr>
            </w:pPr>
            <w:r w:rsidRPr="005E4DAE">
              <w:rPr>
                <w:rFonts w:ascii="Times New Roman" w:hAnsi="Times New Roman" w:cs="Times New Roman"/>
                <w:i/>
                <w:iCs/>
                <w:color w:val="000000"/>
                <w:sz w:val="24"/>
                <w:szCs w:val="24"/>
                <w:lang w:val="lt-LT"/>
              </w:rPr>
              <w:t>a) gauti informaciją apie bet kokius į oficialų sąrašą įtrauktų medžiagų užsakymus arba veiksmus, susijusius su į oficialų sąrašą įtrauktomis medžiagomis;</w:t>
            </w:r>
          </w:p>
          <w:p w:rsidR="003D5827" w:rsidRDefault="003D5827" w:rsidP="000F7D9A">
            <w:pPr>
              <w:spacing w:after="0" w:line="240" w:lineRule="auto"/>
              <w:ind w:left="181"/>
              <w:jc w:val="both"/>
              <w:rPr>
                <w:rFonts w:ascii="Times New Roman" w:hAnsi="Times New Roman" w:cs="Times New Roman"/>
                <w:i/>
                <w:iCs/>
                <w:color w:val="000000"/>
                <w:sz w:val="24"/>
                <w:szCs w:val="24"/>
                <w:lang w:val="lt-LT"/>
              </w:rPr>
            </w:pPr>
            <w:r w:rsidRPr="005E4DAE">
              <w:rPr>
                <w:rFonts w:ascii="Times New Roman" w:hAnsi="Times New Roman" w:cs="Times New Roman"/>
                <w:i/>
                <w:iCs/>
                <w:color w:val="000000"/>
                <w:sz w:val="24"/>
                <w:szCs w:val="24"/>
                <w:lang w:val="lt-LT"/>
              </w:rPr>
              <w:t>b) patekti į ūkio subjektų verslo patalpas siekiant gauti pažeidimų įrodymų;</w:t>
            </w:r>
          </w:p>
          <w:p w:rsidR="003D5827" w:rsidRPr="006541F9" w:rsidRDefault="003D5827" w:rsidP="000F7D9A">
            <w:pPr>
              <w:spacing w:after="0" w:line="240" w:lineRule="auto"/>
              <w:ind w:left="181"/>
              <w:jc w:val="both"/>
              <w:rPr>
                <w:rFonts w:ascii="Times New Roman" w:hAnsi="Times New Roman" w:cs="Times New Roman"/>
                <w:i/>
                <w:iCs/>
                <w:color w:val="000000"/>
                <w:sz w:val="24"/>
                <w:szCs w:val="24"/>
                <w:lang w:val="lt-LT"/>
              </w:rPr>
            </w:pPr>
            <w:r w:rsidRPr="005E4DAE">
              <w:rPr>
                <w:rFonts w:ascii="Times New Roman" w:hAnsi="Times New Roman" w:cs="Times New Roman"/>
                <w:i/>
                <w:iCs/>
                <w:color w:val="000000"/>
                <w:sz w:val="24"/>
                <w:szCs w:val="24"/>
                <w:lang w:val="lt-LT"/>
              </w:rPr>
              <w:t>c) prireikus sulaikyti siuntas, kurios neatitinka šio reglamento.</w:t>
            </w:r>
            <w:r>
              <w:rPr>
                <w:rFonts w:ascii="Times New Roman" w:hAnsi="Times New Roman" w:cs="Times New Roman"/>
                <w:i/>
                <w:iCs/>
                <w:color w:val="000000"/>
                <w:sz w:val="24"/>
                <w:szCs w:val="24"/>
                <w:lang w:val="lt-LT"/>
              </w:rPr>
              <w:t>“</w:t>
            </w:r>
          </w:p>
        </w:tc>
      </w:tr>
      <w:tr w:rsidR="003D5827" w:rsidRPr="006F3F81" w:rsidTr="00845C04">
        <w:tc>
          <w:tcPr>
            <w:tcW w:w="1584" w:type="dxa"/>
          </w:tcPr>
          <w:p w:rsidR="003D5827" w:rsidRPr="005E4DAE" w:rsidRDefault="003D5827" w:rsidP="002D3CDA">
            <w:pPr>
              <w:spacing w:after="0" w:line="240" w:lineRule="auto"/>
              <w:jc w:val="both"/>
              <w:rPr>
                <w:rFonts w:ascii="Times New Roman" w:hAnsi="Times New Roman" w:cs="Times New Roman"/>
                <w:sz w:val="24"/>
                <w:szCs w:val="24"/>
                <w:lang w:val="lt-LT"/>
              </w:rPr>
            </w:pPr>
            <w:r w:rsidRPr="005E4DAE">
              <w:rPr>
                <w:rFonts w:ascii="Times New Roman" w:hAnsi="Times New Roman" w:cs="Times New Roman"/>
                <w:sz w:val="24"/>
                <w:szCs w:val="24"/>
                <w:lang w:val="lt-LT" w:eastAsia="ar-SA"/>
              </w:rPr>
              <w:lastRenderedPageBreak/>
              <w:t xml:space="preserve"> </w:t>
            </w:r>
          </w:p>
        </w:tc>
        <w:tc>
          <w:tcPr>
            <w:tcW w:w="4937" w:type="dxa"/>
          </w:tcPr>
          <w:p w:rsidR="003D5827" w:rsidRPr="005E4DAE" w:rsidRDefault="003D5827" w:rsidP="002D3CDA">
            <w:pPr>
              <w:spacing w:after="0" w:line="240" w:lineRule="auto"/>
              <w:jc w:val="both"/>
              <w:rPr>
                <w:rFonts w:ascii="Times New Roman" w:hAnsi="Times New Roman" w:cs="Times New Roman"/>
                <w:sz w:val="24"/>
                <w:szCs w:val="24"/>
                <w:lang w:val="lt-LT" w:eastAsia="lt-LT"/>
              </w:rPr>
            </w:pPr>
            <w:r w:rsidRPr="005E4DAE">
              <w:rPr>
                <w:rFonts w:ascii="Times New Roman" w:hAnsi="Times New Roman" w:cs="Times New Roman"/>
                <w:sz w:val="24"/>
                <w:szCs w:val="24"/>
                <w:lang w:val="lt-LT" w:eastAsia="ar-SA"/>
              </w:rPr>
              <w:t xml:space="preserve">29. </w:t>
            </w:r>
            <w:r w:rsidRPr="005E4DAE">
              <w:rPr>
                <w:rFonts w:ascii="Times New Roman" w:hAnsi="Times New Roman" w:cs="Times New Roman"/>
                <w:sz w:val="24"/>
                <w:szCs w:val="24"/>
                <w:lang w:val="lt-LT" w:eastAsia="lt-LT"/>
              </w:rPr>
              <w:t>Taip nėra aišku, kokie privalomi nurodymai ir kokiam subjektų ratui turimi omenyje Įstatymo projekto 17 str. 2 d. 3 punkte. Siūlytume tikslinti arba tokios nuostatos atsisakyti.</w:t>
            </w:r>
          </w:p>
          <w:p w:rsidR="003D5827" w:rsidRPr="005E4DAE" w:rsidRDefault="003D5827" w:rsidP="002D3CDA">
            <w:pPr>
              <w:spacing w:after="0" w:line="240" w:lineRule="auto"/>
              <w:jc w:val="both"/>
              <w:rPr>
                <w:rFonts w:ascii="Times New Roman" w:hAnsi="Times New Roman" w:cs="Times New Roman"/>
                <w:sz w:val="24"/>
                <w:szCs w:val="24"/>
                <w:lang w:val="lt-LT"/>
              </w:rPr>
            </w:pPr>
          </w:p>
        </w:tc>
        <w:tc>
          <w:tcPr>
            <w:tcW w:w="7655" w:type="dxa"/>
          </w:tcPr>
          <w:p w:rsidR="003D5827" w:rsidRPr="002D3CDA" w:rsidRDefault="003D5827" w:rsidP="002D3CDA">
            <w:pPr>
              <w:spacing w:after="0" w:line="240" w:lineRule="auto"/>
              <w:jc w:val="both"/>
              <w:rPr>
                <w:rFonts w:ascii="Times New Roman" w:hAnsi="Times New Roman" w:cs="Times New Roman"/>
                <w:b/>
                <w:sz w:val="24"/>
                <w:szCs w:val="24"/>
                <w:lang w:val="lt-LT"/>
              </w:rPr>
            </w:pPr>
            <w:r w:rsidRPr="005E4DAE">
              <w:rPr>
                <w:rFonts w:ascii="Times New Roman" w:hAnsi="Times New Roman" w:cs="Times New Roman"/>
                <w:b/>
                <w:sz w:val="24"/>
                <w:szCs w:val="24"/>
                <w:lang w:val="lt-LT"/>
              </w:rPr>
              <w:t>Neatsižvelgta.</w:t>
            </w:r>
          </w:p>
          <w:p w:rsidR="003D5827" w:rsidRPr="004D7AE6" w:rsidRDefault="003D5827" w:rsidP="002D3CDA">
            <w:pPr>
              <w:pStyle w:val="Komentarotekstas"/>
              <w:spacing w:after="0"/>
              <w:jc w:val="both"/>
            </w:pPr>
            <w:r w:rsidRPr="002D3CDA">
              <w:rPr>
                <w:rFonts w:ascii="Times New Roman" w:hAnsi="Times New Roman" w:cs="Times New Roman"/>
                <w:sz w:val="24"/>
                <w:szCs w:val="24"/>
                <w:lang w:val="lt-LT"/>
              </w:rPr>
              <w:t>Privalomi nurodymai duodami tiek planinių</w:t>
            </w:r>
            <w:r>
              <w:rPr>
                <w:rFonts w:ascii="Times New Roman" w:hAnsi="Times New Roman" w:cs="Times New Roman"/>
                <w:sz w:val="24"/>
                <w:szCs w:val="24"/>
                <w:lang w:val="lt-LT"/>
              </w:rPr>
              <w:t>,</w:t>
            </w:r>
            <w:r w:rsidRPr="002D3CDA">
              <w:rPr>
                <w:rFonts w:ascii="Times New Roman" w:hAnsi="Times New Roman" w:cs="Times New Roman"/>
                <w:sz w:val="24"/>
                <w:szCs w:val="24"/>
                <w:lang w:val="lt-LT"/>
              </w:rPr>
              <w:t xml:space="preserve"> tiek neplaninių patikrinim</w:t>
            </w:r>
            <w:r>
              <w:rPr>
                <w:rFonts w:ascii="Times New Roman" w:hAnsi="Times New Roman" w:cs="Times New Roman"/>
                <w:sz w:val="24"/>
                <w:szCs w:val="24"/>
                <w:lang w:val="lt-LT"/>
              </w:rPr>
              <w:t>ų</w:t>
            </w:r>
            <w:r w:rsidRPr="002D3CDA">
              <w:rPr>
                <w:rFonts w:ascii="Times New Roman" w:hAnsi="Times New Roman" w:cs="Times New Roman"/>
                <w:sz w:val="24"/>
                <w:szCs w:val="24"/>
                <w:lang w:val="lt-LT"/>
              </w:rPr>
              <w:t xml:space="preserve"> metu, siekiant surinkti daugiau įrodymų dėl galimai įtartino sandorio įvykdymo. Dėl šios nuostatos </w:t>
            </w:r>
            <w:r w:rsidR="00365932">
              <w:rPr>
                <w:rFonts w:ascii="Times New Roman" w:hAnsi="Times New Roman" w:cs="Times New Roman"/>
                <w:sz w:val="24"/>
                <w:szCs w:val="24"/>
                <w:lang w:val="lt-LT"/>
              </w:rPr>
              <w:t xml:space="preserve">Įstatyme </w:t>
            </w:r>
            <w:r w:rsidRPr="002D3CDA">
              <w:rPr>
                <w:rFonts w:ascii="Times New Roman" w:hAnsi="Times New Roman" w:cs="Times New Roman"/>
                <w:sz w:val="24"/>
                <w:szCs w:val="24"/>
                <w:lang w:val="lt-LT"/>
              </w:rPr>
              <w:t xml:space="preserve">nebuvimo, </w:t>
            </w:r>
            <w:r w:rsidRPr="00365932">
              <w:rPr>
                <w:rFonts w:ascii="Times New Roman" w:hAnsi="Times New Roman" w:cs="Times New Roman"/>
                <w:sz w:val="24"/>
                <w:szCs w:val="24"/>
                <w:lang w:val="lt-LT"/>
              </w:rPr>
              <w:t>kildavo pakankamai daug sunkumų atliekant patikrinimus</w:t>
            </w:r>
            <w:r w:rsidRPr="002D3CDA">
              <w:rPr>
                <w:rFonts w:ascii="Times New Roman" w:hAnsi="Times New Roman" w:cs="Times New Roman"/>
                <w:sz w:val="24"/>
                <w:szCs w:val="24"/>
                <w:lang w:val="lt-LT"/>
              </w:rPr>
              <w:t xml:space="preserve">. Dažnai </w:t>
            </w:r>
            <w:r>
              <w:rPr>
                <w:rFonts w:ascii="Times New Roman" w:hAnsi="Times New Roman" w:cs="Times New Roman"/>
                <w:sz w:val="24"/>
                <w:szCs w:val="24"/>
                <w:lang w:val="lt-LT"/>
              </w:rPr>
              <w:t>nurodoma</w:t>
            </w:r>
            <w:r w:rsidRPr="002D3CDA">
              <w:rPr>
                <w:rFonts w:ascii="Times New Roman" w:hAnsi="Times New Roman" w:cs="Times New Roman"/>
                <w:sz w:val="24"/>
                <w:szCs w:val="24"/>
                <w:lang w:val="lt-LT"/>
              </w:rPr>
              <w:t xml:space="preserve"> pateikti visų finansinių dokumentų kopijas, vykdant tarptautinių institucijų profesinės pagalbos prašymus tiriant tarptautines galimai nusikalstamas veikas. Visų atvejų įvard</w:t>
            </w:r>
            <w:r>
              <w:rPr>
                <w:rFonts w:ascii="Times New Roman" w:hAnsi="Times New Roman" w:cs="Times New Roman"/>
                <w:sz w:val="24"/>
                <w:szCs w:val="24"/>
                <w:lang w:val="lt-LT"/>
              </w:rPr>
              <w:t>y</w:t>
            </w:r>
            <w:r w:rsidRPr="002D3CDA">
              <w:rPr>
                <w:rFonts w:ascii="Times New Roman" w:hAnsi="Times New Roman" w:cs="Times New Roman"/>
                <w:sz w:val="24"/>
                <w:szCs w:val="24"/>
                <w:lang w:val="lt-LT"/>
              </w:rPr>
              <w:t>ti ir nuspėti neįmanoma (nes kiekvienas atvejis gali būti kitoks),</w:t>
            </w:r>
            <w:r w:rsidRPr="004D7AE6">
              <w:rPr>
                <w:rFonts w:ascii="Times New Roman" w:hAnsi="Times New Roman" w:cs="Times New Roman"/>
                <w:sz w:val="24"/>
                <w:szCs w:val="24"/>
                <w:lang w:val="lt-LT"/>
              </w:rPr>
              <w:t xml:space="preserve"> todėl Įstatymo projekte paliktas bendrinis terminas</w:t>
            </w:r>
            <w:r>
              <w:rPr>
                <w:rFonts w:ascii="Times New Roman" w:hAnsi="Times New Roman" w:cs="Times New Roman"/>
                <w:sz w:val="24"/>
                <w:szCs w:val="24"/>
                <w:lang w:val="lt-LT"/>
              </w:rPr>
              <w:t xml:space="preserve"> – </w:t>
            </w:r>
            <w:r w:rsidRPr="004D7AE6">
              <w:rPr>
                <w:rFonts w:ascii="Times New Roman" w:hAnsi="Times New Roman" w:cs="Times New Roman"/>
                <w:sz w:val="24"/>
                <w:szCs w:val="24"/>
                <w:lang w:val="lt-LT"/>
              </w:rPr>
              <w:t>privalomi nurodymai</w:t>
            </w:r>
            <w:r>
              <w:rPr>
                <w:rFonts w:ascii="Times New Roman" w:hAnsi="Times New Roman" w:cs="Times New Roman"/>
                <w:sz w:val="24"/>
                <w:szCs w:val="24"/>
                <w:lang w:val="lt-LT"/>
              </w:rPr>
              <w:t>.</w:t>
            </w:r>
          </w:p>
        </w:tc>
      </w:tr>
      <w:tr w:rsidR="003D5827" w:rsidRPr="006F3F81" w:rsidTr="00845C04">
        <w:tc>
          <w:tcPr>
            <w:tcW w:w="1584" w:type="dxa"/>
          </w:tcPr>
          <w:p w:rsidR="003D5827" w:rsidRPr="005E4DAE" w:rsidRDefault="003D5827" w:rsidP="002D3CDA">
            <w:pPr>
              <w:spacing w:after="0" w:line="240" w:lineRule="auto"/>
              <w:jc w:val="both"/>
              <w:rPr>
                <w:rFonts w:ascii="Times New Roman" w:hAnsi="Times New Roman" w:cs="Times New Roman"/>
                <w:sz w:val="24"/>
                <w:szCs w:val="24"/>
                <w:lang w:val="lt-LT" w:eastAsia="ar-SA"/>
              </w:rPr>
            </w:pPr>
          </w:p>
        </w:tc>
        <w:tc>
          <w:tcPr>
            <w:tcW w:w="4937" w:type="dxa"/>
          </w:tcPr>
          <w:p w:rsidR="003D5827" w:rsidRPr="00277F9A" w:rsidRDefault="003D5827" w:rsidP="002D3CDA">
            <w:pPr>
              <w:spacing w:after="0" w:line="240" w:lineRule="auto"/>
              <w:jc w:val="both"/>
              <w:rPr>
                <w:rFonts w:ascii="Times New Roman" w:hAnsi="Times New Roman" w:cs="Times New Roman"/>
                <w:sz w:val="24"/>
                <w:szCs w:val="24"/>
                <w:lang w:val="lt-LT" w:eastAsia="lt-LT"/>
              </w:rPr>
            </w:pPr>
            <w:r w:rsidRPr="005E4DAE">
              <w:rPr>
                <w:rFonts w:ascii="Times New Roman" w:hAnsi="Times New Roman" w:cs="Times New Roman"/>
                <w:sz w:val="24"/>
                <w:szCs w:val="24"/>
                <w:lang w:val="lt-LT" w:eastAsia="ar-SA"/>
              </w:rPr>
              <w:t>30.</w:t>
            </w:r>
            <w:r w:rsidRPr="005E4DAE">
              <w:rPr>
                <w:rFonts w:ascii="Times New Roman" w:hAnsi="Times New Roman" w:cs="Times New Roman"/>
                <w:sz w:val="24"/>
                <w:szCs w:val="24"/>
                <w:lang w:val="lt-LT" w:eastAsia="lt-LT"/>
              </w:rPr>
              <w:t xml:space="preserve"> Įstatymo projekto 17 str. 2 d. 3 punkte nėra aiškus formuluotės „techninės priemonės“ turinys, kurią reikėtų tikslinti; taip pat vartojama subjektyvaus pobūdžio formuluotė „veiksmingai“, nesukurianti teisiniam reguliavimui pridėtinės reikšmės, todėl siūly</w:t>
            </w:r>
            <w:r>
              <w:rPr>
                <w:rFonts w:ascii="Times New Roman" w:hAnsi="Times New Roman" w:cs="Times New Roman"/>
                <w:sz w:val="24"/>
                <w:szCs w:val="24"/>
                <w:lang w:val="lt-LT" w:eastAsia="lt-LT"/>
              </w:rPr>
              <w:t>t</w:t>
            </w:r>
            <w:r w:rsidRPr="005E4DAE">
              <w:rPr>
                <w:rFonts w:ascii="Times New Roman" w:hAnsi="Times New Roman" w:cs="Times New Roman"/>
                <w:sz w:val="24"/>
                <w:szCs w:val="24"/>
                <w:lang w:val="lt-LT" w:eastAsia="lt-LT"/>
              </w:rPr>
              <w:t>ina atsisakyti.</w:t>
            </w:r>
          </w:p>
        </w:tc>
        <w:tc>
          <w:tcPr>
            <w:tcW w:w="7655" w:type="dxa"/>
          </w:tcPr>
          <w:p w:rsidR="003D5827" w:rsidRPr="005E4DAE" w:rsidRDefault="003D5827" w:rsidP="002D3CDA">
            <w:pPr>
              <w:spacing w:after="0" w:line="240" w:lineRule="auto"/>
              <w:jc w:val="both"/>
              <w:rPr>
                <w:rFonts w:ascii="Times New Roman" w:hAnsi="Times New Roman" w:cs="Times New Roman"/>
                <w:b/>
                <w:bCs/>
                <w:sz w:val="24"/>
                <w:szCs w:val="24"/>
                <w:lang w:val="lt-LT"/>
              </w:rPr>
            </w:pPr>
            <w:r w:rsidRPr="005E4DAE">
              <w:rPr>
                <w:rFonts w:ascii="Times New Roman" w:hAnsi="Times New Roman" w:cs="Times New Roman"/>
                <w:b/>
                <w:bCs/>
                <w:sz w:val="24"/>
                <w:szCs w:val="24"/>
                <w:lang w:val="lt-LT"/>
              </w:rPr>
              <w:t>Atsižvelgta iš dalies.</w:t>
            </w:r>
          </w:p>
          <w:p w:rsidR="003D5827" w:rsidRPr="005E4DAE" w:rsidRDefault="003D5827" w:rsidP="002D3CD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r w:rsidRPr="005E4DAE">
              <w:rPr>
                <w:rFonts w:ascii="Times New Roman" w:hAnsi="Times New Roman" w:cs="Times New Roman"/>
                <w:sz w:val="24"/>
                <w:szCs w:val="24"/>
                <w:lang w:val="lt-LT"/>
              </w:rPr>
              <w:t>Techninės priemonės</w:t>
            </w:r>
            <w:r>
              <w:rPr>
                <w:rFonts w:ascii="Times New Roman" w:hAnsi="Times New Roman" w:cs="Times New Roman"/>
                <w:sz w:val="24"/>
                <w:szCs w:val="24"/>
                <w:lang w:val="lt-LT"/>
              </w:rPr>
              <w:t xml:space="preserve">“ – </w:t>
            </w:r>
            <w:r w:rsidRPr="005E4DAE">
              <w:rPr>
                <w:rFonts w:ascii="Times New Roman" w:hAnsi="Times New Roman" w:cs="Times New Roman"/>
                <w:sz w:val="24"/>
                <w:szCs w:val="24"/>
                <w:lang w:val="lt-LT"/>
              </w:rPr>
              <w:t>tai garsą</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vaizdą įrašanti technika, dažnai reikalinga esant įtartinos veiklos nustatymo įrodymams pagrįsti</w:t>
            </w:r>
            <w:r>
              <w:rPr>
                <w:rFonts w:ascii="Times New Roman" w:hAnsi="Times New Roman" w:cs="Times New Roman"/>
                <w:sz w:val="24"/>
                <w:szCs w:val="24"/>
                <w:lang w:val="lt-LT"/>
              </w:rPr>
              <w:t>, tačiau to nesiūloma nurodyti įstatyme. Priežiūros institucijų kalba sąvoka „techninės priemonės“ yra suprantamos ir nekels neaiškumų.</w:t>
            </w:r>
          </w:p>
        </w:tc>
      </w:tr>
      <w:tr w:rsidR="003D5827" w:rsidRPr="006F3F81" w:rsidTr="00845C04">
        <w:tc>
          <w:tcPr>
            <w:tcW w:w="1584" w:type="dxa"/>
          </w:tcPr>
          <w:p w:rsidR="003D5827" w:rsidRPr="005E4DAE" w:rsidRDefault="003D5827" w:rsidP="002D3CDA">
            <w:pPr>
              <w:spacing w:after="0" w:line="240" w:lineRule="auto"/>
              <w:jc w:val="both"/>
              <w:rPr>
                <w:rFonts w:ascii="Times New Roman" w:hAnsi="Times New Roman" w:cs="Times New Roman"/>
                <w:sz w:val="24"/>
                <w:szCs w:val="24"/>
                <w:lang w:val="lt-LT" w:eastAsia="ar-SA"/>
              </w:rPr>
            </w:pPr>
          </w:p>
        </w:tc>
        <w:tc>
          <w:tcPr>
            <w:tcW w:w="4937" w:type="dxa"/>
          </w:tcPr>
          <w:p w:rsidR="003D5827" w:rsidRPr="00317E50" w:rsidRDefault="003D5827" w:rsidP="002D3CDA">
            <w:pPr>
              <w:spacing w:after="0" w:line="240" w:lineRule="auto"/>
              <w:jc w:val="both"/>
              <w:rPr>
                <w:rFonts w:ascii="Times New Roman" w:hAnsi="Times New Roman" w:cs="Times New Roman"/>
                <w:sz w:val="24"/>
                <w:szCs w:val="24"/>
                <w:lang w:val="lt-LT" w:eastAsia="ar-SA"/>
              </w:rPr>
            </w:pPr>
            <w:r w:rsidRPr="00317E50">
              <w:rPr>
                <w:rFonts w:ascii="Times New Roman" w:hAnsi="Times New Roman" w:cs="Times New Roman"/>
                <w:sz w:val="24"/>
                <w:szCs w:val="24"/>
                <w:lang w:val="lt-LT"/>
              </w:rPr>
              <w:t>31. Tokios nuostatos, kaip įtvirtintos Įstatymo projekto 17 str. 2 d. 4 ir 5 punktuose, nėra įstatyminio lygmens nuostatos, todėl, siekiant teisės akto glaustumo, siūlytume jų atsisakyti.</w:t>
            </w:r>
          </w:p>
        </w:tc>
        <w:tc>
          <w:tcPr>
            <w:tcW w:w="7655" w:type="dxa"/>
          </w:tcPr>
          <w:p w:rsidR="003D5827" w:rsidRPr="00317E50" w:rsidRDefault="003D5827" w:rsidP="002D3CDA">
            <w:pPr>
              <w:spacing w:after="0" w:line="240" w:lineRule="auto"/>
              <w:jc w:val="both"/>
              <w:rPr>
                <w:rFonts w:ascii="Times New Roman" w:hAnsi="Times New Roman" w:cs="Times New Roman"/>
                <w:b/>
                <w:bCs/>
                <w:sz w:val="24"/>
                <w:szCs w:val="24"/>
                <w:lang w:val="lt-LT"/>
              </w:rPr>
            </w:pPr>
            <w:r w:rsidRPr="00317E50">
              <w:rPr>
                <w:rFonts w:ascii="Times New Roman" w:hAnsi="Times New Roman" w:cs="Times New Roman"/>
                <w:b/>
                <w:bCs/>
                <w:sz w:val="24"/>
                <w:szCs w:val="24"/>
                <w:lang w:val="lt-LT"/>
              </w:rPr>
              <w:t>Atsižvelgta iš dalies.</w:t>
            </w:r>
          </w:p>
          <w:p w:rsidR="003D5827" w:rsidRPr="005E4DAE" w:rsidRDefault="003D5827" w:rsidP="002D3CDA">
            <w:pPr>
              <w:spacing w:after="0" w:line="240" w:lineRule="auto"/>
              <w:jc w:val="both"/>
              <w:rPr>
                <w:rFonts w:ascii="Times New Roman" w:hAnsi="Times New Roman" w:cs="Times New Roman"/>
                <w:b/>
                <w:bCs/>
                <w:sz w:val="24"/>
                <w:szCs w:val="24"/>
                <w:lang w:val="lt-LT"/>
              </w:rPr>
            </w:pPr>
            <w:r w:rsidRPr="00317E50">
              <w:rPr>
                <w:rFonts w:ascii="Times New Roman" w:hAnsi="Times New Roman" w:cs="Times New Roman"/>
                <w:sz w:val="24"/>
                <w:szCs w:val="24"/>
                <w:lang w:val="lt-LT"/>
              </w:rPr>
              <w:t xml:space="preserve">Priemonė pasirinkta </w:t>
            </w:r>
            <w:r>
              <w:rPr>
                <w:rFonts w:ascii="Times New Roman" w:hAnsi="Times New Roman" w:cs="Times New Roman"/>
                <w:sz w:val="24"/>
                <w:szCs w:val="24"/>
                <w:lang w:val="lt-LT"/>
              </w:rPr>
              <w:t>į</w:t>
            </w:r>
            <w:r w:rsidRPr="00317E50">
              <w:rPr>
                <w:rFonts w:ascii="Times New Roman" w:hAnsi="Times New Roman" w:cs="Times New Roman"/>
                <w:sz w:val="24"/>
                <w:szCs w:val="24"/>
                <w:lang w:val="lt-LT"/>
              </w:rPr>
              <w:t>gyvendina</w:t>
            </w:r>
            <w:r>
              <w:rPr>
                <w:rFonts w:ascii="Times New Roman" w:hAnsi="Times New Roman" w:cs="Times New Roman"/>
                <w:sz w:val="24"/>
                <w:szCs w:val="24"/>
                <w:lang w:val="lt-LT"/>
              </w:rPr>
              <w:t xml:space="preserve">nt </w:t>
            </w:r>
            <w:r w:rsidRPr="00317E50">
              <w:rPr>
                <w:rFonts w:ascii="Times New Roman" w:hAnsi="Times New Roman" w:cs="Times New Roman"/>
                <w:sz w:val="24"/>
                <w:szCs w:val="24"/>
                <w:lang w:val="lt-LT"/>
              </w:rPr>
              <w:t>R</w:t>
            </w:r>
            <w:r>
              <w:rPr>
                <w:rFonts w:ascii="Times New Roman" w:hAnsi="Times New Roman" w:cs="Times New Roman"/>
                <w:sz w:val="24"/>
                <w:szCs w:val="24"/>
                <w:lang w:val="lt-LT"/>
              </w:rPr>
              <w:t xml:space="preserve">eglamento (EB) </w:t>
            </w:r>
            <w:r w:rsidRPr="00317E50">
              <w:rPr>
                <w:rFonts w:ascii="Times New Roman" w:hAnsi="Times New Roman" w:cs="Times New Roman"/>
                <w:sz w:val="24"/>
                <w:szCs w:val="24"/>
                <w:lang w:val="lt-LT"/>
              </w:rPr>
              <w:t>273/2004 10 straipsnio</w:t>
            </w:r>
            <w:r>
              <w:rPr>
                <w:rFonts w:ascii="Times New Roman" w:hAnsi="Times New Roman" w:cs="Times New Roman"/>
                <w:sz w:val="24"/>
                <w:szCs w:val="24"/>
                <w:lang w:val="lt-LT"/>
              </w:rPr>
              <w:t xml:space="preserve"> </w:t>
            </w:r>
            <w:r w:rsidRPr="006F3F81">
              <w:rPr>
                <w:rFonts w:ascii="Times New Roman" w:hAnsi="Times New Roman" w:cs="Times New Roman"/>
                <w:sz w:val="24"/>
                <w:szCs w:val="24"/>
                <w:lang w:val="lt-LT"/>
              </w:rPr>
              <w:t xml:space="preserve">1 dalies </w:t>
            </w:r>
            <w:r>
              <w:rPr>
                <w:rFonts w:ascii="Times New Roman" w:hAnsi="Times New Roman" w:cs="Times New Roman"/>
                <w:sz w:val="24"/>
                <w:szCs w:val="24"/>
                <w:lang w:val="lt-LT"/>
              </w:rPr>
              <w:t>nuostatas, kad:</w:t>
            </w:r>
            <w:r w:rsidRPr="00317E50">
              <w:rPr>
                <w:rFonts w:ascii="Times New Roman" w:hAnsi="Times New Roman" w:cs="Times New Roman"/>
                <w:sz w:val="24"/>
                <w:szCs w:val="24"/>
                <w:lang w:val="lt-LT"/>
              </w:rPr>
              <w:t xml:space="preserve"> a) visos valstybės narės priima priemones, reikalingas gauti informaciją apie bet kokius sandorius, b)</w:t>
            </w:r>
            <w:r>
              <w:rPr>
                <w:rFonts w:ascii="Times New Roman" w:hAnsi="Times New Roman" w:cs="Times New Roman"/>
                <w:sz w:val="24"/>
                <w:szCs w:val="24"/>
                <w:lang w:val="lt-LT"/>
              </w:rPr>
              <w:t xml:space="preserve"> </w:t>
            </w:r>
            <w:r w:rsidRPr="00317E50">
              <w:rPr>
                <w:rFonts w:ascii="Times New Roman" w:hAnsi="Times New Roman" w:cs="Times New Roman"/>
                <w:sz w:val="24"/>
                <w:szCs w:val="24"/>
                <w:lang w:val="lt-LT"/>
              </w:rPr>
              <w:t>patekti į verslo patalpas, siekiant gauti pažeidimo įrodymą, imant mėginį ir atliekant laboratorinį tyrimą</w:t>
            </w:r>
            <w:r>
              <w:rPr>
                <w:rFonts w:ascii="Times New Roman" w:hAnsi="Times New Roman" w:cs="Times New Roman"/>
                <w:sz w:val="24"/>
                <w:szCs w:val="24"/>
                <w:lang w:val="lt-LT"/>
              </w:rPr>
              <w:t>.</w:t>
            </w:r>
          </w:p>
        </w:tc>
      </w:tr>
      <w:tr w:rsidR="003D5827" w:rsidRPr="006F3F81" w:rsidTr="00845C04">
        <w:tc>
          <w:tcPr>
            <w:tcW w:w="1584" w:type="dxa"/>
          </w:tcPr>
          <w:p w:rsidR="003D5827" w:rsidRPr="005E4DAE" w:rsidRDefault="003D5827" w:rsidP="002D3CDA">
            <w:pPr>
              <w:spacing w:after="0" w:line="240" w:lineRule="auto"/>
              <w:jc w:val="both"/>
              <w:rPr>
                <w:rFonts w:ascii="Times New Roman" w:hAnsi="Times New Roman" w:cs="Times New Roman"/>
                <w:sz w:val="24"/>
                <w:szCs w:val="24"/>
                <w:lang w:val="lt-LT" w:eastAsia="ar-SA"/>
              </w:rPr>
            </w:pPr>
          </w:p>
        </w:tc>
        <w:tc>
          <w:tcPr>
            <w:tcW w:w="4937" w:type="dxa"/>
          </w:tcPr>
          <w:p w:rsidR="003D5827" w:rsidRPr="005E4DAE" w:rsidRDefault="003D5827" w:rsidP="002D3CDA">
            <w:pPr>
              <w:pStyle w:val="Preformatted"/>
              <w:tabs>
                <w:tab w:val="clear" w:pos="0"/>
                <w:tab w:val="left" w:pos="851"/>
              </w:tabs>
              <w:jc w:val="both"/>
              <w:rPr>
                <w:rFonts w:ascii="Times New Roman" w:hAnsi="Times New Roman"/>
                <w:sz w:val="24"/>
                <w:szCs w:val="24"/>
                <w:lang w:eastAsia="lt-LT"/>
              </w:rPr>
            </w:pPr>
            <w:r w:rsidRPr="005E4DAE">
              <w:rPr>
                <w:rFonts w:ascii="Times New Roman" w:hAnsi="Times New Roman"/>
                <w:sz w:val="24"/>
                <w:szCs w:val="24"/>
                <w:lang w:eastAsia="ar-SA"/>
              </w:rPr>
              <w:t>34.</w:t>
            </w:r>
            <w:r w:rsidRPr="005E4DAE">
              <w:rPr>
                <w:rFonts w:ascii="Times New Roman" w:hAnsi="Times New Roman"/>
                <w:sz w:val="24"/>
                <w:szCs w:val="24"/>
                <w:lang w:eastAsia="lt-LT"/>
              </w:rPr>
              <w:t xml:space="preserve"> Siūlytume įvertinti, ar iš tiesų Įstatymo </w:t>
            </w:r>
            <w:r w:rsidRPr="005E4DAE">
              <w:rPr>
                <w:rFonts w:ascii="Times New Roman" w:hAnsi="Times New Roman"/>
                <w:sz w:val="24"/>
                <w:szCs w:val="24"/>
                <w:lang w:eastAsia="lt-LT"/>
              </w:rPr>
              <w:lastRenderedPageBreak/>
              <w:t xml:space="preserve">projekto rengėjų tikslas, kad informaciją, vadovaujantis Įstatymo projekto 18 str. 3 dalimi, gautų tik valstybės institucijos, ar atitinkamos informacijos nereikėtų ir iš savivaldybės institucijų? </w:t>
            </w:r>
          </w:p>
        </w:tc>
        <w:tc>
          <w:tcPr>
            <w:tcW w:w="7655" w:type="dxa"/>
          </w:tcPr>
          <w:p w:rsidR="003D5827" w:rsidRDefault="003D5827" w:rsidP="002D3CDA">
            <w:pPr>
              <w:spacing w:after="0" w:line="240" w:lineRule="auto"/>
              <w:jc w:val="both"/>
              <w:rPr>
                <w:rFonts w:ascii="Times New Roman" w:hAnsi="Times New Roman" w:cs="Times New Roman"/>
                <w:bCs/>
                <w:sz w:val="24"/>
                <w:szCs w:val="24"/>
                <w:lang w:val="lt-LT"/>
              </w:rPr>
            </w:pPr>
            <w:r w:rsidRPr="005E4DAE">
              <w:rPr>
                <w:rFonts w:ascii="Times New Roman" w:hAnsi="Times New Roman" w:cs="Times New Roman"/>
                <w:b/>
                <w:bCs/>
                <w:sz w:val="24"/>
                <w:szCs w:val="24"/>
                <w:lang w:val="lt-LT"/>
              </w:rPr>
              <w:lastRenderedPageBreak/>
              <w:t xml:space="preserve">Neatsižvelgta. </w:t>
            </w:r>
          </w:p>
          <w:p w:rsidR="003D5827" w:rsidRPr="00243B7B" w:rsidRDefault="003D5827" w:rsidP="002D3CDA">
            <w:pPr>
              <w:spacing w:after="0" w:line="240" w:lineRule="auto"/>
              <w:jc w:val="both"/>
              <w:rPr>
                <w:rFonts w:ascii="Times New Roman" w:hAnsi="Times New Roman" w:cs="Times New Roman"/>
                <w:b/>
                <w:bCs/>
                <w:sz w:val="24"/>
                <w:szCs w:val="24"/>
                <w:lang w:val="lt-LT"/>
              </w:rPr>
            </w:pPr>
            <w:r w:rsidRPr="00243B7B">
              <w:rPr>
                <w:rFonts w:ascii="Times New Roman" w:hAnsi="Times New Roman" w:cs="Times New Roman"/>
                <w:sz w:val="24"/>
                <w:szCs w:val="24"/>
                <w:lang w:val="lt-LT" w:eastAsia="lt-LT"/>
              </w:rPr>
              <w:lastRenderedPageBreak/>
              <w:t>Įvertinta, gauti nurodytą informaciją iš savivaldybės institucijų nėra aktualu.</w:t>
            </w:r>
          </w:p>
        </w:tc>
      </w:tr>
      <w:tr w:rsidR="003D5827" w:rsidRPr="006F3F81" w:rsidTr="00845C04">
        <w:tc>
          <w:tcPr>
            <w:tcW w:w="1584" w:type="dxa"/>
          </w:tcPr>
          <w:p w:rsidR="003D5827" w:rsidRPr="005E4DAE" w:rsidRDefault="003D5827" w:rsidP="002D3CDA">
            <w:pPr>
              <w:spacing w:after="0" w:line="240" w:lineRule="auto"/>
              <w:jc w:val="both"/>
              <w:rPr>
                <w:rFonts w:ascii="Times New Roman" w:hAnsi="Times New Roman" w:cs="Times New Roman"/>
                <w:sz w:val="24"/>
                <w:szCs w:val="24"/>
                <w:lang w:val="lt-LT" w:eastAsia="ar-SA"/>
              </w:rPr>
            </w:pPr>
          </w:p>
        </w:tc>
        <w:tc>
          <w:tcPr>
            <w:tcW w:w="4937" w:type="dxa"/>
          </w:tcPr>
          <w:p w:rsidR="003D5827" w:rsidRPr="005E4DAE" w:rsidRDefault="003D5827" w:rsidP="002D3CDA">
            <w:pPr>
              <w:pStyle w:val="Preformatted"/>
              <w:tabs>
                <w:tab w:val="clear" w:pos="0"/>
                <w:tab w:val="left" w:pos="851"/>
              </w:tabs>
              <w:jc w:val="both"/>
              <w:rPr>
                <w:rFonts w:ascii="Times New Roman" w:hAnsi="Times New Roman"/>
                <w:sz w:val="24"/>
                <w:szCs w:val="24"/>
                <w:lang w:eastAsia="lt-LT"/>
              </w:rPr>
            </w:pPr>
            <w:r w:rsidRPr="005E4DAE">
              <w:rPr>
                <w:rFonts w:ascii="Times New Roman" w:hAnsi="Times New Roman"/>
                <w:sz w:val="24"/>
                <w:szCs w:val="24"/>
                <w:lang w:eastAsia="ar-SA"/>
              </w:rPr>
              <w:t>37.</w:t>
            </w:r>
            <w:r w:rsidRPr="005E4DAE">
              <w:rPr>
                <w:rFonts w:ascii="Times New Roman" w:hAnsi="Times New Roman"/>
                <w:sz w:val="24"/>
                <w:szCs w:val="24"/>
                <w:lang w:eastAsia="lt-LT"/>
              </w:rPr>
              <w:t xml:space="preserve"> Įstatymo projekto 18 str. 5 dalies nuostatos yra perteklinės vertinant jas Viešojo administravimo įstatyme įtvirtintos tarnybinės pagalbos principo kontekste, todėl siūlytume svarstyti galimybę tokios nuostatos atsisakyti. </w:t>
            </w:r>
          </w:p>
          <w:p w:rsidR="003D5827" w:rsidRPr="005E4DAE" w:rsidRDefault="003D5827" w:rsidP="002D3CDA">
            <w:pPr>
              <w:spacing w:after="0" w:line="240" w:lineRule="auto"/>
              <w:jc w:val="both"/>
              <w:rPr>
                <w:rFonts w:ascii="Times New Roman" w:hAnsi="Times New Roman" w:cs="Times New Roman"/>
                <w:sz w:val="24"/>
                <w:szCs w:val="24"/>
                <w:lang w:val="lt-LT" w:eastAsia="ar-SA"/>
              </w:rPr>
            </w:pPr>
          </w:p>
        </w:tc>
        <w:tc>
          <w:tcPr>
            <w:tcW w:w="7655" w:type="dxa"/>
          </w:tcPr>
          <w:p w:rsidR="003D5827" w:rsidRPr="00E066B4" w:rsidRDefault="003D5827" w:rsidP="002D3CDA">
            <w:pPr>
              <w:spacing w:after="0" w:line="240" w:lineRule="auto"/>
              <w:jc w:val="both"/>
              <w:rPr>
                <w:rFonts w:ascii="Times New Roman" w:hAnsi="Times New Roman" w:cs="Times New Roman"/>
                <w:b/>
                <w:bCs/>
                <w:sz w:val="24"/>
                <w:szCs w:val="24"/>
                <w:lang w:val="lt-LT"/>
              </w:rPr>
            </w:pPr>
            <w:r w:rsidRPr="00E066B4">
              <w:rPr>
                <w:rFonts w:ascii="Times New Roman" w:hAnsi="Times New Roman" w:cs="Times New Roman"/>
                <w:b/>
                <w:bCs/>
                <w:sz w:val="24"/>
                <w:szCs w:val="24"/>
                <w:lang w:val="lt-LT"/>
              </w:rPr>
              <w:t>Neatsižvelgta.</w:t>
            </w:r>
          </w:p>
          <w:p w:rsidR="003D5827" w:rsidRPr="002039B9" w:rsidRDefault="003D5827" w:rsidP="002D3CDA">
            <w:pPr>
              <w:spacing w:after="0" w:line="240" w:lineRule="auto"/>
              <w:jc w:val="both"/>
              <w:rPr>
                <w:rFonts w:ascii="Times New Roman" w:hAnsi="Times New Roman" w:cs="Times New Roman"/>
                <w:sz w:val="24"/>
                <w:szCs w:val="24"/>
                <w:lang w:val="lt-LT"/>
              </w:rPr>
            </w:pPr>
            <w:r w:rsidRPr="00E066B4">
              <w:rPr>
                <w:rFonts w:ascii="Times New Roman" w:hAnsi="Times New Roman" w:cs="Times New Roman"/>
                <w:sz w:val="24"/>
                <w:szCs w:val="24"/>
                <w:lang w:val="lt-LT"/>
              </w:rPr>
              <w:t>Įstatymo projekto 1</w:t>
            </w:r>
            <w:r>
              <w:rPr>
                <w:rFonts w:ascii="Times New Roman" w:hAnsi="Times New Roman" w:cs="Times New Roman"/>
                <w:sz w:val="24"/>
                <w:szCs w:val="24"/>
                <w:lang w:val="lt-LT"/>
              </w:rPr>
              <w:t>5</w:t>
            </w:r>
            <w:r w:rsidRPr="00E066B4">
              <w:rPr>
                <w:rFonts w:ascii="Times New Roman" w:hAnsi="Times New Roman" w:cs="Times New Roman"/>
                <w:sz w:val="24"/>
                <w:szCs w:val="24"/>
                <w:lang w:val="lt-LT"/>
              </w:rPr>
              <w:t xml:space="preserve"> str</w:t>
            </w:r>
            <w:r>
              <w:rPr>
                <w:rFonts w:ascii="Times New Roman" w:hAnsi="Times New Roman" w:cs="Times New Roman"/>
                <w:sz w:val="24"/>
                <w:szCs w:val="24"/>
                <w:lang w:val="lt-LT"/>
              </w:rPr>
              <w:t>aipsnio</w:t>
            </w:r>
            <w:r w:rsidRPr="00E066B4">
              <w:rPr>
                <w:rFonts w:ascii="Times New Roman" w:hAnsi="Times New Roman" w:cs="Times New Roman"/>
                <w:sz w:val="24"/>
                <w:szCs w:val="24"/>
                <w:lang w:val="lt-LT"/>
              </w:rPr>
              <w:t xml:space="preserve"> </w:t>
            </w:r>
            <w:r>
              <w:rPr>
                <w:rFonts w:ascii="Times New Roman" w:hAnsi="Times New Roman" w:cs="Times New Roman"/>
                <w:sz w:val="24"/>
                <w:szCs w:val="24"/>
              </w:rPr>
              <w:t>4</w:t>
            </w:r>
            <w:r w:rsidRPr="00E066B4">
              <w:rPr>
                <w:rFonts w:ascii="Times New Roman" w:hAnsi="Times New Roman" w:cs="Times New Roman"/>
                <w:sz w:val="24"/>
                <w:szCs w:val="24"/>
                <w:lang w:val="lt-LT"/>
              </w:rPr>
              <w:t xml:space="preserve"> dalyje nurodytos informacijos teikimas reglamentuotas </w:t>
            </w:r>
            <w:r>
              <w:rPr>
                <w:rFonts w:ascii="Times New Roman" w:hAnsi="Times New Roman" w:cs="Times New Roman"/>
                <w:sz w:val="24"/>
                <w:szCs w:val="24"/>
                <w:lang w:val="lt-LT"/>
              </w:rPr>
              <w:t>N</w:t>
            </w:r>
            <w:r w:rsidRPr="005E4DAE">
              <w:rPr>
                <w:rFonts w:ascii="Times New Roman" w:hAnsi="Times New Roman" w:cs="Times New Roman"/>
                <w:sz w:val="24"/>
                <w:szCs w:val="24"/>
                <w:lang w:val="lt-LT"/>
              </w:rPr>
              <w:t>arkotinių ir psichotropinių medžiagų vartojimo, jo padarinių, narkotinių ir psichotropinių medžiagų ir jų pirmtakų (</w:t>
            </w:r>
            <w:proofErr w:type="spellStart"/>
            <w:r w:rsidRPr="005E4DAE">
              <w:rPr>
                <w:rFonts w:ascii="Times New Roman" w:hAnsi="Times New Roman" w:cs="Times New Roman"/>
                <w:sz w:val="24"/>
                <w:szCs w:val="24"/>
                <w:lang w:val="lt-LT"/>
              </w:rPr>
              <w:t>prekursorių</w:t>
            </w:r>
            <w:proofErr w:type="spellEnd"/>
            <w:r w:rsidRPr="005E4DAE">
              <w:rPr>
                <w:rFonts w:ascii="Times New Roman" w:hAnsi="Times New Roman" w:cs="Times New Roman"/>
                <w:sz w:val="24"/>
                <w:szCs w:val="24"/>
                <w:lang w:val="lt-LT"/>
              </w:rPr>
              <w:t>), į oficialų sąrašą neįtrauktų medžiagų bei naujų psichoaktyviųjų medžiagų apyvartos stebėsenos tvarkos apraš</w:t>
            </w:r>
            <w:r>
              <w:rPr>
                <w:rFonts w:ascii="Times New Roman" w:hAnsi="Times New Roman" w:cs="Times New Roman"/>
                <w:sz w:val="24"/>
                <w:szCs w:val="24"/>
                <w:lang w:val="lt-LT"/>
              </w:rPr>
              <w:t xml:space="preserve">u, patvirtintu </w:t>
            </w:r>
            <w:r w:rsidRPr="005E4DAE">
              <w:rPr>
                <w:rFonts w:ascii="Times New Roman" w:hAnsi="Times New Roman" w:cs="Times New Roman"/>
                <w:sz w:val="24"/>
                <w:szCs w:val="24"/>
                <w:lang w:val="lt-LT"/>
              </w:rPr>
              <w:t>Lietuvos Respublikos Vyriausybės 2005 m. gegužės 30 d. nutarimu Nr. 591 (Lietuvos Respublikos Vyriausybės 2019 m. vasario 13 d. nutarimo Nr. 143</w:t>
            </w:r>
            <w:r>
              <w:rPr>
                <w:rFonts w:ascii="Times New Roman" w:hAnsi="Times New Roman" w:cs="Times New Roman"/>
                <w:sz w:val="24"/>
                <w:szCs w:val="24"/>
                <w:lang w:val="lt-LT"/>
              </w:rPr>
              <w:t xml:space="preserve"> </w:t>
            </w:r>
            <w:r w:rsidRPr="005E4DAE">
              <w:rPr>
                <w:rFonts w:ascii="Times New Roman" w:hAnsi="Times New Roman" w:cs="Times New Roman"/>
                <w:sz w:val="24"/>
                <w:szCs w:val="24"/>
                <w:lang w:val="lt-LT"/>
              </w:rPr>
              <w:t>redakcija)</w:t>
            </w:r>
            <w:r>
              <w:rPr>
                <w:rFonts w:ascii="Times New Roman" w:hAnsi="Times New Roman" w:cs="Times New Roman"/>
                <w:sz w:val="24"/>
                <w:szCs w:val="24"/>
                <w:lang w:val="lt-LT"/>
              </w:rPr>
              <w:t>.</w:t>
            </w:r>
          </w:p>
        </w:tc>
      </w:tr>
    </w:tbl>
    <w:p w:rsidR="003D5827" w:rsidRPr="005E4DAE" w:rsidRDefault="003D5827" w:rsidP="002D3CDA">
      <w:pPr>
        <w:spacing w:after="0" w:line="240" w:lineRule="auto"/>
        <w:jc w:val="both"/>
        <w:rPr>
          <w:rFonts w:ascii="Times New Roman" w:hAnsi="Times New Roman" w:cs="Times New Roman"/>
          <w:sz w:val="24"/>
          <w:szCs w:val="24"/>
          <w:lang w:val="lt-LT"/>
        </w:rPr>
      </w:pPr>
    </w:p>
    <w:sectPr w:rsidR="003D5827" w:rsidRPr="005E4DAE" w:rsidSect="00365932">
      <w:headerReference w:type="default" r:id="rId7"/>
      <w:pgSz w:w="15840" w:h="12240" w:orient="landscape"/>
      <w:pgMar w:top="1418" w:right="1276" w:bottom="1560"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1AF5" w:rsidRDefault="00591AF5" w:rsidP="0063677D">
      <w:pPr>
        <w:spacing w:after="0" w:line="240" w:lineRule="auto"/>
      </w:pPr>
      <w:r>
        <w:separator/>
      </w:r>
    </w:p>
  </w:endnote>
  <w:endnote w:type="continuationSeparator" w:id="0">
    <w:p w:rsidR="00591AF5" w:rsidRDefault="00591AF5" w:rsidP="0063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1AF5" w:rsidRDefault="00591AF5" w:rsidP="0063677D">
      <w:pPr>
        <w:spacing w:after="0" w:line="240" w:lineRule="auto"/>
      </w:pPr>
      <w:r>
        <w:separator/>
      </w:r>
    </w:p>
  </w:footnote>
  <w:footnote w:type="continuationSeparator" w:id="0">
    <w:p w:rsidR="00591AF5" w:rsidRDefault="00591AF5" w:rsidP="0063677D">
      <w:pPr>
        <w:spacing w:after="0" w:line="240" w:lineRule="auto"/>
      </w:pPr>
      <w:r>
        <w:continuationSeparator/>
      </w:r>
    </w:p>
  </w:footnote>
  <w:footnote w:id="1">
    <w:p w:rsidR="003D5827" w:rsidRDefault="003D5827" w:rsidP="00D31E4C">
      <w:pPr>
        <w:pStyle w:val="Puslapioinaostekstas"/>
        <w:jc w:val="both"/>
      </w:pPr>
      <w:r>
        <w:rPr>
          <w:rStyle w:val="Puslapioinaosnuoroda"/>
        </w:rPr>
        <w:footnoteRef/>
      </w:r>
      <w:r>
        <w:t xml:space="preserve"> </w:t>
      </w:r>
      <w:r>
        <w:rPr>
          <w:sz w:val="24"/>
          <w:szCs w:val="24"/>
          <w:lang w:val="en-GB"/>
        </w:rPr>
        <w:t>„</w:t>
      </w:r>
      <w:r w:rsidRPr="00B62081">
        <w:t xml:space="preserve">Dėl Lietuvos Respublikos </w:t>
      </w:r>
      <w:r w:rsidRPr="00B62081">
        <w:rPr>
          <w:color w:val="00000A"/>
        </w:rPr>
        <w:t>sveikatos</w:t>
      </w:r>
      <w:r w:rsidRPr="00B62081">
        <w:t xml:space="preserve"> sistemos įstatymo Nr. I-552 29, 70</w:t>
      </w:r>
      <w:r w:rsidRPr="00B62081">
        <w:rPr>
          <w:vertAlign w:val="superscript"/>
        </w:rPr>
        <w:t>1</w:t>
      </w:r>
      <w:r w:rsidRPr="00B62081">
        <w:t xml:space="preserve"> straipsnių pakeitimo, 73, 74 straipsnių pripažinimo netekusiais galios įstatymo, Lietuvos Respublikos sveikatos priežiūros įstaigų įstatymo Nr. I-1367 23, 24 ir 52 straipsnių pakeitimo įstatymo, Lietuvos Respublikos visuomenės sveikatos priežiūros įstatymo Nr. IX-886 7 straipsnio pakeitimo ir 12 straipsnio pripažinimo netekusiu galios įstatymo, Lietuvos Respublikos alkoholio kontrolės įstatymo Nr. I-857 12, 16, 18</w:t>
      </w:r>
      <w:r w:rsidRPr="00B62081">
        <w:rPr>
          <w:vertAlign w:val="superscript"/>
        </w:rPr>
        <w:t>1</w:t>
      </w:r>
      <w:r w:rsidRPr="00B62081">
        <w:t>, 18</w:t>
      </w:r>
      <w:r w:rsidRPr="00B62081">
        <w:rPr>
          <w:vertAlign w:val="superscript"/>
        </w:rPr>
        <w:t>2</w:t>
      </w:r>
      <w:r w:rsidRPr="00B62081">
        <w:t>, 18</w:t>
      </w:r>
      <w:r w:rsidRPr="00B62081">
        <w:rPr>
          <w:vertAlign w:val="superscript"/>
        </w:rPr>
        <w:t>6</w:t>
      </w:r>
      <w:r w:rsidRPr="00B62081">
        <w:t>, 29, 31, 34, 34</w:t>
      </w:r>
      <w:r w:rsidRPr="00B62081">
        <w:rPr>
          <w:vertAlign w:val="superscript"/>
        </w:rPr>
        <w:t>1</w:t>
      </w:r>
      <w:r w:rsidRPr="00B62081">
        <w:t xml:space="preserve"> straipsnių pakeitimo ir 32 straipsnio pripažinimo netekusiu galios įstatymo, Lietuvos Respublikos tabako, tabako gaminių ir su jais susijusių gaminių kontrolės įstatymo Nr. I-1143 9, 9</w:t>
      </w:r>
      <w:r w:rsidRPr="00B62081">
        <w:rPr>
          <w:vertAlign w:val="superscript"/>
        </w:rPr>
        <w:t>1</w:t>
      </w:r>
      <w:r w:rsidRPr="00B62081">
        <w:t>, 9</w:t>
      </w:r>
      <w:r w:rsidRPr="00B62081">
        <w:rPr>
          <w:vertAlign w:val="superscript"/>
        </w:rPr>
        <w:t>3</w:t>
      </w:r>
      <w:r w:rsidRPr="00B62081">
        <w:t>, 9</w:t>
      </w:r>
      <w:r w:rsidRPr="00B62081">
        <w:rPr>
          <w:vertAlign w:val="superscript"/>
        </w:rPr>
        <w:t>6</w:t>
      </w:r>
      <w:r w:rsidRPr="00B62081">
        <w:t>, 9</w:t>
      </w:r>
      <w:r w:rsidRPr="00B62081">
        <w:rPr>
          <w:vertAlign w:val="superscript"/>
        </w:rPr>
        <w:t>10</w:t>
      </w:r>
      <w:r w:rsidRPr="00B62081">
        <w:t>, 9</w:t>
      </w:r>
      <w:r w:rsidRPr="00B62081">
        <w:rPr>
          <w:vertAlign w:val="superscript"/>
        </w:rPr>
        <w:t>11</w:t>
      </w:r>
      <w:r w:rsidRPr="00B62081">
        <w:t>, 11, 25 ir 26 straipsnių pakeitimo įstatymo, Lietuvos Respublikos narkotinių ir psichotropinių medžiagų kontrolės įstatymo Nr. VIII-602 6</w:t>
      </w:r>
      <w:r w:rsidRPr="00B62081">
        <w:rPr>
          <w:vertAlign w:val="superscript"/>
        </w:rPr>
        <w:t>1</w:t>
      </w:r>
      <w:r w:rsidRPr="00B62081">
        <w:t>, 21</w:t>
      </w:r>
      <w:r w:rsidRPr="00B62081">
        <w:rPr>
          <w:vertAlign w:val="superscript"/>
        </w:rPr>
        <w:t>2</w:t>
      </w:r>
      <w:r w:rsidRPr="00B62081">
        <w:t>, 21</w:t>
      </w:r>
      <w:r w:rsidRPr="00B62081">
        <w:rPr>
          <w:vertAlign w:val="superscript"/>
        </w:rPr>
        <w:t>3</w:t>
      </w:r>
      <w:r w:rsidRPr="00B62081">
        <w:t>, 21</w:t>
      </w:r>
      <w:r w:rsidRPr="00B62081">
        <w:rPr>
          <w:vertAlign w:val="superscript"/>
        </w:rPr>
        <w:t>4</w:t>
      </w:r>
      <w:r w:rsidRPr="00B62081">
        <w:t>, 21</w:t>
      </w:r>
      <w:r w:rsidRPr="00B62081">
        <w:rPr>
          <w:vertAlign w:val="superscript"/>
        </w:rPr>
        <w:t>5</w:t>
      </w:r>
      <w:r w:rsidRPr="00B62081">
        <w:t xml:space="preserve"> ir 21</w:t>
      </w:r>
      <w:r w:rsidRPr="00B62081">
        <w:rPr>
          <w:vertAlign w:val="superscript"/>
        </w:rPr>
        <w:t>7</w:t>
      </w:r>
      <w:r w:rsidRPr="00B62081">
        <w:t xml:space="preserve"> straipsnių pakeitimo įstatymo, Lietuvos Respublikos narkotinių ir psichotropinių medžiagų pirmtakų (</w:t>
      </w:r>
      <w:proofErr w:type="spellStart"/>
      <w:r w:rsidRPr="00B62081">
        <w:t>prekursorių</w:t>
      </w:r>
      <w:proofErr w:type="spellEnd"/>
      <w:r w:rsidRPr="00B62081">
        <w:t>) kontrolės įstatymo Nr. VIII-1207 2, 4, 5, 6, 7, 8 ir 9 straipsnių pakeitimo įstatymo, Lietuvos Respublikos cheminių medžiagų ir preparatų įstatymo Nr. VIII-1641 19 straipsnio pakeitimo įstatymo, Lietuvos Respublikos azartinių lošimų įstatymo Nr. IX-325 2, 4, 8, 8</w:t>
      </w:r>
      <w:r w:rsidRPr="00B62081">
        <w:rPr>
          <w:vertAlign w:val="superscript"/>
        </w:rPr>
        <w:t>1</w:t>
      </w:r>
      <w:r w:rsidRPr="00B62081">
        <w:t>, 10, 10</w:t>
      </w:r>
      <w:r w:rsidRPr="00B62081">
        <w:rPr>
          <w:vertAlign w:val="superscript"/>
        </w:rPr>
        <w:t>1</w:t>
      </w:r>
      <w:r w:rsidRPr="00B62081">
        <w:t>, 10</w:t>
      </w:r>
      <w:r w:rsidRPr="00B62081">
        <w:rPr>
          <w:vertAlign w:val="superscript"/>
        </w:rPr>
        <w:t>2</w:t>
      </w:r>
      <w:r w:rsidRPr="00B62081">
        <w:t>, 11, 13, 15, 15</w:t>
      </w:r>
      <w:r w:rsidRPr="00B62081">
        <w:rPr>
          <w:vertAlign w:val="superscript"/>
        </w:rPr>
        <w:t>1</w:t>
      </w:r>
      <w:r w:rsidRPr="00B62081">
        <w:t>, 16, 16</w:t>
      </w:r>
      <w:r w:rsidRPr="00B62081">
        <w:rPr>
          <w:vertAlign w:val="superscript"/>
        </w:rPr>
        <w:t>1</w:t>
      </w:r>
      <w:r w:rsidRPr="00B62081">
        <w:t>, 18, 20, 20</w:t>
      </w:r>
      <w:r w:rsidRPr="00B62081">
        <w:rPr>
          <w:vertAlign w:val="superscript"/>
        </w:rPr>
        <w:t>1</w:t>
      </w:r>
      <w:r w:rsidRPr="00B62081">
        <w:t>, 20</w:t>
      </w:r>
      <w:r w:rsidRPr="00B62081">
        <w:rPr>
          <w:vertAlign w:val="superscript"/>
        </w:rPr>
        <w:t>2</w:t>
      </w:r>
      <w:r w:rsidRPr="00B62081">
        <w:t>, 20</w:t>
      </w:r>
      <w:r w:rsidRPr="00B62081">
        <w:rPr>
          <w:vertAlign w:val="superscript"/>
        </w:rPr>
        <w:t>3</w:t>
      </w:r>
      <w:r w:rsidRPr="00B62081">
        <w:t>, 20</w:t>
      </w:r>
      <w:r w:rsidRPr="00B62081">
        <w:rPr>
          <w:vertAlign w:val="superscript"/>
        </w:rPr>
        <w:t>4</w:t>
      </w:r>
      <w:r w:rsidRPr="00B62081">
        <w:t>, 20</w:t>
      </w:r>
      <w:r w:rsidRPr="00B62081">
        <w:rPr>
          <w:vertAlign w:val="superscript"/>
        </w:rPr>
        <w:t>7</w:t>
      </w:r>
      <w:r w:rsidRPr="00B62081">
        <w:t>, 20</w:t>
      </w:r>
      <w:r w:rsidRPr="00B62081">
        <w:rPr>
          <w:vertAlign w:val="superscript"/>
        </w:rPr>
        <w:t>8</w:t>
      </w:r>
      <w:r w:rsidRPr="00B62081">
        <w:t>, 21, 22, 23, 24, 25, 25</w:t>
      </w:r>
      <w:r w:rsidRPr="00B62081">
        <w:rPr>
          <w:vertAlign w:val="superscript"/>
        </w:rPr>
        <w:t>3</w:t>
      </w:r>
      <w:r w:rsidRPr="00B62081">
        <w:t>, 25</w:t>
      </w:r>
      <w:r w:rsidRPr="00B62081">
        <w:rPr>
          <w:vertAlign w:val="superscript"/>
        </w:rPr>
        <w:t>4</w:t>
      </w:r>
      <w:r w:rsidRPr="00B62081">
        <w:t>, 28, 29, 30 straipsnių pakeitimo ir 26, 27 straipsnių pripažinimo netekusiais galios įstatymo, Lietuvos Respublikos azartinių lošimų įstatymo Nr. IX-325 2, 10, 15, 16, 29 straipsnių pakeitimo ir įstatymo papildymo 15</w:t>
      </w:r>
      <w:r w:rsidRPr="00B62081">
        <w:rPr>
          <w:vertAlign w:val="superscript"/>
        </w:rPr>
        <w:t>1</w:t>
      </w:r>
      <w:r w:rsidRPr="00B62081">
        <w:t>, 16</w:t>
      </w:r>
      <w:r w:rsidRPr="00B62081">
        <w:rPr>
          <w:vertAlign w:val="superscript"/>
        </w:rPr>
        <w:t>1</w:t>
      </w:r>
      <w:r w:rsidRPr="00B62081">
        <w:t xml:space="preserve"> straipsniais įstatymo Nr. XIII-771 1 ir 5 straipsnių pakeitimo įstatymo, Lietuvos Respublikos azartinių lošimų įstatymo Nr. IX-325 1, 2, 10, 26, 28, 29 straipsnių pakeitimo ir įstatymo papildymo trečiuoju</w:t>
      </w:r>
      <w:r w:rsidRPr="00B62081">
        <w:rPr>
          <w:vertAlign w:val="superscript"/>
        </w:rPr>
        <w:t>1</w:t>
      </w:r>
      <w:r w:rsidRPr="00B62081">
        <w:t> skirsniu įstatymo Nr. XIII-1886 8 straipsnio pakeitimo įstatymo, Lietuvos Respublikos loterijų įstatymo Nr. IX-1661 4, 10, 11, 13, 15, 19, 20, 23, 26 ir 27 straipsnių pakeitimo įstatymo, Lietuvos Respublikos loterijų ir lošimų mokesčio įstatymo Nr. IX-326 6 straipsnio pakeitimo įstatymo, Lietuvos Respublikos pinigų plovimo ir teroristų finansavimo prevencijos įstatymo Nr. VIII-275 3, 4, 30 ir 36 straipsnių pakeitimo įstatymo, Lietuvos Respublikos radiacinės saugos įstatymo Nr.</w:t>
      </w:r>
      <w:r>
        <w:t> </w:t>
      </w:r>
      <w:r w:rsidRPr="00B62081">
        <w:t>VIII-1019 2, 4, 5, 6, 8, 9, 10, 13, 14, 15, 16, 17, 21, 23, 25, 26, 27, 28, 29, 30, 31, 32, 33 ir 34 straipsnių pakeitimo įstatymo, Lietuvos Respublikos radioaktyviųjų atliekų tvarkymo įstatymo Nr. VIII-1190 2 ir 24 straipsnių pakeitimo įstatymo, Lietuvos Respublikos statybos įstatymo Nr. I-1240 27 straipsnio pakeitimo įstatymo, Lietuvos Respublikos mobilizacijos ir priimančiosios šalies paramos įstatymo Nr. I-1623 23 straipsnio pakeitimo įstatymo, Lietuvos Respublikos apsaugos nuo smurto artimoje aplinkoje įstatymo Nr. XI-1425 5 straipsnio pakeitimo įstatymo, Lietuvos Respublikos administracinių nusižengimų kodekso 510</w:t>
      </w:r>
      <w:r w:rsidRPr="00B62081">
        <w:rPr>
          <w:vertAlign w:val="superscript"/>
        </w:rPr>
        <w:t>1</w:t>
      </w:r>
      <w:r w:rsidRPr="00B62081">
        <w:t xml:space="preserve"> ir 589 straipsnių pakeitimo įstatymo, Lietuvos Respublikos specialiųjų žemės naudojimo sąlygų įstatymo Nr. XIII-2166 53 straipsnio pakeitimo įstatymo projektų pateikimo Lietuvos Respublikos Seimui“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D5827" w:rsidRPr="00AF03BE" w:rsidRDefault="003D5827">
    <w:pPr>
      <w:pStyle w:val="Antrats"/>
      <w:jc w:val="center"/>
      <w:rPr>
        <w:sz w:val="24"/>
        <w:szCs w:val="24"/>
      </w:rPr>
    </w:pPr>
    <w:r w:rsidRPr="00AF03BE">
      <w:rPr>
        <w:sz w:val="24"/>
        <w:szCs w:val="24"/>
      </w:rPr>
      <w:fldChar w:fldCharType="begin"/>
    </w:r>
    <w:r w:rsidRPr="00AF03BE">
      <w:rPr>
        <w:sz w:val="24"/>
        <w:szCs w:val="24"/>
      </w:rPr>
      <w:instrText>PAGE   \* MERGEFORMAT</w:instrText>
    </w:r>
    <w:r w:rsidRPr="00AF03BE">
      <w:rPr>
        <w:sz w:val="24"/>
        <w:szCs w:val="24"/>
      </w:rPr>
      <w:fldChar w:fldCharType="separate"/>
    </w:r>
    <w:r>
      <w:rPr>
        <w:noProof/>
        <w:sz w:val="24"/>
        <w:szCs w:val="24"/>
      </w:rPr>
      <w:t>8</w:t>
    </w:r>
    <w:r w:rsidRPr="00AF03BE">
      <w:rPr>
        <w:sz w:val="24"/>
        <w:szCs w:val="24"/>
      </w:rPr>
      <w:fldChar w:fldCharType="end"/>
    </w:r>
  </w:p>
  <w:p w:rsidR="003D5827" w:rsidRDefault="003D58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93F0F"/>
    <w:multiLevelType w:val="hybridMultilevel"/>
    <w:tmpl w:val="48647EB4"/>
    <w:lvl w:ilvl="0" w:tplc="32487310">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0A2781"/>
    <w:multiLevelType w:val="hybridMultilevel"/>
    <w:tmpl w:val="56A0B392"/>
    <w:lvl w:ilvl="0" w:tplc="87343D4E">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3C3338F3"/>
    <w:multiLevelType w:val="hybridMultilevel"/>
    <w:tmpl w:val="B24CA6E8"/>
    <w:lvl w:ilvl="0" w:tplc="82CC5E1E">
      <w:start w:val="1"/>
      <w:numFmt w:val="decimal"/>
      <w:lvlText w:val="%1."/>
      <w:lvlJc w:val="left"/>
      <w:pPr>
        <w:ind w:left="1210" w:hanging="360"/>
      </w:pPr>
      <w:rPr>
        <w:rFonts w:cs="Times New Roman"/>
      </w:rPr>
    </w:lvl>
    <w:lvl w:ilvl="1" w:tplc="04270019">
      <w:start w:val="1"/>
      <w:numFmt w:val="lowerLetter"/>
      <w:lvlText w:val="%2."/>
      <w:lvlJc w:val="left"/>
      <w:pPr>
        <w:ind w:left="1930" w:hanging="360"/>
      </w:pPr>
      <w:rPr>
        <w:rFonts w:cs="Times New Roman"/>
      </w:rPr>
    </w:lvl>
    <w:lvl w:ilvl="2" w:tplc="0427001B">
      <w:start w:val="1"/>
      <w:numFmt w:val="lowerRoman"/>
      <w:lvlText w:val="%3."/>
      <w:lvlJc w:val="right"/>
      <w:pPr>
        <w:ind w:left="2650" w:hanging="180"/>
      </w:pPr>
      <w:rPr>
        <w:rFonts w:cs="Times New Roman"/>
      </w:rPr>
    </w:lvl>
    <w:lvl w:ilvl="3" w:tplc="0427000F">
      <w:start w:val="1"/>
      <w:numFmt w:val="decimal"/>
      <w:lvlText w:val="%4."/>
      <w:lvlJc w:val="left"/>
      <w:pPr>
        <w:ind w:left="900" w:hanging="360"/>
      </w:pPr>
      <w:rPr>
        <w:rFonts w:cs="Times New Roman"/>
      </w:rPr>
    </w:lvl>
    <w:lvl w:ilvl="4" w:tplc="04270019">
      <w:start w:val="1"/>
      <w:numFmt w:val="lowerLetter"/>
      <w:lvlText w:val="%5."/>
      <w:lvlJc w:val="left"/>
      <w:pPr>
        <w:ind w:left="4090" w:hanging="360"/>
      </w:pPr>
      <w:rPr>
        <w:rFonts w:cs="Times New Roman"/>
      </w:rPr>
    </w:lvl>
    <w:lvl w:ilvl="5" w:tplc="0427001B">
      <w:start w:val="1"/>
      <w:numFmt w:val="lowerRoman"/>
      <w:lvlText w:val="%6."/>
      <w:lvlJc w:val="right"/>
      <w:pPr>
        <w:ind w:left="4810" w:hanging="180"/>
      </w:pPr>
      <w:rPr>
        <w:rFonts w:cs="Times New Roman"/>
      </w:rPr>
    </w:lvl>
    <w:lvl w:ilvl="6" w:tplc="0427000F">
      <w:start w:val="1"/>
      <w:numFmt w:val="decimal"/>
      <w:lvlText w:val="%7."/>
      <w:lvlJc w:val="left"/>
      <w:pPr>
        <w:ind w:left="5530" w:hanging="360"/>
      </w:pPr>
      <w:rPr>
        <w:rFonts w:cs="Times New Roman"/>
      </w:rPr>
    </w:lvl>
    <w:lvl w:ilvl="7" w:tplc="04270019">
      <w:start w:val="1"/>
      <w:numFmt w:val="lowerLetter"/>
      <w:lvlText w:val="%8."/>
      <w:lvlJc w:val="left"/>
      <w:pPr>
        <w:ind w:left="6250" w:hanging="360"/>
      </w:pPr>
      <w:rPr>
        <w:rFonts w:cs="Times New Roman"/>
      </w:rPr>
    </w:lvl>
    <w:lvl w:ilvl="8" w:tplc="0427001B">
      <w:start w:val="1"/>
      <w:numFmt w:val="lowerRoman"/>
      <w:lvlText w:val="%9."/>
      <w:lvlJc w:val="right"/>
      <w:pPr>
        <w:ind w:left="6970" w:hanging="180"/>
      </w:pPr>
      <w:rPr>
        <w:rFonts w:cs="Times New Roman"/>
      </w:rPr>
    </w:lvl>
  </w:abstractNum>
  <w:abstractNum w:abstractNumId="3" w15:restartNumberingAfterBreak="0">
    <w:nsid w:val="5B225DE0"/>
    <w:multiLevelType w:val="hybridMultilevel"/>
    <w:tmpl w:val="ECA06624"/>
    <w:lvl w:ilvl="0" w:tplc="E9C4971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5DB93DD1"/>
    <w:multiLevelType w:val="hybridMultilevel"/>
    <w:tmpl w:val="0912395A"/>
    <w:lvl w:ilvl="0" w:tplc="CF6E5B8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 w15:restartNumberingAfterBreak="0">
    <w:nsid w:val="79591618"/>
    <w:multiLevelType w:val="hybridMultilevel"/>
    <w:tmpl w:val="93968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E8050FE"/>
    <w:multiLevelType w:val="multilevel"/>
    <w:tmpl w:val="B75CE86A"/>
    <w:lvl w:ilvl="0">
      <w:start w:val="2"/>
      <w:numFmt w:val="decimal"/>
      <w:lvlText w:val="%1."/>
      <w:lvlJc w:val="left"/>
      <w:pPr>
        <w:ind w:left="1637" w:hanging="360"/>
      </w:pPr>
      <w:rPr>
        <w:rFonts w:cs="Times New Roman"/>
      </w:rPr>
    </w:lvl>
    <w:lvl w:ilvl="1">
      <w:start w:val="1"/>
      <w:numFmt w:val="lowerLetter"/>
      <w:lvlText w:val="%2."/>
      <w:lvlJc w:val="left"/>
      <w:pPr>
        <w:ind w:left="2357" w:hanging="360"/>
      </w:pPr>
      <w:rPr>
        <w:rFonts w:cs="Times New Roman"/>
      </w:rPr>
    </w:lvl>
    <w:lvl w:ilvl="2">
      <w:start w:val="1"/>
      <w:numFmt w:val="lowerRoman"/>
      <w:lvlText w:val="%3."/>
      <w:lvlJc w:val="right"/>
      <w:pPr>
        <w:ind w:left="3077" w:hanging="180"/>
      </w:pPr>
      <w:rPr>
        <w:rFonts w:cs="Times New Roman"/>
      </w:rPr>
    </w:lvl>
    <w:lvl w:ilvl="3">
      <w:start w:val="1"/>
      <w:numFmt w:val="decimal"/>
      <w:lvlText w:val="%4."/>
      <w:lvlJc w:val="left"/>
      <w:pPr>
        <w:ind w:left="3797" w:hanging="360"/>
      </w:pPr>
      <w:rPr>
        <w:rFonts w:cs="Times New Roman"/>
      </w:rPr>
    </w:lvl>
    <w:lvl w:ilvl="4">
      <w:start w:val="1"/>
      <w:numFmt w:val="lowerLetter"/>
      <w:lvlText w:val="%5."/>
      <w:lvlJc w:val="left"/>
      <w:pPr>
        <w:ind w:left="4517" w:hanging="360"/>
      </w:pPr>
      <w:rPr>
        <w:rFonts w:cs="Times New Roman"/>
      </w:rPr>
    </w:lvl>
    <w:lvl w:ilvl="5">
      <w:start w:val="1"/>
      <w:numFmt w:val="lowerRoman"/>
      <w:lvlText w:val="%6."/>
      <w:lvlJc w:val="right"/>
      <w:pPr>
        <w:ind w:left="5237" w:hanging="180"/>
      </w:pPr>
      <w:rPr>
        <w:rFonts w:cs="Times New Roman"/>
      </w:rPr>
    </w:lvl>
    <w:lvl w:ilvl="6">
      <w:start w:val="1"/>
      <w:numFmt w:val="decimal"/>
      <w:lvlText w:val="%7."/>
      <w:lvlJc w:val="left"/>
      <w:pPr>
        <w:ind w:left="5957" w:hanging="360"/>
      </w:pPr>
      <w:rPr>
        <w:rFonts w:cs="Times New Roman"/>
      </w:rPr>
    </w:lvl>
    <w:lvl w:ilvl="7">
      <w:start w:val="1"/>
      <w:numFmt w:val="lowerLetter"/>
      <w:lvlText w:val="%8."/>
      <w:lvlJc w:val="left"/>
      <w:pPr>
        <w:ind w:left="6677" w:hanging="360"/>
      </w:pPr>
      <w:rPr>
        <w:rFonts w:cs="Times New Roman"/>
      </w:rPr>
    </w:lvl>
    <w:lvl w:ilvl="8">
      <w:start w:val="1"/>
      <w:numFmt w:val="lowerRoman"/>
      <w:lvlText w:val="%9."/>
      <w:lvlJc w:val="right"/>
      <w:pPr>
        <w:ind w:left="7397" w:hanging="180"/>
      </w:pPr>
      <w:rPr>
        <w:rFonts w:cs="Times New Roman"/>
      </w:rPr>
    </w:lvl>
  </w:abstractNum>
  <w:num w:numId="1">
    <w:abstractNumId w:val="4"/>
  </w:num>
  <w:num w:numId="2">
    <w:abstractNumId w:val="5"/>
  </w:num>
  <w:num w:numId="3">
    <w:abstractNumId w:val="0"/>
  </w:num>
  <w:num w:numId="4">
    <w:abstractNumId w:val="3"/>
  </w:num>
  <w:num w:numId="5">
    <w:abstractNumId w:val="2"/>
  </w:num>
  <w:num w:numId="6">
    <w:abstractNumId w:val="1"/>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3E"/>
    <w:rsid w:val="00005FE1"/>
    <w:rsid w:val="00015E3B"/>
    <w:rsid w:val="00020C2A"/>
    <w:rsid w:val="000247A1"/>
    <w:rsid w:val="00051EAB"/>
    <w:rsid w:val="00055067"/>
    <w:rsid w:val="000650A5"/>
    <w:rsid w:val="0009296B"/>
    <w:rsid w:val="00092B49"/>
    <w:rsid w:val="00094CCE"/>
    <w:rsid w:val="000A5759"/>
    <w:rsid w:val="000B30FD"/>
    <w:rsid w:val="000B7A89"/>
    <w:rsid w:val="000C0D33"/>
    <w:rsid w:val="000D3B29"/>
    <w:rsid w:val="000D40C7"/>
    <w:rsid w:val="000D5B50"/>
    <w:rsid w:val="000F00BC"/>
    <w:rsid w:val="000F3C98"/>
    <w:rsid w:val="000F7D9A"/>
    <w:rsid w:val="0010582F"/>
    <w:rsid w:val="00112446"/>
    <w:rsid w:val="00114C74"/>
    <w:rsid w:val="00114E04"/>
    <w:rsid w:val="00115603"/>
    <w:rsid w:val="0012667C"/>
    <w:rsid w:val="001318F6"/>
    <w:rsid w:val="001414BC"/>
    <w:rsid w:val="001472D9"/>
    <w:rsid w:val="001A093B"/>
    <w:rsid w:val="001B4B1B"/>
    <w:rsid w:val="001B5D3C"/>
    <w:rsid w:val="001D1AA8"/>
    <w:rsid w:val="001E40F6"/>
    <w:rsid w:val="0020231E"/>
    <w:rsid w:val="002039B9"/>
    <w:rsid w:val="002337FE"/>
    <w:rsid w:val="00243B7B"/>
    <w:rsid w:val="00261CF9"/>
    <w:rsid w:val="00265E2B"/>
    <w:rsid w:val="00266F2B"/>
    <w:rsid w:val="002730DC"/>
    <w:rsid w:val="002775FF"/>
    <w:rsid w:val="00277F9A"/>
    <w:rsid w:val="00283B18"/>
    <w:rsid w:val="00285F79"/>
    <w:rsid w:val="00287823"/>
    <w:rsid w:val="00296BF4"/>
    <w:rsid w:val="002A4BCB"/>
    <w:rsid w:val="002A5386"/>
    <w:rsid w:val="002C3899"/>
    <w:rsid w:val="002D3CDA"/>
    <w:rsid w:val="002E145D"/>
    <w:rsid w:val="002F6280"/>
    <w:rsid w:val="002F6711"/>
    <w:rsid w:val="003129D2"/>
    <w:rsid w:val="00312B34"/>
    <w:rsid w:val="00317E50"/>
    <w:rsid w:val="00327E6A"/>
    <w:rsid w:val="00332EE9"/>
    <w:rsid w:val="0033784C"/>
    <w:rsid w:val="003408EF"/>
    <w:rsid w:val="0035109A"/>
    <w:rsid w:val="00353C6C"/>
    <w:rsid w:val="00365932"/>
    <w:rsid w:val="00366281"/>
    <w:rsid w:val="00367302"/>
    <w:rsid w:val="00374334"/>
    <w:rsid w:val="00381FDE"/>
    <w:rsid w:val="003977E8"/>
    <w:rsid w:val="003B21E8"/>
    <w:rsid w:val="003B531E"/>
    <w:rsid w:val="003D5827"/>
    <w:rsid w:val="003F2E25"/>
    <w:rsid w:val="003F3F09"/>
    <w:rsid w:val="00434DE5"/>
    <w:rsid w:val="00442435"/>
    <w:rsid w:val="004431B7"/>
    <w:rsid w:val="0045554C"/>
    <w:rsid w:val="00467066"/>
    <w:rsid w:val="00471722"/>
    <w:rsid w:val="00473B2C"/>
    <w:rsid w:val="00477025"/>
    <w:rsid w:val="004A20A7"/>
    <w:rsid w:val="004A3B4A"/>
    <w:rsid w:val="004A3B69"/>
    <w:rsid w:val="004C08CA"/>
    <w:rsid w:val="004C310F"/>
    <w:rsid w:val="004D3CF8"/>
    <w:rsid w:val="004D7AE6"/>
    <w:rsid w:val="004F6968"/>
    <w:rsid w:val="00516BE8"/>
    <w:rsid w:val="00523840"/>
    <w:rsid w:val="00540A4E"/>
    <w:rsid w:val="00575112"/>
    <w:rsid w:val="0058157B"/>
    <w:rsid w:val="00591AF5"/>
    <w:rsid w:val="0059413E"/>
    <w:rsid w:val="00597E32"/>
    <w:rsid w:val="005A1B22"/>
    <w:rsid w:val="005B776B"/>
    <w:rsid w:val="005C73EA"/>
    <w:rsid w:val="005E12EE"/>
    <w:rsid w:val="005E34A5"/>
    <w:rsid w:val="005E4DAE"/>
    <w:rsid w:val="00607535"/>
    <w:rsid w:val="00607AD5"/>
    <w:rsid w:val="00614F55"/>
    <w:rsid w:val="00627646"/>
    <w:rsid w:val="0063677D"/>
    <w:rsid w:val="00643AA2"/>
    <w:rsid w:val="00643D58"/>
    <w:rsid w:val="00650E1C"/>
    <w:rsid w:val="00651AAF"/>
    <w:rsid w:val="006541F9"/>
    <w:rsid w:val="00654BDC"/>
    <w:rsid w:val="00654CC2"/>
    <w:rsid w:val="00655A27"/>
    <w:rsid w:val="006625FA"/>
    <w:rsid w:val="00671CB3"/>
    <w:rsid w:val="006909CF"/>
    <w:rsid w:val="00694E52"/>
    <w:rsid w:val="006A1B69"/>
    <w:rsid w:val="006A3DAD"/>
    <w:rsid w:val="006B0998"/>
    <w:rsid w:val="006B371F"/>
    <w:rsid w:val="006C1C45"/>
    <w:rsid w:val="006D1373"/>
    <w:rsid w:val="006F3F81"/>
    <w:rsid w:val="006F4C3B"/>
    <w:rsid w:val="0070760E"/>
    <w:rsid w:val="007301D9"/>
    <w:rsid w:val="00734156"/>
    <w:rsid w:val="0073737C"/>
    <w:rsid w:val="007412FE"/>
    <w:rsid w:val="007439FF"/>
    <w:rsid w:val="007732F6"/>
    <w:rsid w:val="0077395E"/>
    <w:rsid w:val="00775E06"/>
    <w:rsid w:val="0078246F"/>
    <w:rsid w:val="00782F14"/>
    <w:rsid w:val="00790CDF"/>
    <w:rsid w:val="00791739"/>
    <w:rsid w:val="00797F18"/>
    <w:rsid w:val="007A272D"/>
    <w:rsid w:val="007A32DF"/>
    <w:rsid w:val="007A5F5A"/>
    <w:rsid w:val="007B0628"/>
    <w:rsid w:val="007B1255"/>
    <w:rsid w:val="007B350A"/>
    <w:rsid w:val="007B7F73"/>
    <w:rsid w:val="007C59A9"/>
    <w:rsid w:val="007E2D79"/>
    <w:rsid w:val="007F256C"/>
    <w:rsid w:val="008044AB"/>
    <w:rsid w:val="00810C55"/>
    <w:rsid w:val="00827492"/>
    <w:rsid w:val="00837D18"/>
    <w:rsid w:val="00840986"/>
    <w:rsid w:val="00845C04"/>
    <w:rsid w:val="00852D18"/>
    <w:rsid w:val="0088130F"/>
    <w:rsid w:val="00893C78"/>
    <w:rsid w:val="008A0755"/>
    <w:rsid w:val="008A1930"/>
    <w:rsid w:val="008D052E"/>
    <w:rsid w:val="008E4A83"/>
    <w:rsid w:val="008E7CD0"/>
    <w:rsid w:val="0090263B"/>
    <w:rsid w:val="00907382"/>
    <w:rsid w:val="00925C79"/>
    <w:rsid w:val="00947560"/>
    <w:rsid w:val="0096121C"/>
    <w:rsid w:val="00964B00"/>
    <w:rsid w:val="00973E92"/>
    <w:rsid w:val="009906D2"/>
    <w:rsid w:val="00992085"/>
    <w:rsid w:val="009A4796"/>
    <w:rsid w:val="009A76AC"/>
    <w:rsid w:val="009B0E95"/>
    <w:rsid w:val="00A00834"/>
    <w:rsid w:val="00A00C8A"/>
    <w:rsid w:val="00A02A5B"/>
    <w:rsid w:val="00A25746"/>
    <w:rsid w:val="00A4230B"/>
    <w:rsid w:val="00A60395"/>
    <w:rsid w:val="00A71741"/>
    <w:rsid w:val="00A93227"/>
    <w:rsid w:val="00AA4156"/>
    <w:rsid w:val="00AB2C42"/>
    <w:rsid w:val="00AD2DC4"/>
    <w:rsid w:val="00AD3A5B"/>
    <w:rsid w:val="00AE5F09"/>
    <w:rsid w:val="00AF03BE"/>
    <w:rsid w:val="00B05C49"/>
    <w:rsid w:val="00B14B33"/>
    <w:rsid w:val="00B2257E"/>
    <w:rsid w:val="00B327DE"/>
    <w:rsid w:val="00B34B4B"/>
    <w:rsid w:val="00B42F46"/>
    <w:rsid w:val="00B62081"/>
    <w:rsid w:val="00B87E33"/>
    <w:rsid w:val="00BA0277"/>
    <w:rsid w:val="00BC645B"/>
    <w:rsid w:val="00BD0D74"/>
    <w:rsid w:val="00BD7B76"/>
    <w:rsid w:val="00BF51F4"/>
    <w:rsid w:val="00C00736"/>
    <w:rsid w:val="00C0119F"/>
    <w:rsid w:val="00C10F0E"/>
    <w:rsid w:val="00C1310B"/>
    <w:rsid w:val="00C21026"/>
    <w:rsid w:val="00C22367"/>
    <w:rsid w:val="00C32F83"/>
    <w:rsid w:val="00C4021C"/>
    <w:rsid w:val="00C5098D"/>
    <w:rsid w:val="00C523AB"/>
    <w:rsid w:val="00C6359E"/>
    <w:rsid w:val="00C8210E"/>
    <w:rsid w:val="00C851B7"/>
    <w:rsid w:val="00C9646D"/>
    <w:rsid w:val="00C97B3A"/>
    <w:rsid w:val="00CA22A1"/>
    <w:rsid w:val="00CC5B51"/>
    <w:rsid w:val="00CD3F65"/>
    <w:rsid w:val="00CD7EB6"/>
    <w:rsid w:val="00CE3074"/>
    <w:rsid w:val="00CE4E67"/>
    <w:rsid w:val="00CE5787"/>
    <w:rsid w:val="00D114E4"/>
    <w:rsid w:val="00D22305"/>
    <w:rsid w:val="00D273BB"/>
    <w:rsid w:val="00D31E4C"/>
    <w:rsid w:val="00D32328"/>
    <w:rsid w:val="00D43EBE"/>
    <w:rsid w:val="00D44B1F"/>
    <w:rsid w:val="00D61430"/>
    <w:rsid w:val="00D648D4"/>
    <w:rsid w:val="00D65128"/>
    <w:rsid w:val="00D739BC"/>
    <w:rsid w:val="00D76948"/>
    <w:rsid w:val="00D94DC4"/>
    <w:rsid w:val="00D97BB0"/>
    <w:rsid w:val="00DA0F5B"/>
    <w:rsid w:val="00DB768D"/>
    <w:rsid w:val="00DD7F41"/>
    <w:rsid w:val="00E04ACA"/>
    <w:rsid w:val="00E066B4"/>
    <w:rsid w:val="00E075C9"/>
    <w:rsid w:val="00E33D50"/>
    <w:rsid w:val="00E36DA7"/>
    <w:rsid w:val="00E54579"/>
    <w:rsid w:val="00E557A8"/>
    <w:rsid w:val="00E572C2"/>
    <w:rsid w:val="00E70CF6"/>
    <w:rsid w:val="00E8751A"/>
    <w:rsid w:val="00E91657"/>
    <w:rsid w:val="00EB3656"/>
    <w:rsid w:val="00EC2248"/>
    <w:rsid w:val="00EC4F09"/>
    <w:rsid w:val="00ED2554"/>
    <w:rsid w:val="00ED5C1E"/>
    <w:rsid w:val="00EE68F0"/>
    <w:rsid w:val="00EF623B"/>
    <w:rsid w:val="00F13B32"/>
    <w:rsid w:val="00F1431C"/>
    <w:rsid w:val="00F151D5"/>
    <w:rsid w:val="00F260ED"/>
    <w:rsid w:val="00F265EA"/>
    <w:rsid w:val="00F3309B"/>
    <w:rsid w:val="00F47D32"/>
    <w:rsid w:val="00F542AA"/>
    <w:rsid w:val="00F758D3"/>
    <w:rsid w:val="00F94E50"/>
    <w:rsid w:val="00FD61EC"/>
    <w:rsid w:val="00FE377C"/>
    <w:rsid w:val="00FF48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283FDA"/>
  <w15:docId w15:val="{3E9C0AC5-4CE2-4509-8808-E9D30503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5E06"/>
    <w:pPr>
      <w:spacing w:after="200" w:line="276" w:lineRule="auto"/>
    </w:pPr>
    <w:rPr>
      <w:rFonts w:cs="Calibri"/>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59413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516B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516BE8"/>
    <w:rPr>
      <w:rFonts w:ascii="Segoe UI" w:hAnsi="Segoe UI" w:cs="Segoe UI"/>
      <w:sz w:val="18"/>
      <w:szCs w:val="18"/>
    </w:rPr>
  </w:style>
  <w:style w:type="character" w:styleId="Grietas">
    <w:name w:val="Strong"/>
    <w:basedOn w:val="Numatytasispastraiposriftas"/>
    <w:uiPriority w:val="99"/>
    <w:qFormat/>
    <w:rsid w:val="00782F14"/>
    <w:rPr>
      <w:rFonts w:cs="Times New Roman"/>
      <w:b/>
      <w:bCs/>
    </w:rPr>
  </w:style>
  <w:style w:type="paragraph" w:styleId="Sraopastraipa">
    <w:name w:val="List Paragraph"/>
    <w:basedOn w:val="prastasis"/>
    <w:link w:val="SraopastraipaDiagrama"/>
    <w:uiPriority w:val="99"/>
    <w:qFormat/>
    <w:rsid w:val="00112446"/>
    <w:pPr>
      <w:ind w:left="720"/>
    </w:pPr>
  </w:style>
  <w:style w:type="paragraph" w:styleId="Antrats">
    <w:name w:val="header"/>
    <w:basedOn w:val="prastasis"/>
    <w:link w:val="AntratsDiagrama"/>
    <w:uiPriority w:val="99"/>
    <w:rsid w:val="006909CF"/>
    <w:pPr>
      <w:tabs>
        <w:tab w:val="center" w:pos="4153"/>
        <w:tab w:val="right" w:pos="8306"/>
      </w:tabs>
      <w:spacing w:after="0" w:line="240" w:lineRule="auto"/>
    </w:pPr>
    <w:rPr>
      <w:rFonts w:ascii="Times New Roman" w:eastAsia="Times New Roman" w:hAnsi="Times New Roman" w:cs="Times New Roman"/>
      <w:sz w:val="20"/>
      <w:szCs w:val="20"/>
      <w:lang w:val="lt-LT"/>
    </w:rPr>
  </w:style>
  <w:style w:type="character" w:customStyle="1" w:styleId="AntratsDiagrama">
    <w:name w:val="Antraštės Diagrama"/>
    <w:basedOn w:val="Numatytasispastraiposriftas"/>
    <w:link w:val="Antrats"/>
    <w:uiPriority w:val="99"/>
    <w:locked/>
    <w:rsid w:val="006909CF"/>
    <w:rPr>
      <w:rFonts w:ascii="Times New Roman" w:hAnsi="Times New Roman" w:cs="Times New Roman"/>
      <w:sz w:val="20"/>
      <w:szCs w:val="20"/>
      <w:lang w:val="lt-LT"/>
    </w:rPr>
  </w:style>
  <w:style w:type="character" w:customStyle="1" w:styleId="SraopastraipaDiagrama">
    <w:name w:val="Sąrašo pastraipa Diagrama"/>
    <w:basedOn w:val="Numatytasispastraiposriftas"/>
    <w:link w:val="Sraopastraipa"/>
    <w:uiPriority w:val="99"/>
    <w:locked/>
    <w:rsid w:val="00020C2A"/>
    <w:rPr>
      <w:rFonts w:cs="Calibri"/>
    </w:rPr>
  </w:style>
  <w:style w:type="character" w:customStyle="1" w:styleId="apple-converted-space">
    <w:name w:val="apple-converted-space"/>
    <w:basedOn w:val="Numatytasispastraiposriftas"/>
    <w:uiPriority w:val="99"/>
    <w:rsid w:val="00020C2A"/>
    <w:rPr>
      <w:rFonts w:cs="Times New Roman"/>
    </w:rPr>
  </w:style>
  <w:style w:type="paragraph" w:customStyle="1" w:styleId="CM1">
    <w:name w:val="CM1"/>
    <w:basedOn w:val="prastasis"/>
    <w:next w:val="prastasis"/>
    <w:uiPriority w:val="99"/>
    <w:rsid w:val="00020C2A"/>
    <w:pPr>
      <w:autoSpaceDE w:val="0"/>
      <w:autoSpaceDN w:val="0"/>
      <w:adjustRightInd w:val="0"/>
      <w:spacing w:after="0" w:line="240" w:lineRule="auto"/>
    </w:pPr>
    <w:rPr>
      <w:rFonts w:ascii="EUAlbertina" w:eastAsia="Times New Roman" w:hAnsi="EUAlbertina" w:cs="Times New Roman"/>
      <w:sz w:val="24"/>
      <w:szCs w:val="24"/>
      <w:lang w:val="lt-LT" w:eastAsia="lt-LT"/>
    </w:rPr>
  </w:style>
  <w:style w:type="character" w:styleId="Komentaronuoroda">
    <w:name w:val="annotation reference"/>
    <w:basedOn w:val="Numatytasispastraiposriftas"/>
    <w:uiPriority w:val="99"/>
    <w:semiHidden/>
    <w:rsid w:val="00AB2C42"/>
    <w:rPr>
      <w:rFonts w:cs="Times New Roman"/>
      <w:sz w:val="16"/>
      <w:szCs w:val="16"/>
    </w:rPr>
  </w:style>
  <w:style w:type="paragraph" w:styleId="Komentarotekstas">
    <w:name w:val="annotation text"/>
    <w:basedOn w:val="prastasis"/>
    <w:link w:val="KomentarotekstasDiagrama"/>
    <w:uiPriority w:val="99"/>
    <w:rsid w:val="00AB2C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locked/>
    <w:rsid w:val="00AB2C42"/>
    <w:rPr>
      <w:rFonts w:cs="Calibri"/>
      <w:sz w:val="20"/>
      <w:szCs w:val="20"/>
    </w:rPr>
  </w:style>
  <w:style w:type="paragraph" w:styleId="Komentarotema">
    <w:name w:val="annotation subject"/>
    <w:basedOn w:val="Komentarotekstas"/>
    <w:next w:val="Komentarotekstas"/>
    <w:link w:val="KomentarotemaDiagrama"/>
    <w:uiPriority w:val="99"/>
    <w:semiHidden/>
    <w:rsid w:val="00AB2C42"/>
    <w:rPr>
      <w:b/>
      <w:bCs/>
    </w:rPr>
  </w:style>
  <w:style w:type="character" w:customStyle="1" w:styleId="KomentarotemaDiagrama">
    <w:name w:val="Komentaro tema Diagrama"/>
    <w:basedOn w:val="KomentarotekstasDiagrama"/>
    <w:link w:val="Komentarotema"/>
    <w:uiPriority w:val="99"/>
    <w:semiHidden/>
    <w:locked/>
    <w:rsid w:val="00AB2C42"/>
    <w:rPr>
      <w:rFonts w:cs="Calibri"/>
      <w:b/>
      <w:bCs/>
      <w:sz w:val="20"/>
      <w:szCs w:val="20"/>
    </w:rPr>
  </w:style>
  <w:style w:type="paragraph" w:styleId="Pagrindinistekstas">
    <w:name w:val="Body Text"/>
    <w:basedOn w:val="prastasis"/>
    <w:link w:val="PagrindinistekstasDiagrama"/>
    <w:uiPriority w:val="99"/>
    <w:rsid w:val="001318F6"/>
    <w:pPr>
      <w:spacing w:after="0" w:line="240" w:lineRule="auto"/>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99"/>
    <w:locked/>
    <w:rsid w:val="001318F6"/>
    <w:rPr>
      <w:rFonts w:ascii="Times New Roman" w:hAnsi="Times New Roman" w:cs="Times New Roman"/>
      <w:sz w:val="24"/>
      <w:szCs w:val="24"/>
      <w:lang w:val="lt-LT"/>
    </w:rPr>
  </w:style>
  <w:style w:type="paragraph" w:styleId="Puslapioinaostekstas">
    <w:name w:val="footnote text"/>
    <w:basedOn w:val="prastasis"/>
    <w:link w:val="PuslapioinaostekstasDiagrama"/>
    <w:uiPriority w:val="99"/>
    <w:semiHidden/>
    <w:rsid w:val="0063677D"/>
    <w:pPr>
      <w:suppressAutoHyphens/>
      <w:autoSpaceDN w:val="0"/>
      <w:spacing w:after="0" w:line="240" w:lineRule="auto"/>
    </w:pPr>
    <w:rPr>
      <w:rFonts w:ascii="Times New Roman" w:eastAsia="Times New Roman" w:hAnsi="Times New Roman" w:cs="Times New Roman"/>
      <w:sz w:val="20"/>
      <w:szCs w:val="20"/>
      <w:lang w:val="lt-LT" w:eastAsia="ar-SA"/>
    </w:rPr>
  </w:style>
  <w:style w:type="character" w:customStyle="1" w:styleId="PuslapioinaostekstasDiagrama">
    <w:name w:val="Puslapio išnašos tekstas Diagrama"/>
    <w:basedOn w:val="Numatytasispastraiposriftas"/>
    <w:link w:val="Puslapioinaostekstas"/>
    <w:uiPriority w:val="99"/>
    <w:semiHidden/>
    <w:locked/>
    <w:rsid w:val="0063677D"/>
    <w:rPr>
      <w:rFonts w:ascii="Times New Roman" w:hAnsi="Times New Roman" w:cs="Times New Roman"/>
      <w:sz w:val="20"/>
      <w:szCs w:val="20"/>
      <w:lang w:val="lt-LT" w:eastAsia="ar-SA" w:bidi="ar-SA"/>
    </w:rPr>
  </w:style>
  <w:style w:type="character" w:styleId="Puslapioinaosnuoroda">
    <w:name w:val="footnote reference"/>
    <w:basedOn w:val="Numatytasispastraiposriftas"/>
    <w:uiPriority w:val="99"/>
    <w:semiHidden/>
    <w:rsid w:val="0063677D"/>
    <w:rPr>
      <w:rFonts w:cs="Times New Roman"/>
      <w:position w:val="0"/>
      <w:vertAlign w:val="superscript"/>
    </w:rPr>
  </w:style>
  <w:style w:type="paragraph" w:customStyle="1" w:styleId="Preformatted">
    <w:name w:val="Preformatted"/>
    <w:basedOn w:val="prastasis"/>
    <w:uiPriority w:val="99"/>
    <w:rsid w:val="00434DE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lt-LT"/>
    </w:rPr>
  </w:style>
  <w:style w:type="paragraph" w:styleId="Porat">
    <w:name w:val="footer"/>
    <w:basedOn w:val="prastasis"/>
    <w:link w:val="PoratDiagrama"/>
    <w:uiPriority w:val="99"/>
    <w:rsid w:val="00845C0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locked/>
    <w:rsid w:val="00845C04"/>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227405">
      <w:marLeft w:val="0"/>
      <w:marRight w:val="0"/>
      <w:marTop w:val="0"/>
      <w:marBottom w:val="0"/>
      <w:divBdr>
        <w:top w:val="none" w:sz="0" w:space="0" w:color="auto"/>
        <w:left w:val="none" w:sz="0" w:space="0" w:color="auto"/>
        <w:bottom w:val="none" w:sz="0" w:space="0" w:color="auto"/>
        <w:right w:val="none" w:sz="0" w:space="0" w:color="auto"/>
      </w:divBdr>
    </w:div>
    <w:div w:id="9272274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11224</Words>
  <Characters>6399</Characters>
  <Application>Microsoft Office Word</Application>
  <DocSecurity>0</DocSecurity>
  <Lines>53</Lines>
  <Paragraphs>35</Paragraphs>
  <ScaleCrop>false</ScaleCrop>
  <Company>HP</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VYRIAUSYBĖS 2006 M</dc:title>
  <dc:subject/>
  <dc:creator>Owner</dc:creator>
  <cp:keywords/>
  <dc:description/>
  <cp:lastModifiedBy>Jelena Talackiene</cp:lastModifiedBy>
  <cp:revision>2</cp:revision>
  <cp:lastPrinted>2019-12-09T10:48:00Z</cp:lastPrinted>
  <dcterms:created xsi:type="dcterms:W3CDTF">2020-06-04T06:50:00Z</dcterms:created>
  <dcterms:modified xsi:type="dcterms:W3CDTF">2020-06-04T06:50:00Z</dcterms:modified>
</cp:coreProperties>
</file>