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44C7" w:rsidRDefault="00021C58">
      <w:pPr>
        <w:pStyle w:val="Pagrindinistekstas"/>
        <w:jc w:val="center"/>
        <w:rPr>
          <w:rFonts w:ascii="Times New Roman" w:hAnsi="Times New Roman" w:cs="Times New Roman"/>
        </w:rPr>
      </w:pPr>
      <w:bookmarkStart w:id="0" w:name="_GoBack"/>
      <w:bookmarkEnd w:id="0"/>
      <w:r>
        <w:rPr>
          <w:rFonts w:ascii="Times New Roman" w:hAnsi="Times New Roman" w:cs="Times New Roman"/>
          <w:b/>
        </w:rPr>
        <w:t>DIREKTYVOS (ES) NR. 2017/853 IR LIETUVOS RESPUBLIKOS GINKLŲ IR ŠAUDMENŲ KONTROLĖS ĮSTATYMO NR. IX-705 PAKEITIMO ĮSTATYMO PROJEKTO ATITIKTIES LENTELĖ</w:t>
      </w:r>
    </w:p>
    <w:p w:rsidR="001344C7" w:rsidRDefault="001344C7">
      <w:pPr>
        <w:pStyle w:val="Pagrindinistekstas"/>
        <w:rPr>
          <w:rFonts w:ascii="Times New Roman" w:hAnsi="Times New Roman" w:cs="Times New Roman"/>
          <w:sz w:val="22"/>
          <w:szCs w:val="22"/>
        </w:rPr>
      </w:pPr>
    </w:p>
    <w:tbl>
      <w:tblPr>
        <w:tblW w:w="9648"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2723"/>
        <w:gridCol w:w="5618"/>
        <w:gridCol w:w="1307"/>
      </w:tblGrid>
      <w:tr w:rsidR="001344C7" w:rsidRPr="00320573">
        <w:tc>
          <w:tcPr>
            <w:tcW w:w="2723" w:type="dxa"/>
            <w:tcBorders>
              <w:top w:val="single" w:sz="2" w:space="0" w:color="000001"/>
              <w:left w:val="single" w:sz="2" w:space="0" w:color="000001"/>
              <w:bottom w:val="single" w:sz="2" w:space="0" w:color="000001"/>
            </w:tcBorders>
            <w:shd w:val="clear" w:color="auto" w:fill="FFFFFF"/>
            <w:tcMar>
              <w:left w:w="21" w:type="dxa"/>
            </w:tcMar>
          </w:tcPr>
          <w:p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Europos Parlamento ir Tarybos 2017 m. gegužės 17</w:t>
            </w:r>
            <w:r w:rsidR="00AF5CA8">
              <w:rPr>
                <w:rFonts w:ascii="Times New Roman" w:hAnsi="Times New Roman" w:cs="Times New Roman"/>
                <w:sz w:val="22"/>
                <w:szCs w:val="22"/>
              </w:rPr>
              <w:t> </w:t>
            </w:r>
            <w:r w:rsidRPr="00320573">
              <w:rPr>
                <w:rFonts w:ascii="Times New Roman" w:hAnsi="Times New Roman" w:cs="Times New Roman"/>
                <w:sz w:val="22"/>
                <w:szCs w:val="22"/>
              </w:rPr>
              <w:t>d. direktyva (ES) Nr.</w:t>
            </w:r>
            <w:r w:rsidR="00AF5CA8">
              <w:rPr>
                <w:rFonts w:ascii="Times New Roman" w:hAnsi="Times New Roman" w:cs="Times New Roman"/>
                <w:sz w:val="22"/>
                <w:szCs w:val="22"/>
              </w:rPr>
              <w:t> </w:t>
            </w:r>
            <w:r w:rsidRPr="00320573">
              <w:rPr>
                <w:rFonts w:ascii="Times New Roman" w:hAnsi="Times New Roman" w:cs="Times New Roman"/>
                <w:sz w:val="22"/>
                <w:szCs w:val="22"/>
              </w:rPr>
              <w:t>2017/853, kuria iš dalies keičiama Tarybos direktyva</w:t>
            </w:r>
            <w:r w:rsidR="00AF5CA8">
              <w:rPr>
                <w:rFonts w:ascii="Times New Roman" w:hAnsi="Times New Roman" w:cs="Times New Roman"/>
                <w:sz w:val="22"/>
                <w:szCs w:val="22"/>
              </w:rPr>
              <w:t> </w:t>
            </w:r>
            <w:r w:rsidRPr="00320573">
              <w:rPr>
                <w:rFonts w:ascii="Times New Roman" w:hAnsi="Times New Roman" w:cs="Times New Roman"/>
                <w:sz w:val="22"/>
                <w:szCs w:val="22"/>
              </w:rPr>
              <w:t>91/477/EEB dėl ginklų įsigijimo ir laikymo kontrolės</w:t>
            </w:r>
          </w:p>
          <w:p w:rsidR="001344C7" w:rsidRPr="00320573" w:rsidRDefault="001344C7">
            <w:pPr>
              <w:rPr>
                <w:rFonts w:ascii="Times New Roman" w:hAnsi="Times New Roman" w:cs="Times New Roman"/>
                <w:sz w:val="22"/>
                <w:szCs w:val="22"/>
              </w:rPr>
            </w:pPr>
          </w:p>
        </w:tc>
        <w:tc>
          <w:tcPr>
            <w:tcW w:w="5618" w:type="dxa"/>
            <w:tcBorders>
              <w:top w:val="single" w:sz="2" w:space="0" w:color="000001"/>
              <w:left w:val="single" w:sz="2" w:space="0" w:color="000001"/>
              <w:bottom w:val="single" w:sz="2" w:space="0" w:color="000001"/>
            </w:tcBorders>
            <w:shd w:val="clear" w:color="auto" w:fill="FFFFFF"/>
            <w:tcMar>
              <w:left w:w="21" w:type="dxa"/>
            </w:tcMar>
          </w:tcPr>
          <w:p w:rsidR="001344C7" w:rsidRPr="00320573" w:rsidRDefault="00021C58">
            <w:pPr>
              <w:jc w:val="both"/>
              <w:rPr>
                <w:sz w:val="22"/>
                <w:szCs w:val="22"/>
              </w:rPr>
            </w:pPr>
            <w:bookmarkStart w:id="1" w:name="mainForm%253AlaTitle"/>
            <w:bookmarkEnd w:id="1"/>
            <w:r w:rsidRPr="00320573">
              <w:rPr>
                <w:rFonts w:ascii="Times New Roman" w:hAnsi="Times New Roman" w:cs="Times New Roman"/>
                <w:color w:val="000000"/>
                <w:sz w:val="22"/>
                <w:szCs w:val="22"/>
              </w:rPr>
              <w:t>Lietuvos Respublikos Vyriausybės 2011 m. gruodžio 14 d. nutarimu Nr. 1457 „Dėl Valstybinio ginklų registro reorganizavimo į Ginklų registrą ir Ginklų registro nuostatų patvirtinimo“ patvirtinti Ginklų registro nuostatai (toliau – Ginklų registro nuostatai).</w:t>
            </w:r>
          </w:p>
          <w:p w:rsidR="001344C7" w:rsidRPr="00320573" w:rsidRDefault="001344C7">
            <w:pPr>
              <w:jc w:val="both"/>
              <w:rPr>
                <w:rFonts w:ascii="Times New Roman" w:hAnsi="Times New Roman" w:cs="Times New Roman"/>
                <w:color w:val="000000"/>
                <w:sz w:val="22"/>
                <w:szCs w:val="22"/>
              </w:rPr>
            </w:pPr>
          </w:p>
          <w:p w:rsidR="001344C7" w:rsidRPr="00320573" w:rsidRDefault="00021C58">
            <w:pPr>
              <w:jc w:val="both"/>
              <w:rPr>
                <w:sz w:val="22"/>
                <w:szCs w:val="22"/>
              </w:rPr>
            </w:pPr>
            <w:r w:rsidRPr="00320573">
              <w:rPr>
                <w:rFonts w:ascii="Times New Roman" w:hAnsi="Times New Roman" w:cs="Times New Roman"/>
                <w:color w:val="000000"/>
                <w:sz w:val="22"/>
                <w:szCs w:val="22"/>
              </w:rPr>
              <w:t>Lietuvos Respublikos Vyriausybės nutarimo „Dėl Lietuvos Respublikos Vyriausybės 2011 m. gruodžio 14 d. nutarimo Nr.</w:t>
            </w:r>
            <w:r w:rsidR="00AF5CA8">
              <w:rPr>
                <w:rFonts w:ascii="Times New Roman" w:hAnsi="Times New Roman" w:cs="Times New Roman"/>
                <w:color w:val="000000"/>
                <w:sz w:val="22"/>
                <w:szCs w:val="22"/>
              </w:rPr>
              <w:t> </w:t>
            </w:r>
            <w:r w:rsidRPr="00320573">
              <w:rPr>
                <w:rFonts w:ascii="Times New Roman" w:hAnsi="Times New Roman" w:cs="Times New Roman"/>
                <w:color w:val="000000"/>
                <w:sz w:val="22"/>
                <w:szCs w:val="22"/>
              </w:rPr>
              <w:t>1457 „Dėl Valstybinio ginklų registro reorganizavimo į Ginklų registrą ir Ginklų registro nuostatų patvirtinimo“ pakeitimo“ projektas (toliau – Ginklų registro nuostatų projektas).</w:t>
            </w:r>
          </w:p>
          <w:p w:rsidR="001344C7" w:rsidRPr="00320573" w:rsidRDefault="001344C7">
            <w:pPr>
              <w:jc w:val="both"/>
              <w:rPr>
                <w:rFonts w:ascii="Times New Roman" w:hAnsi="Times New Roman" w:cs="Times New Roman"/>
                <w:sz w:val="22"/>
                <w:szCs w:val="22"/>
              </w:rPr>
            </w:pPr>
          </w:p>
        </w:tc>
        <w:tc>
          <w:tcPr>
            <w:tcW w:w="130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1344C7" w:rsidRPr="00320573" w:rsidRDefault="00021C58">
            <w:pPr>
              <w:pStyle w:val="Nurodytoformatotekstas"/>
              <w:rPr>
                <w:rFonts w:ascii="Times New Roman" w:hAnsi="Times New Roman" w:cs="Times New Roman"/>
                <w:sz w:val="22"/>
                <w:szCs w:val="22"/>
              </w:rPr>
            </w:pPr>
            <w:r w:rsidRPr="00320573">
              <w:rPr>
                <w:rFonts w:ascii="Times New Roman" w:hAnsi="Times New Roman" w:cs="Times New Roman"/>
                <w:sz w:val="22"/>
                <w:szCs w:val="22"/>
              </w:rPr>
              <w:t>Direktyvos įgyvendinimo lygis (visiškas, dalinis)</w:t>
            </w:r>
          </w:p>
          <w:p w:rsidR="001344C7" w:rsidRPr="00320573" w:rsidRDefault="001344C7">
            <w:pPr>
              <w:pStyle w:val="Lentelsturinys"/>
              <w:rPr>
                <w:rFonts w:ascii="Times New Roman" w:hAnsi="Times New Roman" w:cs="Times New Roman"/>
                <w:sz w:val="22"/>
                <w:szCs w:val="22"/>
              </w:rPr>
            </w:pPr>
          </w:p>
        </w:tc>
      </w:tr>
      <w:tr w:rsidR="001344C7" w:rsidRPr="00320573">
        <w:tc>
          <w:tcPr>
            <w:tcW w:w="2723" w:type="dxa"/>
            <w:tcBorders>
              <w:top w:val="single" w:sz="2" w:space="0" w:color="000001"/>
              <w:left w:val="single" w:sz="2" w:space="0" w:color="000001"/>
              <w:bottom w:val="single" w:sz="2" w:space="0" w:color="000001"/>
            </w:tcBorders>
            <w:shd w:val="clear" w:color="auto" w:fill="FFFFFF"/>
            <w:tcMar>
              <w:left w:w="21" w:type="dxa"/>
            </w:tcMar>
          </w:tcPr>
          <w:p w:rsidR="001344C7" w:rsidRPr="00320573" w:rsidRDefault="00021C58">
            <w:pPr>
              <w:rPr>
                <w:sz w:val="22"/>
                <w:szCs w:val="22"/>
              </w:rPr>
            </w:pPr>
            <w:r w:rsidRPr="00320573">
              <w:rPr>
                <w:rFonts w:ascii="Times New Roman" w:hAnsi="Times New Roman" w:cs="Times New Roman"/>
                <w:i/>
                <w:sz w:val="22"/>
                <w:szCs w:val="22"/>
              </w:rPr>
              <w:t xml:space="preserve">1 straipsnis </w:t>
            </w:r>
          </w:p>
          <w:p w:rsidR="001344C7" w:rsidRPr="00320573" w:rsidRDefault="00021C58">
            <w:pPr>
              <w:rPr>
                <w:sz w:val="22"/>
                <w:szCs w:val="22"/>
              </w:rPr>
            </w:pPr>
            <w:r w:rsidRPr="00320573">
              <w:rPr>
                <w:rFonts w:ascii="Times New Roman" w:hAnsi="Times New Roman" w:cs="Times New Roman"/>
                <w:sz w:val="22"/>
                <w:szCs w:val="22"/>
              </w:rPr>
              <w:t xml:space="preserve">Direktyva 91/477/EEB iš dalies keičiama taip: </w:t>
            </w:r>
          </w:p>
          <w:p w:rsidR="001344C7" w:rsidRPr="00320573" w:rsidRDefault="00021C58">
            <w:pPr>
              <w:rPr>
                <w:sz w:val="22"/>
                <w:szCs w:val="22"/>
              </w:rPr>
            </w:pPr>
            <w:r w:rsidRPr="00320573">
              <w:rPr>
                <w:rFonts w:ascii="Times New Roman" w:hAnsi="Times New Roman" w:cs="Times New Roman"/>
                <w:sz w:val="22"/>
                <w:szCs w:val="22"/>
              </w:rPr>
              <w:t>...</w:t>
            </w:r>
          </w:p>
          <w:p w:rsidR="001344C7" w:rsidRPr="00320573" w:rsidRDefault="00021C58">
            <w:pPr>
              <w:rPr>
                <w:sz w:val="22"/>
                <w:szCs w:val="22"/>
              </w:rPr>
            </w:pPr>
            <w:r w:rsidRPr="00320573">
              <w:rPr>
                <w:rFonts w:ascii="Times New Roman" w:hAnsi="Times New Roman" w:cs="Times New Roman"/>
                <w:sz w:val="22"/>
                <w:szCs w:val="22"/>
              </w:rPr>
              <w:t>3)</w:t>
            </w:r>
            <w:r w:rsidRPr="00320573">
              <w:rPr>
                <w:rFonts w:ascii="Times New Roman" w:hAnsi="Times New Roman" w:cs="Times New Roman"/>
                <w:i/>
                <w:iCs/>
                <w:sz w:val="22"/>
                <w:szCs w:val="22"/>
              </w:rPr>
              <w:t xml:space="preserve"> </w:t>
            </w:r>
            <w:r w:rsidRPr="00320573">
              <w:rPr>
                <w:rFonts w:ascii="Times New Roman" w:hAnsi="Times New Roman" w:cs="Times New Roman"/>
                <w:sz w:val="22"/>
                <w:szCs w:val="22"/>
              </w:rPr>
              <w:t>4 straipsnis iš dalies keičiamas taip:</w:t>
            </w:r>
          </w:p>
          <w:p w:rsidR="001344C7" w:rsidRPr="00320573" w:rsidRDefault="00021C58">
            <w:pPr>
              <w:rPr>
                <w:sz w:val="22"/>
                <w:szCs w:val="22"/>
              </w:rPr>
            </w:pPr>
            <w:r w:rsidRPr="00320573">
              <w:rPr>
                <w:rFonts w:ascii="Times New Roman" w:hAnsi="Times New Roman" w:cs="Times New Roman"/>
                <w:sz w:val="22"/>
                <w:szCs w:val="22"/>
              </w:rPr>
              <w:t>...</w:t>
            </w:r>
          </w:p>
          <w:p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b)</w:t>
            </w:r>
            <w:r w:rsidRPr="00320573">
              <w:rPr>
                <w:rFonts w:ascii="Times New Roman" w:hAnsi="Times New Roman" w:cs="Times New Roman"/>
                <w:b/>
                <w:bCs/>
                <w:sz w:val="22"/>
                <w:szCs w:val="22"/>
              </w:rPr>
              <w:t xml:space="preserve"> </w:t>
            </w:r>
            <w:r w:rsidRPr="00320573">
              <w:rPr>
                <w:rFonts w:ascii="Times New Roman" w:hAnsi="Times New Roman" w:cs="Times New Roman"/>
                <w:sz w:val="22"/>
                <w:szCs w:val="22"/>
              </w:rPr>
              <w:t xml:space="preserve">4 dalis iš dalies keičiama taip: </w:t>
            </w:r>
          </w:p>
          <w:p w:rsidR="001344C7" w:rsidRPr="00320573" w:rsidRDefault="00021C58">
            <w:pPr>
              <w:ind w:firstLine="170"/>
              <w:rPr>
                <w:rFonts w:ascii="Times New Roman" w:hAnsi="Times New Roman" w:cs="Times New Roman"/>
                <w:sz w:val="22"/>
                <w:szCs w:val="22"/>
              </w:rPr>
            </w:pPr>
            <w:r w:rsidRPr="00320573">
              <w:rPr>
                <w:rFonts w:ascii="Times New Roman" w:hAnsi="Times New Roman" w:cs="Times New Roman"/>
                <w:sz w:val="22"/>
                <w:szCs w:val="22"/>
              </w:rPr>
              <w:t>i) pirmos pastraipos antras sakinys pakeičiamas taip: „Toje duomenų kaupimo sistemoje registruojama visa su šaunamaisiais ginklais susijusi informacija, kurios reikia tiems šaunamiesiems ginklams atsekti ir identifikuoti, įskaitant:</w:t>
            </w:r>
          </w:p>
          <w:p w:rsidR="001344C7" w:rsidRPr="00320573" w:rsidRDefault="00021C58">
            <w:pPr>
              <w:tabs>
                <w:tab w:val="left" w:pos="1017"/>
              </w:tabs>
              <w:ind w:firstLine="340"/>
              <w:rPr>
                <w:rFonts w:ascii="Times New Roman" w:hAnsi="Times New Roman" w:cs="Times New Roman"/>
                <w:sz w:val="22"/>
                <w:szCs w:val="22"/>
              </w:rPr>
            </w:pPr>
            <w:r w:rsidRPr="00320573">
              <w:rPr>
                <w:rFonts w:ascii="Times New Roman" w:hAnsi="Times New Roman" w:cs="Times New Roman"/>
                <w:sz w:val="22"/>
                <w:szCs w:val="22"/>
              </w:rPr>
              <w:t xml:space="preserve">a) kiekvieno šaunamojo ginklo tipą, markę, modelį, kalibrą ir serijos numerį ir prie jo rėmo ar uokso pridėtą žymenį, kuris pagal 1 dalį yra unikalus žymuo, ir kuris yra kiekvieno šaunamojo ginklo unikalus identifikatorius; </w:t>
            </w:r>
          </w:p>
          <w:p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b) prie pagrindinių dalių pridėtą serijos numerį ar unikalų žymenį, kai jie skiriasi nuo kiekvieno šaunamojo ginklo rėme ar uokse nurodyto žymens; </w:t>
            </w:r>
          </w:p>
          <w:p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c) šaunamojo ginklo tiekėjų ir šaunamąjį ginklą įsigyjančių asmenų ar šaunamąjį ginklą laikančių asmenų vardą bei pavardę </w:t>
            </w:r>
            <w:r w:rsidRPr="00320573">
              <w:rPr>
                <w:rFonts w:ascii="Times New Roman" w:hAnsi="Times New Roman" w:cs="Times New Roman"/>
                <w:sz w:val="22"/>
                <w:szCs w:val="22"/>
              </w:rPr>
              <w:lastRenderedPageBreak/>
              <w:t>(pavadinimą) ir adresą kartu su atitinkama (-</w:t>
            </w:r>
            <w:proofErr w:type="spellStart"/>
            <w:r w:rsidRPr="00320573">
              <w:rPr>
                <w:rFonts w:ascii="Times New Roman" w:hAnsi="Times New Roman" w:cs="Times New Roman"/>
                <w:sz w:val="22"/>
                <w:szCs w:val="22"/>
              </w:rPr>
              <w:t>omis</w:t>
            </w:r>
            <w:proofErr w:type="spellEnd"/>
            <w:r w:rsidRPr="00320573">
              <w:rPr>
                <w:rFonts w:ascii="Times New Roman" w:hAnsi="Times New Roman" w:cs="Times New Roman"/>
                <w:sz w:val="22"/>
                <w:szCs w:val="22"/>
              </w:rPr>
              <w:t>) data (-</w:t>
            </w:r>
            <w:proofErr w:type="spellStart"/>
            <w:r w:rsidRPr="00320573">
              <w:rPr>
                <w:rFonts w:ascii="Times New Roman" w:hAnsi="Times New Roman" w:cs="Times New Roman"/>
                <w:sz w:val="22"/>
                <w:szCs w:val="22"/>
              </w:rPr>
              <w:t>omis</w:t>
            </w:r>
            <w:proofErr w:type="spellEnd"/>
            <w:r w:rsidRPr="00320573">
              <w:rPr>
                <w:rFonts w:ascii="Times New Roman" w:hAnsi="Times New Roman" w:cs="Times New Roman"/>
                <w:sz w:val="22"/>
                <w:szCs w:val="22"/>
              </w:rPr>
              <w:t>), ir</w:t>
            </w:r>
          </w:p>
          <w:p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d) bet kokį šaunamojo ginklo perdarymą ar pakeitimą, kurį atlikus keičiasi jo kategorija ar </w:t>
            </w:r>
            <w:proofErr w:type="spellStart"/>
            <w:r w:rsidRPr="00320573">
              <w:rPr>
                <w:rFonts w:ascii="Times New Roman" w:hAnsi="Times New Roman" w:cs="Times New Roman"/>
                <w:sz w:val="22"/>
                <w:szCs w:val="22"/>
              </w:rPr>
              <w:t>pakategorė</w:t>
            </w:r>
            <w:proofErr w:type="spellEnd"/>
            <w:r w:rsidRPr="00320573">
              <w:rPr>
                <w:rFonts w:ascii="Times New Roman" w:hAnsi="Times New Roman" w:cs="Times New Roman"/>
                <w:sz w:val="22"/>
                <w:szCs w:val="22"/>
              </w:rPr>
              <w:t xml:space="preserve">, įskaitant sertifikuotą </w:t>
            </w:r>
            <w:proofErr w:type="spellStart"/>
            <w:r w:rsidRPr="00320573">
              <w:rPr>
                <w:rFonts w:ascii="Times New Roman" w:hAnsi="Times New Roman" w:cs="Times New Roman"/>
                <w:sz w:val="22"/>
                <w:szCs w:val="22"/>
              </w:rPr>
              <w:t>deaktyvavimą</w:t>
            </w:r>
            <w:proofErr w:type="spellEnd"/>
            <w:r w:rsidRPr="00320573">
              <w:rPr>
                <w:rFonts w:ascii="Times New Roman" w:hAnsi="Times New Roman" w:cs="Times New Roman"/>
                <w:sz w:val="22"/>
                <w:szCs w:val="22"/>
              </w:rPr>
              <w:t xml:space="preserve"> arba sunaikinimą ir atitinkamą (-</w:t>
            </w:r>
            <w:proofErr w:type="spellStart"/>
            <w:r w:rsidRPr="00320573">
              <w:rPr>
                <w:rFonts w:ascii="Times New Roman" w:hAnsi="Times New Roman" w:cs="Times New Roman"/>
                <w:sz w:val="22"/>
                <w:szCs w:val="22"/>
              </w:rPr>
              <w:t>as</w:t>
            </w:r>
            <w:proofErr w:type="spellEnd"/>
            <w:r w:rsidRPr="00320573">
              <w:rPr>
                <w:rFonts w:ascii="Times New Roman" w:hAnsi="Times New Roman" w:cs="Times New Roman"/>
                <w:sz w:val="22"/>
                <w:szCs w:val="22"/>
              </w:rPr>
              <w:t>) datą (-</w:t>
            </w:r>
            <w:proofErr w:type="spellStart"/>
            <w:r w:rsidRPr="00320573">
              <w:rPr>
                <w:rFonts w:ascii="Times New Roman" w:hAnsi="Times New Roman" w:cs="Times New Roman"/>
                <w:sz w:val="22"/>
                <w:szCs w:val="22"/>
              </w:rPr>
              <w:t>as</w:t>
            </w:r>
            <w:proofErr w:type="spellEnd"/>
            <w:r w:rsidRPr="00320573">
              <w:rPr>
                <w:rFonts w:ascii="Times New Roman" w:hAnsi="Times New Roman" w:cs="Times New Roman"/>
                <w:sz w:val="22"/>
                <w:szCs w:val="22"/>
              </w:rPr>
              <w:t>).</w:t>
            </w:r>
          </w:p>
          <w:p w:rsidR="001344C7" w:rsidRPr="00320573" w:rsidRDefault="00021C58">
            <w:pPr>
              <w:rPr>
                <w:rFonts w:ascii="Times New Roman" w:hAnsi="Times New Roman" w:cs="Times New Roman"/>
                <w:sz w:val="22"/>
                <w:szCs w:val="22"/>
              </w:rPr>
            </w:pPr>
            <w:r w:rsidRPr="00320573">
              <w:rPr>
                <w:rFonts w:ascii="Times New Roman" w:hAnsi="Times New Roman" w:cs="Times New Roman"/>
                <w:sz w:val="22"/>
                <w:szCs w:val="22"/>
              </w:rPr>
              <w:t>Valstybės narės užtikrina, kad šaunamųjų ginklų ir pagrindinių dalių duomenys, įskaitant susijusius asmens duomenis, kompetentingų institucijų būtų saugomi duomenų kaupimo sistemose 30 metų po atitinkamų ginklų ar pagrindinių dalių sunaikinimo dienos. Prieiga prie šios dalies pirmoje pastraipoje nurodytų duomenų apie šaunamuosius ginklus ir pagrindines dalis ir susijusių asmens duomenų gali būti suteikiama:</w:t>
            </w:r>
          </w:p>
          <w:p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a) institucijoms, kompetentingoms išduoti arba atšaukti 6 ar 7 straipsnyje nurodytus leidimus, arba institucijoms, kompetentingoms muitinės procedūrose, 10 metų laikotarpiui po atitinkamo šaunamojo ginklo arba pagrindinių dalių sunaikinimo dienos ir </w:t>
            </w:r>
          </w:p>
          <w:p w:rsidR="001344C7" w:rsidRPr="00320573" w:rsidRDefault="00021C58">
            <w:pPr>
              <w:ind w:firstLine="340"/>
              <w:rPr>
                <w:rFonts w:ascii="Times New Roman" w:hAnsi="Times New Roman" w:cs="Times New Roman"/>
                <w:sz w:val="22"/>
                <w:szCs w:val="22"/>
              </w:rPr>
            </w:pPr>
            <w:r w:rsidRPr="00320573">
              <w:rPr>
                <w:rFonts w:ascii="Times New Roman" w:hAnsi="Times New Roman" w:cs="Times New Roman"/>
                <w:sz w:val="22"/>
                <w:szCs w:val="22"/>
              </w:rPr>
              <w:t xml:space="preserve">b) institucijoms, kompetentingoms už nusikalstamų veikų prevenciją, tyrimą, nustatymą ar baudžiamąjį persekiojimą už jas arba už baudžiamųjų sankcijų vykdymą, 30 metų laikotarpiui po atitinkamo šaunamojo ginklo arba pagrindinių dalių sunaikinimo dienos. Valstybės narės užtikrina, kad asmens duomenys būtų ištrinti iš duomenų kaupimo sistemų pasibaigus antroje ir trečioje pastraipose nurodytiems laikotarpiams. Šia nuostata nedaromas poveikis atvejams, kai </w:t>
            </w:r>
            <w:r w:rsidRPr="00320573">
              <w:rPr>
                <w:rFonts w:ascii="Times New Roman" w:hAnsi="Times New Roman" w:cs="Times New Roman"/>
                <w:sz w:val="22"/>
                <w:szCs w:val="22"/>
              </w:rPr>
              <w:lastRenderedPageBreak/>
              <w:t>konkretūs asmens duomenys yra perduoti institucijai, kompetentingai už nusikalstamų veikų prevenciją, tyrimą, nustatymą ar patraukimą baudžiamojon atsakomybėn už jas arba už baudžiamųjų sankcijų vykdymą, ir yra naudojami tame konkrečiame kontekste arba perduoti kitoms institucijoms, kurios yra kompetentingos suderinamais tikslais, numatytais pagal nacionalinę teisę. Tais atvejais tokių duomenų tvarkymą, kurį atlieka kompetentingos institucijos, reglamentuoja atitinkamos valstybės narės nacionalinė teisė visapusiškai laikantis Sąjungos teisės, visų pirma susijusios su duomenų apsauga.“;</w:t>
            </w:r>
          </w:p>
        </w:tc>
        <w:tc>
          <w:tcPr>
            <w:tcW w:w="5618" w:type="dxa"/>
            <w:tcBorders>
              <w:top w:val="single" w:sz="2" w:space="0" w:color="000001"/>
              <w:left w:val="single" w:sz="2" w:space="0" w:color="000001"/>
              <w:bottom w:val="single" w:sz="2" w:space="0" w:color="000001"/>
            </w:tcBorders>
            <w:shd w:val="clear" w:color="auto" w:fill="FFFFFF"/>
            <w:tcMar>
              <w:left w:w="21" w:type="dxa"/>
            </w:tcMar>
          </w:tcPr>
          <w:p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Ginklų registro nuostatų 20 punktas: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 Registre tvarkomi duomenys apie:</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20.1. ginklus: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20.1.1. A, B, C kategorijų šaunamuosius ginklus;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 xml:space="preserve">20.1.2. A, B kategorijų </w:t>
            </w:r>
            <w:proofErr w:type="spellStart"/>
            <w:r w:rsidRPr="00320573">
              <w:rPr>
                <w:rFonts w:ascii="Times New Roman" w:hAnsi="Times New Roman" w:cs="Times New Roman"/>
                <w:sz w:val="22"/>
                <w:szCs w:val="22"/>
              </w:rPr>
              <w:t>templinius</w:t>
            </w:r>
            <w:proofErr w:type="spellEnd"/>
            <w:r w:rsidRPr="00320573">
              <w:rPr>
                <w:rFonts w:ascii="Times New Roman" w:hAnsi="Times New Roman" w:cs="Times New Roman"/>
                <w:sz w:val="22"/>
                <w:szCs w:val="22"/>
              </w:rPr>
              <w:t xml:space="preserve"> ginklus;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20.1.3. C kategorijos pneumatinius ginklus;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20.1.4. kitus ginklus, kurie Ginklų įstatyme priskiriami A, B, C kategorijų ginklams;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20.2. ginklų savininkus;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20.3. ginklų savininkams taikomus turtinius apribojimus, susijusius su jų turimais ginklais;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20.4. ginklų įvežimą į Lietuvos Respubliką ir išvežimą iš Lietuvos Respublikos;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20.5. ginklų importą į Lietuvos Respubliką ir eksportą iš Lietuvos Respublikos.“</w:t>
            </w:r>
          </w:p>
          <w:p w:rsidR="001344C7" w:rsidRDefault="001344C7">
            <w:pPr>
              <w:tabs>
                <w:tab w:val="left" w:pos="1080"/>
              </w:tabs>
              <w:jc w:val="both"/>
              <w:rPr>
                <w:rFonts w:ascii="Times New Roman" w:hAnsi="Times New Roman" w:cs="Times New Roman"/>
                <w:sz w:val="22"/>
                <w:szCs w:val="22"/>
              </w:rPr>
            </w:pPr>
          </w:p>
          <w:p w:rsidR="002D0B4B" w:rsidRPr="00320573" w:rsidRDefault="002D0B4B" w:rsidP="002D0B4B">
            <w:pPr>
              <w:jc w:val="both"/>
              <w:rPr>
                <w:sz w:val="22"/>
                <w:szCs w:val="22"/>
              </w:rPr>
            </w:pPr>
            <w:r w:rsidRPr="00320573">
              <w:rPr>
                <w:rFonts w:ascii="Times New Roman" w:hAnsi="Times New Roman" w:cs="Times New Roman"/>
                <w:sz w:val="22"/>
                <w:szCs w:val="22"/>
              </w:rPr>
              <w:t xml:space="preserve">Ginklų registro nuostatų projekto </w:t>
            </w:r>
            <w:r>
              <w:rPr>
                <w:rFonts w:ascii="Times New Roman" w:hAnsi="Times New Roman" w:cs="Times New Roman"/>
                <w:sz w:val="22"/>
                <w:szCs w:val="22"/>
              </w:rPr>
              <w:t>1.1</w:t>
            </w:r>
            <w:r w:rsidR="00AF5CA8">
              <w:rPr>
                <w:rFonts w:ascii="Times New Roman" w:hAnsi="Times New Roman" w:cs="Times New Roman"/>
                <w:sz w:val="22"/>
                <w:szCs w:val="22"/>
              </w:rPr>
              <w:t>–</w:t>
            </w:r>
            <w:r>
              <w:rPr>
                <w:rFonts w:ascii="Times New Roman" w:hAnsi="Times New Roman" w:cs="Times New Roman"/>
                <w:sz w:val="22"/>
                <w:szCs w:val="22"/>
              </w:rPr>
              <w:t>1.8</w:t>
            </w:r>
            <w:r w:rsidRPr="00320573">
              <w:rPr>
                <w:rFonts w:ascii="Times New Roman" w:hAnsi="Times New Roman" w:cs="Times New Roman"/>
                <w:sz w:val="22"/>
                <w:szCs w:val="22"/>
              </w:rPr>
              <w:t xml:space="preserve"> </w:t>
            </w:r>
            <w:r>
              <w:rPr>
                <w:rFonts w:ascii="Times New Roman" w:hAnsi="Times New Roman" w:cs="Times New Roman"/>
                <w:sz w:val="22"/>
                <w:szCs w:val="22"/>
              </w:rPr>
              <w:t>pa</w:t>
            </w:r>
            <w:r w:rsidRPr="00320573">
              <w:rPr>
                <w:rFonts w:ascii="Times New Roman" w:hAnsi="Times New Roman" w:cs="Times New Roman"/>
                <w:sz w:val="22"/>
                <w:szCs w:val="22"/>
              </w:rPr>
              <w:t>punk</w:t>
            </w:r>
            <w:r w:rsidR="00AF5CA8">
              <w:rPr>
                <w:rFonts w:ascii="Times New Roman" w:hAnsi="Times New Roman" w:cs="Times New Roman"/>
                <w:sz w:val="22"/>
                <w:szCs w:val="22"/>
              </w:rPr>
              <w:t>čiai</w:t>
            </w:r>
            <w:r w:rsidRPr="00320573">
              <w:rPr>
                <w:rFonts w:ascii="Times New Roman" w:hAnsi="Times New Roman" w:cs="Times New Roman"/>
                <w:sz w:val="22"/>
                <w:szCs w:val="22"/>
              </w:rPr>
              <w:t>:</w:t>
            </w:r>
          </w:p>
          <w:p w:rsidR="002D0B4B" w:rsidRPr="002D0B4B" w:rsidRDefault="002D0B4B" w:rsidP="002D0B4B">
            <w:pPr>
              <w:pStyle w:val="Sraopastraipa"/>
              <w:numPr>
                <w:ilvl w:val="1"/>
                <w:numId w:val="1"/>
              </w:numPr>
              <w:tabs>
                <w:tab w:val="left" w:pos="487"/>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21.3 papunktį ir jį išdėstyti taip:</w:t>
            </w:r>
          </w:p>
          <w:p w:rsidR="002D0B4B" w:rsidRPr="002D0B4B" w:rsidRDefault="002D0B4B" w:rsidP="002D0B4B">
            <w:pPr>
              <w:pStyle w:val="Sraopastraipa"/>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 xml:space="preserve">„21.3. ginklo </w:t>
            </w:r>
            <w:r w:rsidRPr="002D0B4B">
              <w:rPr>
                <w:rFonts w:ascii="Times New Roman" w:hAnsi="Times New Roman" w:cs="Times New Roman"/>
                <w:bCs/>
                <w:sz w:val="22"/>
                <w:szCs w:val="22"/>
              </w:rPr>
              <w:t>markė</w:t>
            </w:r>
            <w:r w:rsidRPr="002D0B4B">
              <w:rPr>
                <w:rFonts w:ascii="Times New Roman" w:hAnsi="Times New Roman" w:cs="Times New Roman"/>
                <w:sz w:val="22"/>
                <w:szCs w:val="22"/>
              </w:rPr>
              <w:t>;“</w:t>
            </w:r>
            <w:r w:rsidR="00AF5CA8">
              <w:rPr>
                <w:rFonts w:ascii="Times New Roman" w:hAnsi="Times New Roman" w:cs="Times New Roman"/>
                <w:sz w:val="22"/>
                <w:szCs w:val="22"/>
              </w:rPr>
              <w:t>.</w:t>
            </w:r>
          </w:p>
          <w:p w:rsidR="002D0B4B" w:rsidRPr="002D0B4B" w:rsidRDefault="002D0B4B" w:rsidP="002D0B4B">
            <w:pPr>
              <w:pStyle w:val="Sraopastraipa"/>
              <w:numPr>
                <w:ilvl w:val="1"/>
                <w:numId w:val="1"/>
              </w:numPr>
              <w:tabs>
                <w:tab w:val="left" w:pos="487"/>
                <w:tab w:val="left" w:pos="1418"/>
                <w:tab w:val="left" w:pos="1560"/>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21.5 papunktį ir jį išdėstyti taip:</w:t>
            </w:r>
          </w:p>
          <w:p w:rsidR="002D0B4B" w:rsidRPr="002D0B4B" w:rsidRDefault="002D0B4B" w:rsidP="002D0B4B">
            <w:pPr>
              <w:tabs>
                <w:tab w:val="left" w:pos="487"/>
                <w:tab w:val="left" w:pos="1418"/>
                <w:tab w:val="left" w:pos="1560"/>
              </w:tabs>
              <w:jc w:val="both"/>
              <w:rPr>
                <w:rFonts w:ascii="Times New Roman" w:hAnsi="Times New Roman" w:cs="Times New Roman"/>
                <w:sz w:val="22"/>
                <w:szCs w:val="22"/>
              </w:rPr>
            </w:pPr>
            <w:r w:rsidRPr="002D0B4B">
              <w:rPr>
                <w:rFonts w:ascii="Times New Roman" w:hAnsi="Times New Roman" w:cs="Times New Roman"/>
                <w:sz w:val="22"/>
                <w:szCs w:val="22"/>
              </w:rPr>
              <w:t xml:space="preserve">„21.5. ginklo (ginklo </w:t>
            </w:r>
            <w:r w:rsidRPr="00F904F9">
              <w:rPr>
                <w:rFonts w:ascii="Times New Roman" w:hAnsi="Times New Roman" w:cs="Times New Roman"/>
                <w:sz w:val="22"/>
                <w:szCs w:val="22"/>
              </w:rPr>
              <w:t>rėmo ir uokso)</w:t>
            </w:r>
            <w:r w:rsidRPr="002D0B4B">
              <w:rPr>
                <w:rFonts w:ascii="Times New Roman" w:hAnsi="Times New Roman" w:cs="Times New Roman"/>
                <w:sz w:val="22"/>
                <w:szCs w:val="22"/>
              </w:rPr>
              <w:t xml:space="preserve"> numeris (jeigu yra);“</w:t>
            </w:r>
            <w:r w:rsidR="00AF5CA8">
              <w:rPr>
                <w:rFonts w:ascii="Times New Roman" w:hAnsi="Times New Roman" w:cs="Times New Roman"/>
                <w:sz w:val="22"/>
                <w:szCs w:val="22"/>
              </w:rPr>
              <w:t>.</w:t>
            </w:r>
          </w:p>
          <w:p w:rsidR="002D0B4B" w:rsidRPr="002D0B4B" w:rsidRDefault="002D0B4B" w:rsidP="002D0B4B">
            <w:pPr>
              <w:pStyle w:val="Sraopastraipa"/>
              <w:numPr>
                <w:ilvl w:val="1"/>
                <w:numId w:val="1"/>
              </w:numPr>
              <w:tabs>
                <w:tab w:val="left" w:pos="487"/>
                <w:tab w:val="left" w:pos="1418"/>
                <w:tab w:val="left" w:pos="1560"/>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Papildyti 21.5</w:t>
            </w:r>
            <w:r w:rsidRPr="002D0B4B">
              <w:rPr>
                <w:rFonts w:ascii="Times New Roman" w:hAnsi="Times New Roman" w:cs="Times New Roman"/>
                <w:sz w:val="22"/>
                <w:szCs w:val="22"/>
                <w:vertAlign w:val="superscript"/>
              </w:rPr>
              <w:t>1</w:t>
            </w:r>
            <w:r w:rsidRPr="002D0B4B">
              <w:rPr>
                <w:rFonts w:ascii="Times New Roman" w:hAnsi="Times New Roman" w:cs="Times New Roman"/>
                <w:sz w:val="22"/>
                <w:szCs w:val="22"/>
              </w:rPr>
              <w:t xml:space="preserve"> papunkčiu:</w:t>
            </w:r>
          </w:p>
          <w:p w:rsidR="002D0B4B" w:rsidRPr="002D0B4B" w:rsidRDefault="002D0B4B" w:rsidP="002D0B4B">
            <w:pPr>
              <w:pStyle w:val="Sraopastraipa"/>
              <w:tabs>
                <w:tab w:val="left" w:pos="487"/>
                <w:tab w:val="left" w:pos="1418"/>
                <w:tab w:val="left" w:pos="1560"/>
              </w:tabs>
              <w:ind w:left="0"/>
              <w:jc w:val="both"/>
              <w:rPr>
                <w:rFonts w:ascii="Times New Roman" w:hAnsi="Times New Roman" w:cs="Times New Roman"/>
                <w:sz w:val="22"/>
                <w:szCs w:val="22"/>
              </w:rPr>
            </w:pPr>
            <w:r w:rsidRPr="002D0B4B">
              <w:rPr>
                <w:rFonts w:ascii="Times New Roman" w:hAnsi="Times New Roman" w:cs="Times New Roman"/>
                <w:sz w:val="22"/>
                <w:szCs w:val="22"/>
              </w:rPr>
              <w:t>„21.5</w:t>
            </w:r>
            <w:r w:rsidRPr="002D0B4B">
              <w:rPr>
                <w:rFonts w:ascii="Times New Roman" w:hAnsi="Times New Roman" w:cs="Times New Roman"/>
                <w:sz w:val="22"/>
                <w:szCs w:val="22"/>
                <w:vertAlign w:val="superscript"/>
              </w:rPr>
              <w:t>1</w:t>
            </w:r>
            <w:r w:rsidRPr="002D0B4B">
              <w:rPr>
                <w:rFonts w:ascii="Times New Roman" w:hAnsi="Times New Roman" w:cs="Times New Roman"/>
                <w:sz w:val="22"/>
                <w:szCs w:val="22"/>
              </w:rPr>
              <w:t xml:space="preserve">. </w:t>
            </w:r>
            <w:r w:rsidR="005E3339" w:rsidRPr="005E3339">
              <w:t>„21.5</w:t>
            </w:r>
            <w:r w:rsidR="005E3339" w:rsidRPr="005E3339">
              <w:rPr>
                <w:vertAlign w:val="superscript"/>
              </w:rPr>
              <w:t>1</w:t>
            </w:r>
            <w:r w:rsidR="005E3339" w:rsidRPr="005E3339">
              <w:t xml:space="preserve">. ginklo rėmo ar uokso žymuo, kuris yra unikalus </w:t>
            </w:r>
            <w:r w:rsidRPr="002D0B4B">
              <w:rPr>
                <w:rFonts w:ascii="Times New Roman" w:hAnsi="Times New Roman" w:cs="Times New Roman"/>
                <w:sz w:val="22"/>
                <w:szCs w:val="22"/>
              </w:rPr>
              <w:t>žymuo ir kuris yra kiekvieno šaunamojo ginklo unikalus identifikatorius;“</w:t>
            </w:r>
            <w:r w:rsidR="00FE2149">
              <w:rPr>
                <w:rFonts w:ascii="Times New Roman" w:hAnsi="Times New Roman" w:cs="Times New Roman"/>
                <w:sz w:val="22"/>
                <w:szCs w:val="22"/>
              </w:rPr>
              <w:t>.</w:t>
            </w:r>
          </w:p>
          <w:p w:rsidR="002D0B4B" w:rsidRPr="002D0B4B" w:rsidRDefault="002D0B4B" w:rsidP="002D0B4B">
            <w:pPr>
              <w:pStyle w:val="Sraopastraipa"/>
              <w:numPr>
                <w:ilvl w:val="1"/>
                <w:numId w:val="1"/>
              </w:numPr>
              <w:tabs>
                <w:tab w:val="left" w:pos="487"/>
                <w:tab w:val="left" w:pos="1134"/>
              </w:tabs>
              <w:suppressAutoHyphens w:val="0"/>
              <w:ind w:left="0" w:firstLine="0"/>
              <w:jc w:val="both"/>
              <w:rPr>
                <w:rFonts w:ascii="Times New Roman" w:hAnsi="Times New Roman" w:cs="Times New Roman"/>
                <w:sz w:val="22"/>
                <w:szCs w:val="22"/>
              </w:rPr>
            </w:pPr>
            <w:r w:rsidRPr="002D0B4B">
              <w:rPr>
                <w:rFonts w:ascii="Times New Roman" w:hAnsi="Times New Roman" w:cs="Times New Roman"/>
                <w:sz w:val="22"/>
                <w:szCs w:val="22"/>
              </w:rPr>
              <w:t>Pakeisti 21.6 papunktį ir jį išdėstyti taip:</w:t>
            </w:r>
          </w:p>
          <w:p w:rsidR="002D0B4B" w:rsidRPr="002D0B4B" w:rsidRDefault="002D0B4B" w:rsidP="002D0B4B">
            <w:pPr>
              <w:pStyle w:val="Sraopastraipa"/>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 xml:space="preserve">„21.6. ginklo </w:t>
            </w:r>
            <w:r w:rsidRPr="002D0B4B">
              <w:rPr>
                <w:rFonts w:ascii="Times New Roman" w:hAnsi="Times New Roman" w:cs="Times New Roman"/>
                <w:bCs/>
                <w:sz w:val="22"/>
                <w:szCs w:val="22"/>
              </w:rPr>
              <w:t>kalibras</w:t>
            </w:r>
            <w:r w:rsidRPr="002D0B4B">
              <w:rPr>
                <w:rFonts w:ascii="Times New Roman" w:hAnsi="Times New Roman" w:cs="Times New Roman"/>
                <w:sz w:val="22"/>
                <w:szCs w:val="22"/>
              </w:rPr>
              <w:t>;“</w:t>
            </w:r>
            <w:r w:rsidR="00FE2149">
              <w:rPr>
                <w:rFonts w:ascii="Times New Roman" w:hAnsi="Times New Roman" w:cs="Times New Roman"/>
                <w:sz w:val="22"/>
                <w:szCs w:val="22"/>
              </w:rPr>
              <w:t>.</w:t>
            </w:r>
          </w:p>
          <w:p w:rsidR="002D0B4B" w:rsidRPr="002D0B4B" w:rsidRDefault="002D0B4B" w:rsidP="002D0B4B">
            <w:pPr>
              <w:pStyle w:val="Sraopastraipa"/>
              <w:tabs>
                <w:tab w:val="left" w:pos="487"/>
              </w:tabs>
              <w:ind w:left="0"/>
              <w:jc w:val="both"/>
              <w:rPr>
                <w:rFonts w:ascii="Times New Roman" w:hAnsi="Times New Roman" w:cs="Times New Roman"/>
                <w:sz w:val="22"/>
                <w:szCs w:val="22"/>
              </w:rPr>
            </w:pPr>
            <w:r w:rsidRPr="002D0B4B">
              <w:rPr>
                <w:rFonts w:ascii="Times New Roman" w:hAnsi="Times New Roman" w:cs="Times New Roman"/>
                <w:sz w:val="22"/>
                <w:szCs w:val="22"/>
              </w:rPr>
              <w:t>1.5. Pakeisti 21.10 papunktį ir jį išdėstyti taip:</w:t>
            </w:r>
          </w:p>
          <w:p w:rsidR="002D0B4B" w:rsidRPr="002D0B4B" w:rsidRDefault="002D0B4B" w:rsidP="002D0B4B">
            <w:pPr>
              <w:jc w:val="both"/>
              <w:rPr>
                <w:rFonts w:ascii="Times New Roman" w:hAnsi="Times New Roman" w:cs="Times New Roman"/>
                <w:b/>
                <w:bCs/>
                <w:sz w:val="22"/>
                <w:szCs w:val="22"/>
              </w:rPr>
            </w:pPr>
            <w:r w:rsidRPr="002D0B4B">
              <w:rPr>
                <w:rFonts w:ascii="Times New Roman" w:hAnsi="Times New Roman" w:cs="Times New Roman"/>
                <w:sz w:val="22"/>
                <w:szCs w:val="22"/>
              </w:rPr>
              <w:t xml:space="preserve">„21.10. </w:t>
            </w:r>
            <w:bookmarkStart w:id="2" w:name="part_66e8b1e49e014bba94a84b566f049f57"/>
            <w:bookmarkEnd w:id="2"/>
            <w:r w:rsidRPr="002D0B4B">
              <w:rPr>
                <w:rFonts w:ascii="Times New Roman" w:hAnsi="Times New Roman" w:cs="Times New Roman"/>
                <w:sz w:val="22"/>
                <w:szCs w:val="22"/>
              </w:rPr>
              <w:t xml:space="preserve">ginklo pagrindinės dalies </w:t>
            </w:r>
            <w:r w:rsidR="00FE2149">
              <w:rPr>
                <w:rFonts w:ascii="Times New Roman" w:hAnsi="Times New Roman" w:cs="Times New Roman"/>
                <w:sz w:val="22"/>
                <w:szCs w:val="22"/>
              </w:rPr>
              <w:t>–</w:t>
            </w:r>
            <w:r w:rsidRPr="002D0B4B">
              <w:rPr>
                <w:rFonts w:ascii="Times New Roman" w:hAnsi="Times New Roman" w:cs="Times New Roman"/>
                <w:sz w:val="22"/>
                <w:szCs w:val="22"/>
              </w:rPr>
              <w:t xml:space="preserve"> ginklo vamzdžio, būgnelio, spynos (užrakto), spynos (užrakto) rėmo, šovinio lizdo (kai jis yra atskira dalis) ir į šaunamojo ginklo vamzdį įdedamo įdėklo (mažesnio kalibro vamzdis) </w:t>
            </w:r>
            <w:r w:rsidR="00FE2149">
              <w:rPr>
                <w:rFonts w:ascii="Times New Roman" w:hAnsi="Times New Roman" w:cs="Times New Roman"/>
                <w:sz w:val="22"/>
                <w:szCs w:val="22"/>
              </w:rPr>
              <w:t>–</w:t>
            </w:r>
            <w:r w:rsidRPr="002D0B4B">
              <w:rPr>
                <w:rFonts w:ascii="Times New Roman" w:hAnsi="Times New Roman" w:cs="Times New Roman"/>
                <w:sz w:val="22"/>
                <w:szCs w:val="22"/>
              </w:rPr>
              <w:t xml:space="preserve"> numeris arba žymuo </w:t>
            </w:r>
            <w:r w:rsidRPr="005E3339">
              <w:rPr>
                <w:rFonts w:ascii="Times New Roman" w:hAnsi="Times New Roman" w:cs="Times New Roman"/>
                <w:sz w:val="22"/>
                <w:szCs w:val="22"/>
              </w:rPr>
              <w:t>registruojami, kai skiriasi nuo ginklo rėm</w:t>
            </w:r>
            <w:r w:rsidR="00DB448E" w:rsidRPr="005E3339">
              <w:rPr>
                <w:rFonts w:ascii="Times New Roman" w:hAnsi="Times New Roman" w:cs="Times New Roman"/>
                <w:sz w:val="22"/>
                <w:szCs w:val="22"/>
              </w:rPr>
              <w:t>o</w:t>
            </w:r>
            <w:r w:rsidRPr="005E3339">
              <w:rPr>
                <w:rFonts w:ascii="Times New Roman" w:hAnsi="Times New Roman" w:cs="Times New Roman"/>
                <w:sz w:val="22"/>
                <w:szCs w:val="22"/>
              </w:rPr>
              <w:t xml:space="preserve"> ar uoks</w:t>
            </w:r>
            <w:r w:rsidR="00DB448E" w:rsidRPr="005E3339">
              <w:rPr>
                <w:rFonts w:ascii="Times New Roman" w:hAnsi="Times New Roman" w:cs="Times New Roman"/>
                <w:sz w:val="22"/>
                <w:szCs w:val="22"/>
              </w:rPr>
              <w:t>o</w:t>
            </w:r>
            <w:r w:rsidRPr="005E3339">
              <w:rPr>
                <w:rFonts w:ascii="Times New Roman" w:hAnsi="Times New Roman" w:cs="Times New Roman"/>
                <w:sz w:val="22"/>
                <w:szCs w:val="22"/>
              </w:rPr>
              <w:t xml:space="preserve"> nurodyto numerio ar žymens;</w:t>
            </w:r>
            <w:r w:rsidR="009A357B" w:rsidRPr="005E3339">
              <w:rPr>
                <w:rFonts w:ascii="Times New Roman" w:hAnsi="Times New Roman" w:cs="Times New Roman"/>
                <w:sz w:val="22"/>
                <w:szCs w:val="22"/>
              </w:rPr>
              <w:t>.</w:t>
            </w:r>
          </w:p>
          <w:p w:rsidR="002D0B4B" w:rsidRPr="002D0B4B" w:rsidRDefault="002D0B4B" w:rsidP="002D0B4B">
            <w:pPr>
              <w:pStyle w:val="Sraopastraipa"/>
              <w:numPr>
                <w:ilvl w:val="1"/>
                <w:numId w:val="2"/>
              </w:numPr>
              <w:tabs>
                <w:tab w:val="left" w:pos="487"/>
              </w:tabs>
              <w:suppressAutoHyphens w:val="0"/>
              <w:ind w:left="0" w:firstLine="0"/>
              <w:jc w:val="both"/>
              <w:rPr>
                <w:sz w:val="22"/>
                <w:szCs w:val="22"/>
              </w:rPr>
            </w:pPr>
            <w:r w:rsidRPr="002D0B4B">
              <w:rPr>
                <w:sz w:val="22"/>
                <w:szCs w:val="22"/>
              </w:rPr>
              <w:t xml:space="preserve"> Pripažinti netekusiu galios 21.11 papunktį.</w:t>
            </w:r>
          </w:p>
          <w:p w:rsidR="002D0B4B" w:rsidRPr="002D0B4B" w:rsidRDefault="002D0B4B" w:rsidP="002D0B4B">
            <w:pPr>
              <w:pStyle w:val="Sraopastraipa"/>
              <w:numPr>
                <w:ilvl w:val="1"/>
                <w:numId w:val="2"/>
              </w:numPr>
              <w:tabs>
                <w:tab w:val="left" w:pos="487"/>
              </w:tabs>
              <w:suppressAutoHyphens w:val="0"/>
              <w:ind w:left="0" w:firstLine="0"/>
              <w:jc w:val="both"/>
              <w:rPr>
                <w:sz w:val="22"/>
                <w:szCs w:val="22"/>
              </w:rPr>
            </w:pPr>
            <w:r w:rsidRPr="002D0B4B">
              <w:rPr>
                <w:sz w:val="22"/>
                <w:szCs w:val="22"/>
              </w:rPr>
              <w:t xml:space="preserve"> Pripažinti netekusiu galios 21.12 papunktį.</w:t>
            </w:r>
          </w:p>
          <w:p w:rsidR="002D0B4B" w:rsidRPr="002D0B4B" w:rsidRDefault="002D0B4B" w:rsidP="002D0B4B">
            <w:pPr>
              <w:pStyle w:val="Sraopastraipa"/>
              <w:numPr>
                <w:ilvl w:val="1"/>
                <w:numId w:val="2"/>
              </w:numPr>
              <w:tabs>
                <w:tab w:val="left" w:pos="487"/>
              </w:tabs>
              <w:suppressAutoHyphens w:val="0"/>
              <w:ind w:left="0" w:firstLine="0"/>
              <w:jc w:val="both"/>
              <w:rPr>
                <w:sz w:val="22"/>
                <w:szCs w:val="22"/>
              </w:rPr>
            </w:pPr>
            <w:bookmarkStart w:id="3" w:name="part_6ba3a06fdfa1454b9080d31bd05c6bc0"/>
            <w:bookmarkEnd w:id="3"/>
            <w:r w:rsidRPr="002D0B4B">
              <w:rPr>
                <w:sz w:val="22"/>
                <w:szCs w:val="22"/>
              </w:rPr>
              <w:t>Papildyti 21.19</w:t>
            </w:r>
            <w:r w:rsidRPr="002D0B4B">
              <w:rPr>
                <w:sz w:val="22"/>
                <w:szCs w:val="22"/>
                <w:vertAlign w:val="superscript"/>
              </w:rPr>
              <w:t>1</w:t>
            </w:r>
            <w:r w:rsidRPr="002D0B4B">
              <w:rPr>
                <w:sz w:val="22"/>
                <w:szCs w:val="22"/>
              </w:rPr>
              <w:t xml:space="preserve"> papunkčiu:</w:t>
            </w:r>
          </w:p>
          <w:p w:rsidR="002D0B4B" w:rsidRPr="002D0B4B" w:rsidRDefault="002D0B4B" w:rsidP="002D0B4B">
            <w:pPr>
              <w:pStyle w:val="Sraopastraipa"/>
              <w:tabs>
                <w:tab w:val="left" w:pos="487"/>
                <w:tab w:val="left" w:pos="1701"/>
              </w:tabs>
              <w:ind w:left="0"/>
              <w:jc w:val="both"/>
              <w:rPr>
                <w:sz w:val="22"/>
                <w:szCs w:val="22"/>
              </w:rPr>
            </w:pPr>
            <w:r w:rsidRPr="002D0B4B">
              <w:rPr>
                <w:sz w:val="22"/>
                <w:szCs w:val="22"/>
              </w:rPr>
              <w:lastRenderedPageBreak/>
              <w:t>„21.19</w:t>
            </w:r>
            <w:r w:rsidRPr="002D0B4B">
              <w:rPr>
                <w:sz w:val="22"/>
                <w:szCs w:val="22"/>
                <w:vertAlign w:val="superscript"/>
              </w:rPr>
              <w:t>1</w:t>
            </w:r>
            <w:r w:rsidRPr="002D0B4B">
              <w:rPr>
                <w:sz w:val="22"/>
                <w:szCs w:val="22"/>
              </w:rPr>
              <w:t>. informacija apie ginklo perdarymą ar pakeitimą, kur</w:t>
            </w:r>
            <w:r w:rsidR="00F00A40">
              <w:rPr>
                <w:sz w:val="22"/>
                <w:szCs w:val="22"/>
              </w:rPr>
              <w:t>iuos</w:t>
            </w:r>
            <w:r w:rsidRPr="002D0B4B">
              <w:rPr>
                <w:sz w:val="22"/>
                <w:szCs w:val="22"/>
              </w:rPr>
              <w:t xml:space="preserve"> atlikus keičiasi jo kategorija, įskaitant ginklo perdarymą į visiškai netinkamą naudoti ir atitinkamą (-</w:t>
            </w:r>
            <w:proofErr w:type="spellStart"/>
            <w:r w:rsidRPr="002D0B4B">
              <w:rPr>
                <w:sz w:val="22"/>
                <w:szCs w:val="22"/>
              </w:rPr>
              <w:t>as</w:t>
            </w:r>
            <w:proofErr w:type="spellEnd"/>
            <w:r w:rsidRPr="002D0B4B">
              <w:rPr>
                <w:sz w:val="22"/>
                <w:szCs w:val="22"/>
              </w:rPr>
              <w:t>) datą (-</w:t>
            </w:r>
            <w:proofErr w:type="spellStart"/>
            <w:r w:rsidRPr="002D0B4B">
              <w:rPr>
                <w:sz w:val="22"/>
                <w:szCs w:val="22"/>
              </w:rPr>
              <w:t>as</w:t>
            </w:r>
            <w:proofErr w:type="spellEnd"/>
            <w:r w:rsidRPr="002D0B4B">
              <w:rPr>
                <w:sz w:val="22"/>
                <w:szCs w:val="22"/>
              </w:rPr>
              <w:t>).“</w:t>
            </w:r>
          </w:p>
          <w:p w:rsidR="002D0B4B" w:rsidRPr="00320573" w:rsidRDefault="002D0B4B">
            <w:pPr>
              <w:tabs>
                <w:tab w:val="left" w:pos="1080"/>
              </w:tabs>
              <w:jc w:val="both"/>
              <w:rPr>
                <w:rFonts w:ascii="Times New Roman" w:hAnsi="Times New Roman" w:cs="Times New Roman"/>
                <w:sz w:val="22"/>
                <w:szCs w:val="22"/>
              </w:rPr>
            </w:pPr>
          </w:p>
          <w:p w:rsidR="001344C7" w:rsidRPr="00320573" w:rsidRDefault="00021C58">
            <w:pPr>
              <w:jc w:val="both"/>
              <w:rPr>
                <w:sz w:val="22"/>
                <w:szCs w:val="22"/>
              </w:rPr>
            </w:pPr>
            <w:r w:rsidRPr="00320573">
              <w:rPr>
                <w:rFonts w:ascii="Times New Roman" w:hAnsi="Times New Roman" w:cs="Times New Roman"/>
                <w:sz w:val="22"/>
                <w:szCs w:val="22"/>
              </w:rPr>
              <w:t>Ginklų regi</w:t>
            </w:r>
            <w:r w:rsidR="00EA2489" w:rsidRPr="00320573">
              <w:rPr>
                <w:rFonts w:ascii="Times New Roman" w:hAnsi="Times New Roman" w:cs="Times New Roman"/>
                <w:sz w:val="22"/>
                <w:szCs w:val="22"/>
              </w:rPr>
              <w:t>s</w:t>
            </w:r>
            <w:r w:rsidRPr="00320573">
              <w:rPr>
                <w:rFonts w:ascii="Times New Roman" w:hAnsi="Times New Roman" w:cs="Times New Roman"/>
                <w:sz w:val="22"/>
                <w:szCs w:val="22"/>
              </w:rPr>
              <w:t>tro nuostatų 21 punktas</w:t>
            </w:r>
            <w:r w:rsidR="002D0B4B">
              <w:rPr>
                <w:rFonts w:ascii="Times New Roman" w:hAnsi="Times New Roman" w:cs="Times New Roman"/>
                <w:sz w:val="22"/>
                <w:szCs w:val="22"/>
              </w:rPr>
              <w:t>, išskyrus 21.3, 21.5, 21.6, 21.10</w:t>
            </w:r>
            <w:r w:rsidR="009A357B">
              <w:rPr>
                <w:rFonts w:ascii="Times New Roman" w:hAnsi="Times New Roman" w:cs="Times New Roman"/>
                <w:sz w:val="22"/>
                <w:szCs w:val="22"/>
              </w:rPr>
              <w:t>–</w:t>
            </w:r>
            <w:r w:rsidR="002D0B4B">
              <w:rPr>
                <w:rFonts w:ascii="Times New Roman" w:hAnsi="Times New Roman" w:cs="Times New Roman"/>
                <w:sz w:val="22"/>
                <w:szCs w:val="22"/>
              </w:rPr>
              <w:t>21.12 papunkčius</w:t>
            </w:r>
            <w:r w:rsidRPr="00320573">
              <w:rPr>
                <w:rFonts w:ascii="Times New Roman" w:hAnsi="Times New Roman" w:cs="Times New Roman"/>
                <w:sz w:val="22"/>
                <w:szCs w:val="22"/>
              </w:rPr>
              <w:t>:</w:t>
            </w:r>
          </w:p>
          <w:p w:rsidR="001344C7" w:rsidRPr="00320573" w:rsidRDefault="00021C58">
            <w:pPr>
              <w:jc w:val="both"/>
              <w:rPr>
                <w:sz w:val="22"/>
                <w:szCs w:val="22"/>
              </w:rPr>
            </w:pPr>
            <w:r w:rsidRPr="00320573">
              <w:rPr>
                <w:rFonts w:ascii="Times New Roman" w:hAnsi="Times New Roman" w:cs="Times New Roman"/>
                <w:sz w:val="22"/>
                <w:szCs w:val="22"/>
              </w:rPr>
              <w:t>„21. Registre tvarkomi šie duomenys apie ginklus:</w:t>
            </w:r>
          </w:p>
          <w:p w:rsidR="001344C7" w:rsidRPr="00320573" w:rsidRDefault="00021C58">
            <w:pPr>
              <w:jc w:val="both"/>
              <w:rPr>
                <w:sz w:val="22"/>
                <w:szCs w:val="22"/>
              </w:rPr>
            </w:pPr>
            <w:r w:rsidRPr="00320573">
              <w:rPr>
                <w:rFonts w:ascii="Times New Roman" w:hAnsi="Times New Roman" w:cs="Times New Roman"/>
                <w:sz w:val="22"/>
                <w:szCs w:val="22"/>
              </w:rPr>
              <w:t>21.1. Registro objekto identifikavimo kodas;</w:t>
            </w:r>
          </w:p>
          <w:p w:rsidR="001344C7" w:rsidRPr="00320573" w:rsidRDefault="00021C58">
            <w:pPr>
              <w:jc w:val="both"/>
              <w:rPr>
                <w:sz w:val="22"/>
                <w:szCs w:val="22"/>
              </w:rPr>
            </w:pPr>
            <w:r w:rsidRPr="00320573">
              <w:rPr>
                <w:rFonts w:ascii="Times New Roman" w:hAnsi="Times New Roman" w:cs="Times New Roman"/>
                <w:sz w:val="22"/>
                <w:szCs w:val="22"/>
              </w:rPr>
              <w:t>21.2. ginklo tipas;</w:t>
            </w:r>
          </w:p>
          <w:p w:rsidR="001344C7" w:rsidRPr="00320573" w:rsidRDefault="00021C58">
            <w:pPr>
              <w:jc w:val="both"/>
              <w:rPr>
                <w:sz w:val="22"/>
                <w:szCs w:val="22"/>
              </w:rPr>
            </w:pPr>
            <w:r w:rsidRPr="00320573">
              <w:rPr>
                <w:rFonts w:ascii="Times New Roman" w:hAnsi="Times New Roman" w:cs="Times New Roman"/>
                <w:sz w:val="22"/>
                <w:szCs w:val="22"/>
              </w:rPr>
              <w:t>21.4. ginklo modelis;</w:t>
            </w:r>
          </w:p>
          <w:p w:rsidR="001344C7" w:rsidRPr="00320573" w:rsidRDefault="00021C58">
            <w:pPr>
              <w:jc w:val="both"/>
              <w:rPr>
                <w:sz w:val="22"/>
                <w:szCs w:val="22"/>
              </w:rPr>
            </w:pPr>
            <w:r w:rsidRPr="00320573">
              <w:rPr>
                <w:rFonts w:ascii="Times New Roman" w:hAnsi="Times New Roman" w:cs="Times New Roman"/>
                <w:sz w:val="22"/>
                <w:szCs w:val="22"/>
              </w:rPr>
              <w:t>21.7. ginklo pagaminimo metai (jeigu žinomi);</w:t>
            </w:r>
          </w:p>
          <w:p w:rsidR="001344C7" w:rsidRPr="00320573" w:rsidRDefault="00021C58">
            <w:pPr>
              <w:jc w:val="both"/>
              <w:rPr>
                <w:sz w:val="22"/>
                <w:szCs w:val="22"/>
              </w:rPr>
            </w:pPr>
            <w:r w:rsidRPr="00320573">
              <w:rPr>
                <w:rFonts w:ascii="Times New Roman" w:hAnsi="Times New Roman" w:cs="Times New Roman"/>
                <w:sz w:val="22"/>
                <w:szCs w:val="22"/>
              </w:rPr>
              <w:t>21.8. ginklo kategorija;</w:t>
            </w:r>
          </w:p>
          <w:p w:rsidR="001344C7" w:rsidRPr="00320573" w:rsidRDefault="00021C58">
            <w:pPr>
              <w:jc w:val="both"/>
              <w:rPr>
                <w:sz w:val="22"/>
                <w:szCs w:val="22"/>
              </w:rPr>
            </w:pPr>
            <w:r w:rsidRPr="00320573">
              <w:rPr>
                <w:rFonts w:ascii="Times New Roman" w:hAnsi="Times New Roman" w:cs="Times New Roman"/>
                <w:sz w:val="22"/>
                <w:szCs w:val="22"/>
              </w:rPr>
              <w:t>21.9. ginklo gamintojas (jeigu žinomas);</w:t>
            </w:r>
          </w:p>
          <w:p w:rsidR="001344C7" w:rsidRPr="00320573" w:rsidRDefault="00021C58">
            <w:pPr>
              <w:jc w:val="both"/>
              <w:rPr>
                <w:sz w:val="22"/>
                <w:szCs w:val="22"/>
              </w:rPr>
            </w:pPr>
            <w:r w:rsidRPr="00320573">
              <w:rPr>
                <w:rFonts w:ascii="Times New Roman" w:hAnsi="Times New Roman" w:cs="Times New Roman"/>
                <w:sz w:val="22"/>
                <w:szCs w:val="22"/>
              </w:rPr>
              <w:t>21.13. ginklo paskirtis;</w:t>
            </w:r>
          </w:p>
          <w:p w:rsidR="001344C7" w:rsidRPr="00320573" w:rsidRDefault="00021C58">
            <w:pPr>
              <w:jc w:val="both"/>
              <w:rPr>
                <w:sz w:val="22"/>
                <w:szCs w:val="22"/>
              </w:rPr>
            </w:pPr>
            <w:r w:rsidRPr="00320573">
              <w:rPr>
                <w:rFonts w:ascii="Times New Roman" w:hAnsi="Times New Roman" w:cs="Times New Roman"/>
                <w:sz w:val="22"/>
                <w:szCs w:val="22"/>
              </w:rPr>
              <w:t>21.14. ginklo išbandymo data;</w:t>
            </w:r>
          </w:p>
          <w:p w:rsidR="001344C7" w:rsidRPr="00320573" w:rsidRDefault="00021C58">
            <w:pPr>
              <w:jc w:val="both"/>
              <w:rPr>
                <w:sz w:val="22"/>
                <w:szCs w:val="22"/>
              </w:rPr>
            </w:pPr>
            <w:r w:rsidRPr="00320573">
              <w:rPr>
                <w:rFonts w:ascii="Times New Roman" w:hAnsi="Times New Roman" w:cs="Times New Roman"/>
                <w:sz w:val="22"/>
                <w:szCs w:val="22"/>
              </w:rPr>
              <w:t>21.15. ginklo pertaisymo tipas;</w:t>
            </w:r>
          </w:p>
          <w:p w:rsidR="001344C7" w:rsidRPr="00320573" w:rsidRDefault="00021C58">
            <w:pPr>
              <w:jc w:val="both"/>
              <w:rPr>
                <w:sz w:val="22"/>
                <w:szCs w:val="22"/>
              </w:rPr>
            </w:pPr>
            <w:r w:rsidRPr="00320573">
              <w:rPr>
                <w:rFonts w:ascii="Times New Roman" w:hAnsi="Times New Roman" w:cs="Times New Roman"/>
                <w:sz w:val="22"/>
                <w:szCs w:val="22"/>
              </w:rPr>
              <w:t>21.16. ginklo praradimo data ir būdas (jeigu ginklas prarastas);</w:t>
            </w:r>
          </w:p>
          <w:p w:rsidR="001344C7" w:rsidRPr="00320573" w:rsidRDefault="00021C58">
            <w:pPr>
              <w:jc w:val="both"/>
              <w:rPr>
                <w:sz w:val="22"/>
                <w:szCs w:val="22"/>
              </w:rPr>
            </w:pPr>
            <w:r w:rsidRPr="00320573">
              <w:rPr>
                <w:rFonts w:ascii="Times New Roman" w:hAnsi="Times New Roman" w:cs="Times New Roman"/>
                <w:sz w:val="22"/>
                <w:szCs w:val="22"/>
              </w:rPr>
              <w:t>21.17. ginklo sunaikinimo data (jeigu ginklas sunaikintas);</w:t>
            </w:r>
          </w:p>
          <w:p w:rsidR="001344C7" w:rsidRPr="00320573" w:rsidRDefault="00021C58">
            <w:pPr>
              <w:jc w:val="both"/>
              <w:rPr>
                <w:sz w:val="22"/>
                <w:szCs w:val="22"/>
              </w:rPr>
            </w:pPr>
            <w:r w:rsidRPr="00320573">
              <w:rPr>
                <w:rFonts w:ascii="Times New Roman" w:hAnsi="Times New Roman" w:cs="Times New Roman"/>
                <w:sz w:val="22"/>
                <w:szCs w:val="22"/>
              </w:rPr>
              <w:t>21.18. ginklo įregistravimo Registre ir išregistravimo datos, duomenų keitimo datos;</w:t>
            </w:r>
          </w:p>
          <w:p w:rsidR="001344C7" w:rsidRPr="00320573" w:rsidRDefault="00021C58">
            <w:pPr>
              <w:jc w:val="both"/>
              <w:rPr>
                <w:sz w:val="22"/>
                <w:szCs w:val="22"/>
              </w:rPr>
            </w:pPr>
            <w:r w:rsidRPr="00320573">
              <w:rPr>
                <w:rFonts w:ascii="Times New Roman" w:hAnsi="Times New Roman" w:cs="Times New Roman"/>
                <w:sz w:val="22"/>
                <w:szCs w:val="22"/>
              </w:rPr>
              <w:t>21.19. Europos fizinio ar Europos juridinio asmens ginklo laikymo vieta (-</w:t>
            </w:r>
            <w:proofErr w:type="spellStart"/>
            <w:r w:rsidRPr="00320573">
              <w:rPr>
                <w:rFonts w:ascii="Times New Roman" w:hAnsi="Times New Roman" w:cs="Times New Roman"/>
                <w:sz w:val="22"/>
                <w:szCs w:val="22"/>
              </w:rPr>
              <w:t>os</w:t>
            </w:r>
            <w:proofErr w:type="spellEnd"/>
            <w:r w:rsidRPr="00320573">
              <w:rPr>
                <w:rFonts w:ascii="Times New Roman" w:hAnsi="Times New Roman" w:cs="Times New Roman"/>
                <w:sz w:val="22"/>
                <w:szCs w:val="22"/>
              </w:rPr>
              <w:t>) (apskritis, savivaldybė, seniūnija, gyvenamoji vietovė (miestas, miestelis, kaimas ar viensėdis), gatvė, namo numeris, buto numeris).</w:t>
            </w:r>
            <w:r w:rsidR="00F00A40">
              <w:rPr>
                <w:rFonts w:ascii="Times New Roman" w:hAnsi="Times New Roman" w:cs="Times New Roman"/>
                <w:sz w:val="22"/>
                <w:szCs w:val="22"/>
              </w:rPr>
              <w:t>“</w:t>
            </w:r>
          </w:p>
          <w:p w:rsidR="001344C7" w:rsidRPr="00320573" w:rsidRDefault="001344C7">
            <w:pPr>
              <w:tabs>
                <w:tab w:val="left" w:pos="1080"/>
              </w:tabs>
              <w:jc w:val="both"/>
              <w:rPr>
                <w:rFonts w:ascii="Times New Roman" w:hAnsi="Times New Roman" w:cs="Times New Roman"/>
                <w:sz w:val="22"/>
                <w:szCs w:val="22"/>
              </w:rPr>
            </w:pP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Ginklų registro nuostatų 22–26 punktai:</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 Registre tvarkomi šie duomenys apie ginklo savininką:</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 Europos fizinio asmens, ginklo savininko (valdytojo), duomenys: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22.1.1. asmens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22.1.2. vardas (-ai);</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22.1.3. pavardė (-ės);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22.1.4. pilietybė (-ės);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22.1.5. asmens veido atvaizdas;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22.1.6. deklaruota gyvenamoji vieta (jeigu asmuo išvyksta gyventi į užsienį, – išvykimo vieta (valstybė) ir išvykimo data; jeigu nuolat gyvena užsienyje, – valstybė; jeigu neturi gyvenamosios vietos – savivaldybė, kurioje gyvena);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22.1.7. Europos fizinio asmens mirties data (jeigu asmuo miręs);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 Europos juridinio asmens, ginklo savininko (valdytojo), duomenys: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22.2.1. Europos juridinio asmens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22.2.2. pavadinimas;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22.2.3. teisinė forma;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22.2.4. buveinės adresas (apskritis, savivaldybė, seniūnija, gyvenamoji vietovė (miestas, miestelis, kaimas ar viensėdis), gatvė, namo numeris, buto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22.2.5. ginklininko asmens kodas, vardas (-ai), pavardė (-ės);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22.2.6. ginklininko veido atvaizdas;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22.2.7. Europos juridinio asmens išregistravimo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 leidimo įsigyti ginklą, leidimo laikyti ginklą, leidimo nešiotis ginklą, neterminuoto leidimo įsigyti ir laikyti (nešiotis) ginklus, Europos šaunamojo ginklo leidimo ir leidimo įvežti į Lietuvos Respubliką ginklus ar išvežti iš Lietuvos Respublikos ginklus duomenys: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22.3.1. leidimo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22.3.2. leidimą išdavusi įstaiga;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22.3.3. Europos fizinio asmens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22.3.4. Europos fizinio asmens vardas (-ai);</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22.3.5. Europos fizinio asmens pavardė (-ės);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22.3.6. Europos fizinio asmens veido atvaizdas (jeigu numatyta leidime);</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22.3.7. leidimo išdavimo ir leidimo galiojimo datos (jeigu numatyta leidime);</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22.3.8. Europos juridinio asmens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22.3.9. Europos juridinio asmens pavadinimas;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22.3.10. Europos juridinio asmens teisinė forma;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22.3.11. Europos juridinio asmens ginklininko vardas (-ai), pavardė (-ės), asmens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22.3.12. Europos juridinio asmens ginklininko veido atvaizdas.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 Registre tvarkomi šie duomenys apie ginklų savininkams taikomus turtinius apribojimus, susijusius su jų turimais ginklais: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 duomenys iš Turto arešto aktų registro apie ginklų areštus: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23.1.1. turto arešto akto unikalus numeris Turto arešto aktų registre;</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23.1.2. turto arešto akto įregistravimo Turto arešto aktų registre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23.1.3. turto arešto aktą priėmusios institucijos kodas ir pavadinimas;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23.1.4. turto arešto akto surašymo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23.1.5. turto arešto būdai (apribotas naudojimasis turtu, apribotas turto valdymas, apribotas disponavimas turtu ir kiti apribojimai);</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23.1.6. turto arešto terminas (jeigu nustatomas);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23.1.7. turto arešto akto išregistravimo Turto arešto aktų registre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23.1.8. turto arešto aktui suteikta būsena;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 duomenys iš Lietuvos Respublikos hipotekos registro apie ginklų sutartinio (priverstinio) įkeitimo įregistravimą, sutartinio (priverstinio) įkeitimo pakeitimo įregistravimą ir sutartinio (priverstinio) įkeitimo išregistravimą:</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23.2.1. sutartinio (priverstinio) įkeitimo identifikavimo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23.2.2. sutartinio (priverstinio) įkeitimo įregistravimo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23.2.3. sutartinio (priverstinio) įkeitimo pakeitimo identifikavimo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23.2.4. sutartinio (priverstinio) įkeitimo pakeitimo įregistravimo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23.2.5. sutartinio (priverstinio) įkeitimo išregistravimo identifikavimo kodas;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23.2.6. sutartinio (priverstinio) įkeitimo išregistravimo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23.2.7. sutartinio įkeitimo sandorio sąlygų duomenys: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23.2.7.1. susitarimas dėl leidimo perleisti įkeitimo objektą;</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23.2.7.2. susitarimas dėl draudimo pakartotinai įkeisti įkeitimo objektą;</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23.2.7.3. informacija, kad sandorio šalys nesusitarė dėl pakartotinio įkeitimo ir (arba) leidimo parduoti įkeistą turtą.</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24. Registre tvarkomi šie duomenys apie ginklų įvežimą į Lietuvos Respubliką ir išvežimą iš Lietuvos Respublikos: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24.1. įvežimo į Lietuvos Respubliką ar išvežimo iš Lietuvos Respublikos dokumento kodas ir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lastRenderedPageBreak/>
              <w:t>24.2. siuntėjo kodas, pavadinimas ir adresas (apskritis, savivaldybė, seniūnija, gyvenamoji vietovė (miestas, miestelis, kaimas ar viensėdis), gatvė, namo numeris, buto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24.3. gavėjo kodas, pavadinimas ir adresas (apskritis, savivaldybė, seniūnija, gyvenamoji vietovė (miestas, miestelis, kaimas ar viensėdis), gatvė, namo numeris, buto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25. Registre tvarkomi šie duomenys apie ginklų importą į Lietuvos Respubliką ir eksportą iš Lietuvos Respublikos: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25.1. muitinės procedūros įforminimo dokumento kodas ir data;</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25.2. muitinės postas;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25.3. siuntėjo kodas, pavadinimas ir adresas (apskritis, savivaldybė, seniūnija, gyvenamoji vietovė (miestas, miestelis, kaimas ar viensėdis), gatvė, namo numeris, buto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25.4. gavėjo kodas, pavadinimas ir adresas (apskritis, savivaldybė, seniūnija, gyvenamoji vietovė (miestas, miestelis, kaimas ar viensėdis), gatvė, namo numeris, buto numeris).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26. Registro objekto identifikavimo kodas yra nepriklausomas, laisvai generuojamas, neturintis vidinės struktūros. Registro objekto identifikavimo kodas suteikiamas iš eilės bendrai visiems Registro objektams.“</w:t>
            </w:r>
          </w:p>
          <w:p w:rsidR="001344C7" w:rsidRPr="00320573" w:rsidRDefault="001344C7">
            <w:pPr>
              <w:tabs>
                <w:tab w:val="left" w:pos="1080"/>
              </w:tabs>
              <w:jc w:val="both"/>
              <w:rPr>
                <w:rFonts w:ascii="Times New Roman" w:hAnsi="Times New Roman" w:cs="Times New Roman"/>
                <w:sz w:val="22"/>
                <w:szCs w:val="22"/>
              </w:rPr>
            </w:pPr>
          </w:p>
          <w:p w:rsidR="00DB1B3E" w:rsidRDefault="00DB1B3E">
            <w:pPr>
              <w:tabs>
                <w:tab w:val="left" w:pos="1080"/>
              </w:tabs>
              <w:jc w:val="both"/>
              <w:rPr>
                <w:rFonts w:ascii="Times New Roman" w:hAnsi="Times New Roman" w:cs="Times New Roman"/>
                <w:sz w:val="22"/>
                <w:szCs w:val="22"/>
              </w:rPr>
            </w:pPr>
            <w:r w:rsidRPr="00DB1B3E">
              <w:rPr>
                <w:rFonts w:ascii="Times New Roman" w:hAnsi="Times New Roman" w:cs="Times New Roman"/>
                <w:sz w:val="22"/>
                <w:szCs w:val="22"/>
              </w:rPr>
              <w:t>Ginklo registro nuostat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projekto </w:t>
            </w:r>
            <w:r>
              <w:rPr>
                <w:rFonts w:ascii="Times New Roman" w:hAnsi="Times New Roman" w:cs="Times New Roman"/>
                <w:sz w:val="22"/>
                <w:szCs w:val="22"/>
              </w:rPr>
              <w:t>1.9</w:t>
            </w:r>
            <w:r w:rsidRPr="00DB1B3E">
              <w:rPr>
                <w:rFonts w:ascii="Times New Roman" w:hAnsi="Times New Roman" w:cs="Times New Roman"/>
                <w:sz w:val="22"/>
                <w:szCs w:val="22"/>
              </w:rPr>
              <w:t xml:space="preserve"> </w:t>
            </w:r>
            <w:r>
              <w:rPr>
                <w:rFonts w:ascii="Times New Roman" w:hAnsi="Times New Roman" w:cs="Times New Roman"/>
                <w:sz w:val="22"/>
                <w:szCs w:val="22"/>
              </w:rPr>
              <w:t>pa</w:t>
            </w:r>
            <w:r w:rsidRPr="00DB1B3E">
              <w:rPr>
                <w:rFonts w:ascii="Times New Roman" w:hAnsi="Times New Roman" w:cs="Times New Roman"/>
                <w:sz w:val="22"/>
                <w:szCs w:val="22"/>
              </w:rPr>
              <w:t>punkt</w:t>
            </w:r>
            <w:r>
              <w:rPr>
                <w:rFonts w:ascii="Times New Roman" w:hAnsi="Times New Roman" w:cs="Times New Roman"/>
                <w:sz w:val="22"/>
                <w:szCs w:val="22"/>
              </w:rPr>
              <w:t>i</w:t>
            </w:r>
            <w:r w:rsidRPr="00DB1B3E">
              <w:rPr>
                <w:rFonts w:ascii="Times New Roman" w:hAnsi="Times New Roman" w:cs="Times New Roman"/>
                <w:sz w:val="22"/>
                <w:szCs w:val="22"/>
              </w:rPr>
              <w:t>s:</w:t>
            </w:r>
          </w:p>
          <w:p w:rsidR="00DB1B3E" w:rsidRPr="00DB1B3E" w:rsidRDefault="00DB1B3E" w:rsidP="00DB1B3E">
            <w:pPr>
              <w:tabs>
                <w:tab w:val="left" w:pos="487"/>
              </w:tabs>
              <w:jc w:val="both"/>
              <w:rPr>
                <w:rFonts w:ascii="Times New Roman" w:hAnsi="Times New Roman" w:cs="Times New Roman"/>
                <w:sz w:val="22"/>
                <w:szCs w:val="22"/>
              </w:rPr>
            </w:pPr>
            <w:r w:rsidRPr="00DB1B3E">
              <w:rPr>
                <w:rFonts w:ascii="Times New Roman" w:hAnsi="Times New Roman" w:cs="Times New Roman"/>
                <w:sz w:val="22"/>
                <w:szCs w:val="22"/>
              </w:rPr>
              <w:t>1.9.</w:t>
            </w:r>
            <w:r w:rsidRPr="00DB1B3E">
              <w:rPr>
                <w:rFonts w:ascii="Times New Roman" w:hAnsi="Times New Roman" w:cs="Times New Roman"/>
                <w:sz w:val="22"/>
                <w:szCs w:val="22"/>
              </w:rPr>
              <w:tab/>
              <w:t>Pakeisti 27.2.5 papunkt</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rsidR="00DB1B3E" w:rsidRDefault="00DB1B3E" w:rsidP="00DB1B3E">
            <w:pPr>
              <w:tabs>
                <w:tab w:val="left" w:pos="487"/>
              </w:tabs>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27.2.5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kalibr</w:t>
            </w:r>
            <w:r w:rsidRPr="00DB1B3E">
              <w:rPr>
                <w:rFonts w:ascii="Times New Roman" w:hAnsi="Times New Roman" w:cs="Times New Roman" w:hint="cs"/>
                <w:sz w:val="22"/>
                <w:szCs w:val="22"/>
              </w:rPr>
              <w:t>ų</w:t>
            </w:r>
            <w:r w:rsidRPr="00DB1B3E">
              <w:rPr>
                <w:rFonts w:ascii="Times New Roman" w:hAnsi="Times New Roman" w:cs="Times New Roman"/>
                <w:sz w:val="22"/>
                <w:szCs w:val="22"/>
              </w:rPr>
              <w:t>;</w:t>
            </w:r>
            <w:r w:rsidRPr="00DB1B3E">
              <w:rPr>
                <w:rFonts w:ascii="Times New Roman" w:hAnsi="Times New Roman" w:cs="Times New Roman" w:hint="cs"/>
                <w:sz w:val="22"/>
                <w:szCs w:val="22"/>
              </w:rPr>
              <w:t>“</w:t>
            </w:r>
            <w:r w:rsidR="00051387">
              <w:rPr>
                <w:rFonts w:ascii="Times New Roman" w:hAnsi="Times New Roman" w:cs="Times New Roman"/>
                <w:sz w:val="22"/>
                <w:szCs w:val="22"/>
              </w:rPr>
              <w:t>.</w:t>
            </w:r>
          </w:p>
          <w:p w:rsidR="00DB1B3E" w:rsidRDefault="00DB1B3E" w:rsidP="00DB1B3E">
            <w:pPr>
              <w:tabs>
                <w:tab w:val="left" w:pos="487"/>
              </w:tabs>
              <w:jc w:val="both"/>
              <w:rPr>
                <w:rFonts w:ascii="Times New Roman" w:hAnsi="Times New Roman" w:cs="Times New Roman"/>
                <w:sz w:val="22"/>
                <w:szCs w:val="22"/>
              </w:rPr>
            </w:pP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Ginklo registro nuostatų 27 punktas</w:t>
            </w:r>
            <w:r w:rsidR="00DB1B3E">
              <w:rPr>
                <w:rFonts w:ascii="Times New Roman" w:hAnsi="Times New Roman" w:cs="Times New Roman"/>
                <w:sz w:val="22"/>
                <w:szCs w:val="22"/>
              </w:rPr>
              <w:t xml:space="preserve">, išskyrus </w:t>
            </w:r>
            <w:r w:rsidR="00DB1B3E" w:rsidRPr="00DB1B3E">
              <w:rPr>
                <w:rFonts w:ascii="Times New Roman" w:hAnsi="Times New Roman" w:cs="Times New Roman"/>
                <w:sz w:val="22"/>
                <w:szCs w:val="22"/>
              </w:rPr>
              <w:t>27.2.5 papunkt</w:t>
            </w:r>
            <w:r w:rsidR="00DB1B3E" w:rsidRPr="00DB1B3E">
              <w:rPr>
                <w:rFonts w:ascii="Times New Roman" w:hAnsi="Times New Roman" w:cs="Times New Roman" w:hint="cs"/>
                <w:sz w:val="22"/>
                <w:szCs w:val="22"/>
              </w:rPr>
              <w:t>į</w:t>
            </w:r>
            <w:r w:rsidRPr="00320573">
              <w:rPr>
                <w:rFonts w:ascii="Times New Roman" w:hAnsi="Times New Roman" w:cs="Times New Roman"/>
                <w:sz w:val="22"/>
                <w:szCs w:val="22"/>
              </w:rPr>
              <w:t>:</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 Registre naudojami šie klasifikatoriai:</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27.1. Lietuvos Respublikos gyventojų registro – pasaulio valstybių ir teritorijų;</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 Registro:</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27.2.1. ginklų rūšių;</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27.2.2. ginklų kategorijų;</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27.2.3. ginklų šaudmenų tipų kalibrų;</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27.2.4. ginklų modelių;</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27.2.6. ginklų paskirties;</w:t>
            </w: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27.2.7. ginklų gamintojų.“</w:t>
            </w:r>
          </w:p>
          <w:p w:rsidR="001344C7" w:rsidRPr="00320573" w:rsidRDefault="001344C7">
            <w:pPr>
              <w:tabs>
                <w:tab w:val="left" w:pos="1080"/>
              </w:tabs>
              <w:jc w:val="both"/>
              <w:rPr>
                <w:rFonts w:ascii="Times New Roman" w:hAnsi="Times New Roman" w:cs="Times New Roman"/>
                <w:sz w:val="22"/>
                <w:szCs w:val="22"/>
              </w:rPr>
            </w:pPr>
          </w:p>
          <w:p w:rsidR="001344C7" w:rsidRPr="00320573" w:rsidRDefault="00021C58">
            <w:pPr>
              <w:tabs>
                <w:tab w:val="left" w:pos="1080"/>
              </w:tabs>
              <w:jc w:val="both"/>
              <w:rPr>
                <w:sz w:val="22"/>
                <w:szCs w:val="22"/>
              </w:rPr>
            </w:pPr>
            <w:r w:rsidRPr="00320573">
              <w:rPr>
                <w:rFonts w:ascii="Times New Roman" w:hAnsi="Times New Roman" w:cs="Times New Roman"/>
                <w:sz w:val="22"/>
                <w:szCs w:val="22"/>
              </w:rPr>
              <w:t xml:space="preserve">Ginklų registro nuostatų projekto </w:t>
            </w:r>
            <w:r w:rsidR="00DB1B3E">
              <w:rPr>
                <w:rFonts w:ascii="Times New Roman" w:hAnsi="Times New Roman" w:cs="Times New Roman"/>
                <w:sz w:val="22"/>
                <w:szCs w:val="22"/>
              </w:rPr>
              <w:t>1.10</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w:t>
            </w:r>
            <w:r w:rsidRPr="00320573">
              <w:rPr>
                <w:rFonts w:ascii="Times New Roman" w:hAnsi="Times New Roman" w:cs="Times New Roman"/>
                <w:sz w:val="22"/>
                <w:szCs w:val="22"/>
              </w:rPr>
              <w:t>s:</w:t>
            </w:r>
          </w:p>
          <w:p w:rsidR="00DB1B3E" w:rsidRPr="00DB1B3E" w:rsidRDefault="00DB1B3E" w:rsidP="00DB1B3E">
            <w:pPr>
              <w:tabs>
                <w:tab w:val="left" w:pos="586"/>
              </w:tabs>
              <w:jc w:val="both"/>
              <w:rPr>
                <w:rFonts w:ascii="Times New Roman" w:hAnsi="Times New Roman" w:cs="Times New Roman"/>
                <w:sz w:val="22"/>
                <w:szCs w:val="22"/>
              </w:rPr>
            </w:pPr>
            <w:r w:rsidRPr="00DB1B3E">
              <w:rPr>
                <w:rFonts w:ascii="Times New Roman" w:hAnsi="Times New Roman" w:cs="Times New Roman"/>
                <w:sz w:val="22"/>
                <w:szCs w:val="22"/>
              </w:rPr>
              <w:t>1.10.</w:t>
            </w:r>
            <w:r w:rsidRPr="00DB1B3E">
              <w:rPr>
                <w:rFonts w:ascii="Times New Roman" w:hAnsi="Times New Roman" w:cs="Times New Roman"/>
                <w:sz w:val="22"/>
                <w:szCs w:val="22"/>
              </w:rPr>
              <w:tab/>
              <w:t>Pakeisti 61 punkt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rsidR="001344C7" w:rsidRDefault="00DB1B3E" w:rsidP="00DB1B3E">
            <w:pPr>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61. Pakeisti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s </w:t>
            </w:r>
            <w:r w:rsidRPr="00DB1B3E">
              <w:rPr>
                <w:rFonts w:ascii="Times New Roman" w:hAnsi="Times New Roman" w:cs="Times New Roman" w:hint="cs"/>
                <w:sz w:val="22"/>
                <w:szCs w:val="22"/>
              </w:rPr>
              <w:t>į</w:t>
            </w:r>
            <w:r w:rsidRPr="00DB1B3E">
              <w:rPr>
                <w:rFonts w:ascii="Times New Roman" w:hAnsi="Times New Roman" w:cs="Times New Roman"/>
                <w:sz w:val="22"/>
                <w:szCs w:val="22"/>
              </w:rPr>
              <w:t>ra</w:t>
            </w:r>
            <w:r w:rsidRPr="00DB1B3E">
              <w:rPr>
                <w:rFonts w:ascii="Times New Roman" w:hAnsi="Times New Roman" w:cs="Times New Roman" w:hint="cs"/>
                <w:sz w:val="22"/>
                <w:szCs w:val="22"/>
              </w:rPr>
              <w:t>š</w:t>
            </w:r>
            <w:r w:rsidRPr="00DB1B3E">
              <w:rPr>
                <w:rFonts w:ascii="Times New Roman" w:hAnsi="Times New Roman" w:cs="Times New Roman"/>
                <w:sz w:val="22"/>
                <w:szCs w:val="22"/>
              </w:rPr>
              <w:t>ai saugomi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per 10 darbo dien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perra</w:t>
            </w:r>
            <w:r w:rsidRPr="00DB1B3E">
              <w:rPr>
                <w:rFonts w:ascii="Times New Roman" w:hAnsi="Times New Roman" w:cs="Times New Roman" w:hint="cs"/>
                <w:sz w:val="22"/>
                <w:szCs w:val="22"/>
              </w:rPr>
              <w:t>š</w:t>
            </w:r>
            <w:r w:rsidRPr="00DB1B3E">
              <w:rPr>
                <w:rFonts w:ascii="Times New Roman" w:hAnsi="Times New Roman" w:cs="Times New Roman"/>
                <w:sz w:val="22"/>
                <w:szCs w:val="22"/>
              </w:rPr>
              <w:t xml:space="preserve">omi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w:t>
            </w:r>
            <w:r w:rsidRPr="00DB1B3E">
              <w:rPr>
                <w:rFonts w:ascii="Times New Roman" w:hAnsi="Times New Roman" w:cs="Times New Roman" w:hint="cs"/>
                <w:sz w:val="22"/>
                <w:szCs w:val="22"/>
              </w:rPr>
              <w:t>ą</w:t>
            </w:r>
            <w:r w:rsidRPr="00DB1B3E">
              <w:rPr>
                <w:rFonts w:ascii="Times New Roman" w:hAnsi="Times New Roman" w:cs="Times New Roman"/>
                <w:sz w:val="22"/>
                <w:szCs w:val="22"/>
              </w:rPr>
              <w:t>, kuriame jie saugomi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o p</w:t>
            </w:r>
            <w:r w:rsidR="00A27564">
              <w:rPr>
                <w:rFonts w:ascii="Times New Roman" w:hAnsi="Times New Roman" w:cs="Times New Roman"/>
                <w:sz w:val="22"/>
                <w:szCs w:val="22"/>
              </w:rPr>
              <w:t>askui</w:t>
            </w:r>
            <w:r w:rsidRPr="00DB1B3E">
              <w:rPr>
                <w:rFonts w:ascii="Times New Roman" w:hAnsi="Times New Roman" w:cs="Times New Roman"/>
                <w:sz w:val="22"/>
                <w:szCs w:val="22"/>
              </w:rPr>
              <w:t xml:space="preserve"> sunaikinami.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registruoto ginklo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saugojimo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archyve trukm</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 skai</w:t>
            </w:r>
            <w:r w:rsidRPr="00DB1B3E">
              <w:rPr>
                <w:rFonts w:ascii="Times New Roman" w:hAnsi="Times New Roman" w:cs="Times New Roman" w:hint="cs"/>
                <w:sz w:val="22"/>
                <w:szCs w:val="22"/>
              </w:rPr>
              <w:t>č</w:t>
            </w:r>
            <w:r w:rsidRPr="00DB1B3E">
              <w:rPr>
                <w:rFonts w:ascii="Times New Roman" w:hAnsi="Times New Roman" w:cs="Times New Roman"/>
                <w:sz w:val="22"/>
                <w:szCs w:val="22"/>
              </w:rPr>
              <w:t>iuojama nuo ginklo sunaikinimo momento.</w:t>
            </w:r>
            <w:r w:rsidRPr="00DB1B3E">
              <w:rPr>
                <w:rFonts w:ascii="Times New Roman" w:hAnsi="Times New Roman" w:cs="Times New Roman" w:hint="cs"/>
                <w:sz w:val="22"/>
                <w:szCs w:val="22"/>
              </w:rPr>
              <w:t>“</w:t>
            </w:r>
          </w:p>
          <w:p w:rsidR="00DB1B3E" w:rsidRPr="00320573" w:rsidRDefault="00DB1B3E" w:rsidP="00DB1B3E">
            <w:pPr>
              <w:jc w:val="both"/>
              <w:rPr>
                <w:rFonts w:ascii="Times New Roman" w:hAnsi="Times New Roman" w:cs="Times New Roman"/>
                <w:sz w:val="22"/>
                <w:szCs w:val="22"/>
              </w:rPr>
            </w:pPr>
          </w:p>
          <w:p w:rsidR="001344C7" w:rsidRPr="00320573" w:rsidRDefault="00021C58">
            <w:pPr>
              <w:jc w:val="both"/>
              <w:rPr>
                <w:sz w:val="22"/>
                <w:szCs w:val="22"/>
              </w:rPr>
            </w:pPr>
            <w:r w:rsidRPr="00320573">
              <w:rPr>
                <w:rFonts w:ascii="Times New Roman" w:hAnsi="Times New Roman" w:cs="Times New Roman"/>
                <w:sz w:val="22"/>
                <w:szCs w:val="22"/>
              </w:rPr>
              <w:t xml:space="preserve">Ginklų registro nuostatų projekto </w:t>
            </w:r>
            <w:r w:rsidR="00DB1B3E">
              <w:rPr>
                <w:rFonts w:ascii="Times New Roman" w:hAnsi="Times New Roman" w:cs="Times New Roman"/>
                <w:sz w:val="22"/>
                <w:szCs w:val="22"/>
              </w:rPr>
              <w:t>1.11</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w:t>
            </w:r>
            <w:r w:rsidRPr="00320573">
              <w:rPr>
                <w:rFonts w:ascii="Times New Roman" w:hAnsi="Times New Roman" w:cs="Times New Roman"/>
                <w:sz w:val="22"/>
                <w:szCs w:val="22"/>
              </w:rPr>
              <w:t>s:</w:t>
            </w:r>
          </w:p>
          <w:p w:rsidR="00DB1B3E" w:rsidRPr="00DB1B3E" w:rsidRDefault="00DB1B3E" w:rsidP="00DB1B3E">
            <w:pPr>
              <w:tabs>
                <w:tab w:val="left" w:pos="571"/>
              </w:tabs>
              <w:jc w:val="both"/>
              <w:rPr>
                <w:rFonts w:ascii="Times New Roman" w:hAnsi="Times New Roman" w:cs="Times New Roman"/>
                <w:sz w:val="22"/>
                <w:szCs w:val="22"/>
              </w:rPr>
            </w:pPr>
            <w:r w:rsidRPr="00DB1B3E">
              <w:rPr>
                <w:rFonts w:ascii="Times New Roman" w:hAnsi="Times New Roman" w:cs="Times New Roman"/>
                <w:sz w:val="22"/>
                <w:szCs w:val="22"/>
              </w:rPr>
              <w:t>1.11.</w:t>
            </w:r>
            <w:r w:rsidRPr="00DB1B3E">
              <w:rPr>
                <w:rFonts w:ascii="Times New Roman" w:hAnsi="Times New Roman" w:cs="Times New Roman"/>
                <w:sz w:val="22"/>
                <w:szCs w:val="22"/>
              </w:rPr>
              <w:tab/>
              <w:t>Pakeisti 67 punkt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ir j</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d</w:t>
            </w:r>
            <w:r w:rsidRPr="00DB1B3E">
              <w:rPr>
                <w:rFonts w:ascii="Times New Roman" w:hAnsi="Times New Roman" w:cs="Times New Roman" w:hint="cs"/>
                <w:sz w:val="22"/>
                <w:szCs w:val="22"/>
              </w:rPr>
              <w:t>ė</w:t>
            </w:r>
            <w:r w:rsidRPr="00DB1B3E">
              <w:rPr>
                <w:rFonts w:ascii="Times New Roman" w:hAnsi="Times New Roman" w:cs="Times New Roman"/>
                <w:sz w:val="22"/>
                <w:szCs w:val="22"/>
              </w:rPr>
              <w:t>styti taip:</w:t>
            </w:r>
          </w:p>
          <w:p w:rsidR="001344C7" w:rsidRPr="00320573" w:rsidRDefault="00DB1B3E" w:rsidP="00DB1B3E">
            <w:pPr>
              <w:tabs>
                <w:tab w:val="left" w:pos="1080"/>
              </w:tabs>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67.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registravusi ginkl</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i</w:t>
            </w:r>
            <w:r w:rsidRPr="00DB1B3E">
              <w:rPr>
                <w:rFonts w:ascii="Times New Roman" w:hAnsi="Times New Roman" w:cs="Times New Roman" w:hint="cs"/>
                <w:sz w:val="22"/>
                <w:szCs w:val="22"/>
              </w:rPr>
              <w:t>š</w:t>
            </w:r>
            <w:r w:rsidRPr="00DB1B3E">
              <w:rPr>
                <w:rFonts w:ascii="Times New Roman" w:hAnsi="Times New Roman" w:cs="Times New Roman"/>
                <w:sz w:val="22"/>
                <w:szCs w:val="22"/>
              </w:rPr>
              <w:t xml:space="preserve"> Registro, Registro tvarkymo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staiga duomenis apie </w:t>
            </w:r>
            <w:r w:rsidRPr="00DB1B3E">
              <w:rPr>
                <w:rFonts w:ascii="Times New Roman" w:hAnsi="Times New Roman" w:cs="Times New Roman" w:hint="cs"/>
                <w:sz w:val="22"/>
                <w:szCs w:val="22"/>
              </w:rPr>
              <w:t>šį</w:t>
            </w:r>
            <w:r w:rsidRPr="00DB1B3E">
              <w:rPr>
                <w:rFonts w:ascii="Times New Roman" w:hAnsi="Times New Roman" w:cs="Times New Roman"/>
                <w:sz w:val="22"/>
                <w:szCs w:val="22"/>
              </w:rPr>
              <w:t xml:space="preserve"> ginkl</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su šiuo ginklu</w:t>
            </w:r>
            <w:r w:rsidR="00824C86" w:rsidRPr="00DB1B3E">
              <w:rPr>
                <w:rFonts w:ascii="Times New Roman" w:hAnsi="Times New Roman" w:cs="Times New Roman"/>
                <w:sz w:val="22"/>
                <w:szCs w:val="22"/>
              </w:rPr>
              <w:t xml:space="preserve"> </w:t>
            </w:r>
            <w:r w:rsidRPr="00DB1B3E">
              <w:rPr>
                <w:rFonts w:ascii="Times New Roman" w:hAnsi="Times New Roman" w:cs="Times New Roman"/>
                <w:sz w:val="22"/>
                <w:szCs w:val="22"/>
              </w:rPr>
              <w:t>susijusius</w:t>
            </w:r>
            <w:r w:rsidR="00A27564">
              <w:rPr>
                <w:rFonts w:ascii="Times New Roman" w:hAnsi="Times New Roman" w:cs="Times New Roman"/>
                <w:sz w:val="22"/>
                <w:szCs w:val="22"/>
              </w:rPr>
              <w:t xml:space="preserve"> </w:t>
            </w:r>
            <w:r w:rsidRPr="00DB1B3E">
              <w:rPr>
                <w:rFonts w:ascii="Times New Roman" w:hAnsi="Times New Roman" w:cs="Times New Roman"/>
                <w:sz w:val="22"/>
                <w:szCs w:val="22"/>
              </w:rPr>
              <w:t>asmens duomenis, per 10 darbo dien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perkelia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w:t>
            </w:r>
            <w:r w:rsidRPr="00DB1B3E">
              <w:rPr>
                <w:rFonts w:ascii="Times New Roman" w:hAnsi="Times New Roman" w:cs="Times New Roman" w:hint="cs"/>
                <w:sz w:val="22"/>
                <w:szCs w:val="22"/>
              </w:rPr>
              <w:t>ą</w:t>
            </w:r>
            <w:r w:rsidRPr="00DB1B3E">
              <w:rPr>
                <w:rFonts w:ascii="Times New Roman" w:hAnsi="Times New Roman" w:cs="Times New Roman"/>
                <w:sz w:val="22"/>
                <w:szCs w:val="22"/>
              </w:rPr>
              <w:t>, kuriame jie saugomi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o p</w:t>
            </w:r>
            <w:r w:rsidR="00A27564">
              <w:rPr>
                <w:rFonts w:ascii="Times New Roman" w:hAnsi="Times New Roman" w:cs="Times New Roman"/>
                <w:sz w:val="22"/>
                <w:szCs w:val="22"/>
              </w:rPr>
              <w:t>askui</w:t>
            </w:r>
            <w:r w:rsidRPr="00DB1B3E">
              <w:rPr>
                <w:rFonts w:ascii="Times New Roman" w:hAnsi="Times New Roman" w:cs="Times New Roman"/>
                <w:sz w:val="22"/>
                <w:szCs w:val="22"/>
              </w:rPr>
              <w:t xml:space="preserve"> sunaikinami. I</w:t>
            </w:r>
            <w:r w:rsidRPr="00DB1B3E">
              <w:rPr>
                <w:rFonts w:ascii="Times New Roman" w:hAnsi="Times New Roman" w:cs="Times New Roman" w:hint="cs"/>
                <w:sz w:val="22"/>
                <w:szCs w:val="22"/>
              </w:rPr>
              <w:t>š</w:t>
            </w:r>
            <w:r w:rsidRPr="00DB1B3E">
              <w:rPr>
                <w:rFonts w:ascii="Times New Roman" w:hAnsi="Times New Roman" w:cs="Times New Roman"/>
                <w:sz w:val="22"/>
                <w:szCs w:val="22"/>
              </w:rPr>
              <w:t>registruoto ginklo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 xml:space="preserve">su šiuo ginklu </w:t>
            </w:r>
            <w:r w:rsidRPr="00DB1B3E">
              <w:rPr>
                <w:rFonts w:ascii="Times New Roman" w:hAnsi="Times New Roman" w:cs="Times New Roman"/>
                <w:sz w:val="22"/>
                <w:szCs w:val="22"/>
              </w:rPr>
              <w:t>susijusius asmens duomenis, saugojimo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baz</w:t>
            </w:r>
            <w:r w:rsidRPr="00DB1B3E">
              <w:rPr>
                <w:rFonts w:ascii="Times New Roman" w:hAnsi="Times New Roman" w:cs="Times New Roman" w:hint="cs"/>
                <w:sz w:val="22"/>
                <w:szCs w:val="22"/>
              </w:rPr>
              <w:t>ė</w:t>
            </w:r>
            <w:r w:rsidRPr="00DB1B3E">
              <w:rPr>
                <w:rFonts w:ascii="Times New Roman" w:hAnsi="Times New Roman" w:cs="Times New Roman"/>
                <w:sz w:val="22"/>
                <w:szCs w:val="22"/>
              </w:rPr>
              <w:t>je ir Registro duomen</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archyve trukm</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 skai</w:t>
            </w:r>
            <w:r w:rsidRPr="00DB1B3E">
              <w:rPr>
                <w:rFonts w:ascii="Times New Roman" w:hAnsi="Times New Roman" w:cs="Times New Roman" w:hint="cs"/>
                <w:sz w:val="22"/>
                <w:szCs w:val="22"/>
              </w:rPr>
              <w:t>č</w:t>
            </w:r>
            <w:r w:rsidRPr="00DB1B3E">
              <w:rPr>
                <w:rFonts w:ascii="Times New Roman" w:hAnsi="Times New Roman" w:cs="Times New Roman"/>
                <w:sz w:val="22"/>
                <w:szCs w:val="22"/>
              </w:rPr>
              <w:t>iuojama nuo ginklo sunaikinimo momento.</w:t>
            </w:r>
            <w:r w:rsidRPr="00DB1B3E">
              <w:rPr>
                <w:rFonts w:ascii="Times New Roman" w:hAnsi="Times New Roman" w:cs="Times New Roman" w:hint="cs"/>
                <w:sz w:val="22"/>
                <w:szCs w:val="22"/>
              </w:rPr>
              <w:t>“</w:t>
            </w:r>
          </w:p>
          <w:p w:rsidR="001344C7" w:rsidRPr="00320573" w:rsidRDefault="001344C7">
            <w:pPr>
              <w:jc w:val="both"/>
              <w:rPr>
                <w:rFonts w:ascii="Times New Roman" w:hAnsi="Times New Roman" w:cs="Times New Roman"/>
                <w:sz w:val="22"/>
                <w:szCs w:val="22"/>
              </w:rPr>
            </w:pPr>
          </w:p>
          <w:p w:rsidR="001344C7" w:rsidRPr="00320573" w:rsidRDefault="00021C58">
            <w:pPr>
              <w:jc w:val="both"/>
              <w:rPr>
                <w:rFonts w:ascii="Times New Roman" w:hAnsi="Times New Roman" w:cs="Times New Roman"/>
                <w:sz w:val="22"/>
                <w:szCs w:val="22"/>
              </w:rPr>
            </w:pPr>
            <w:r w:rsidRPr="00320573">
              <w:rPr>
                <w:rFonts w:ascii="Times New Roman" w:hAnsi="Times New Roman" w:cs="Times New Roman"/>
                <w:sz w:val="22"/>
                <w:szCs w:val="22"/>
              </w:rPr>
              <w:lastRenderedPageBreak/>
              <w:t xml:space="preserve">Ginklų registro nuostatų projekto </w:t>
            </w:r>
            <w:r w:rsidR="00DB1B3E">
              <w:rPr>
                <w:rFonts w:ascii="Times New Roman" w:hAnsi="Times New Roman" w:cs="Times New Roman"/>
                <w:sz w:val="22"/>
                <w:szCs w:val="22"/>
              </w:rPr>
              <w:t>1.13</w:t>
            </w:r>
            <w:r w:rsidRPr="00320573">
              <w:rPr>
                <w:rFonts w:ascii="Times New Roman" w:hAnsi="Times New Roman" w:cs="Times New Roman"/>
                <w:sz w:val="22"/>
                <w:szCs w:val="22"/>
              </w:rPr>
              <w:t xml:space="preserve"> </w:t>
            </w:r>
            <w:r w:rsidR="00DB1B3E">
              <w:rPr>
                <w:rFonts w:ascii="Times New Roman" w:hAnsi="Times New Roman" w:cs="Times New Roman"/>
                <w:sz w:val="22"/>
                <w:szCs w:val="22"/>
              </w:rPr>
              <w:t>pa</w:t>
            </w:r>
            <w:r w:rsidRPr="00320573">
              <w:rPr>
                <w:rFonts w:ascii="Times New Roman" w:hAnsi="Times New Roman" w:cs="Times New Roman"/>
                <w:sz w:val="22"/>
                <w:szCs w:val="22"/>
              </w:rPr>
              <w:t>punkt</w:t>
            </w:r>
            <w:r w:rsidR="00DB1B3E">
              <w:rPr>
                <w:rFonts w:ascii="Times New Roman" w:hAnsi="Times New Roman" w:cs="Times New Roman"/>
                <w:sz w:val="22"/>
                <w:szCs w:val="22"/>
              </w:rPr>
              <w:t>is</w:t>
            </w:r>
            <w:r w:rsidRPr="00320573">
              <w:rPr>
                <w:rFonts w:ascii="Times New Roman" w:hAnsi="Times New Roman" w:cs="Times New Roman"/>
                <w:sz w:val="22"/>
                <w:szCs w:val="22"/>
              </w:rPr>
              <w:t>:</w:t>
            </w:r>
          </w:p>
          <w:p w:rsidR="00DB1B3E" w:rsidRPr="00DB1B3E" w:rsidRDefault="00DB1B3E" w:rsidP="00DB1B3E">
            <w:pPr>
              <w:jc w:val="both"/>
              <w:rPr>
                <w:rFonts w:ascii="Times New Roman" w:hAnsi="Times New Roman" w:cs="Times New Roman"/>
                <w:sz w:val="22"/>
                <w:szCs w:val="22"/>
              </w:rPr>
            </w:pPr>
            <w:r w:rsidRPr="00DB1B3E">
              <w:rPr>
                <w:rFonts w:ascii="Times New Roman" w:hAnsi="Times New Roman" w:cs="Times New Roman" w:hint="cs"/>
                <w:sz w:val="22"/>
                <w:szCs w:val="22"/>
              </w:rPr>
              <w:t>„</w:t>
            </w:r>
            <w:r w:rsidRPr="00DB1B3E">
              <w:rPr>
                <w:rFonts w:ascii="Times New Roman" w:hAnsi="Times New Roman" w:cs="Times New Roman"/>
                <w:sz w:val="22"/>
                <w:szCs w:val="22"/>
              </w:rPr>
              <w:t>78.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duomenys, </w:t>
            </w:r>
            <w:r w:rsidRPr="00DB1B3E">
              <w:rPr>
                <w:rFonts w:ascii="Times New Roman" w:hAnsi="Times New Roman" w:cs="Times New Roman" w:hint="cs"/>
                <w:sz w:val="22"/>
                <w:szCs w:val="22"/>
              </w:rPr>
              <w:t>į</w:t>
            </w:r>
            <w:r w:rsidRPr="00DB1B3E">
              <w:rPr>
                <w:rFonts w:ascii="Times New Roman" w:hAnsi="Times New Roman" w:cs="Times New Roman"/>
                <w:sz w:val="22"/>
                <w:szCs w:val="22"/>
              </w:rPr>
              <w:t xml:space="preserve">skaitant </w:t>
            </w:r>
            <w:r w:rsidR="00824C86">
              <w:rPr>
                <w:rFonts w:ascii="Times New Roman" w:hAnsi="Times New Roman" w:cs="Times New Roman"/>
                <w:sz w:val="22"/>
                <w:szCs w:val="22"/>
              </w:rPr>
              <w:t>su šiais ginklais</w:t>
            </w:r>
            <w:r w:rsidR="00824C86" w:rsidRPr="00DB1B3E">
              <w:rPr>
                <w:rFonts w:ascii="Times New Roman" w:hAnsi="Times New Roman" w:cs="Times New Roman"/>
                <w:sz w:val="22"/>
                <w:szCs w:val="22"/>
              </w:rPr>
              <w:t xml:space="preserve"> </w:t>
            </w:r>
            <w:r w:rsidRPr="00DB1B3E">
              <w:rPr>
                <w:rFonts w:ascii="Times New Roman" w:hAnsi="Times New Roman" w:cs="Times New Roman"/>
                <w:sz w:val="22"/>
                <w:szCs w:val="22"/>
              </w:rPr>
              <w:t>susijusius</w:t>
            </w:r>
            <w:r w:rsidR="00824C86">
              <w:rPr>
                <w:rFonts w:ascii="Times New Roman" w:hAnsi="Times New Roman" w:cs="Times New Roman"/>
                <w:sz w:val="22"/>
                <w:szCs w:val="22"/>
              </w:rPr>
              <w:t xml:space="preserve"> </w:t>
            </w:r>
            <w:r w:rsidRPr="00DB1B3E">
              <w:rPr>
                <w:rFonts w:ascii="Times New Roman" w:hAnsi="Times New Roman" w:cs="Times New Roman"/>
                <w:sz w:val="22"/>
                <w:szCs w:val="22"/>
              </w:rPr>
              <w:t>asmens duomenis, gali b</w:t>
            </w:r>
            <w:r w:rsidRPr="00DB1B3E">
              <w:rPr>
                <w:rFonts w:ascii="Times New Roman" w:hAnsi="Times New Roman" w:cs="Times New Roman" w:hint="cs"/>
                <w:sz w:val="22"/>
                <w:szCs w:val="22"/>
              </w:rPr>
              <w:t>ū</w:t>
            </w:r>
            <w:r w:rsidRPr="00DB1B3E">
              <w:rPr>
                <w:rFonts w:ascii="Times New Roman" w:hAnsi="Times New Roman" w:cs="Times New Roman"/>
                <w:sz w:val="22"/>
                <w:szCs w:val="22"/>
              </w:rPr>
              <w:t>ti teikiami teis</w:t>
            </w:r>
            <w:r w:rsidRPr="00DB1B3E">
              <w:rPr>
                <w:rFonts w:ascii="Times New Roman" w:hAnsi="Times New Roman" w:cs="Times New Roman" w:hint="cs"/>
                <w:sz w:val="22"/>
                <w:szCs w:val="22"/>
              </w:rPr>
              <w:t>ė</w:t>
            </w:r>
            <w:r w:rsidRPr="00DB1B3E">
              <w:rPr>
                <w:rFonts w:ascii="Times New Roman" w:hAnsi="Times New Roman" w:cs="Times New Roman"/>
                <w:sz w:val="22"/>
                <w:szCs w:val="22"/>
              </w:rPr>
              <w:t>s akt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nustatytoms funkcijoms vykdyti </w:t>
            </w:r>
            <w:r w:rsidRPr="00DB1B3E">
              <w:rPr>
                <w:rFonts w:ascii="Times New Roman" w:hAnsi="Times New Roman" w:cs="Times New Roman" w:hint="cs"/>
                <w:sz w:val="22"/>
                <w:szCs w:val="22"/>
              </w:rPr>
              <w:t>š</w:t>
            </w:r>
            <w:r w:rsidRPr="00DB1B3E">
              <w:rPr>
                <w:rFonts w:ascii="Times New Roman" w:hAnsi="Times New Roman" w:cs="Times New Roman"/>
                <w:sz w:val="22"/>
                <w:szCs w:val="22"/>
              </w:rPr>
              <w:t>ioms institucijoms:</w:t>
            </w:r>
          </w:p>
          <w:p w:rsidR="00DB1B3E" w:rsidRPr="00DB1B3E" w:rsidRDefault="00DB1B3E" w:rsidP="00DB1B3E">
            <w:pPr>
              <w:jc w:val="both"/>
              <w:rPr>
                <w:rFonts w:ascii="Times New Roman" w:hAnsi="Times New Roman" w:cs="Times New Roman"/>
                <w:sz w:val="22"/>
                <w:szCs w:val="22"/>
              </w:rPr>
            </w:pPr>
            <w:r w:rsidRPr="00DB1B3E">
              <w:rPr>
                <w:rFonts w:ascii="Times New Roman" w:hAnsi="Times New Roman" w:cs="Times New Roman"/>
                <w:sz w:val="22"/>
                <w:szCs w:val="22"/>
              </w:rPr>
              <w:t>78.1. ginkl</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apyvart</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Lietuvos Respublikoje kontroliuojan</w:t>
            </w:r>
            <w:r w:rsidRPr="00DB1B3E">
              <w:rPr>
                <w:rFonts w:ascii="Times New Roman" w:hAnsi="Times New Roman" w:cs="Times New Roman" w:hint="cs"/>
                <w:sz w:val="22"/>
                <w:szCs w:val="22"/>
              </w:rPr>
              <w:t>č</w:t>
            </w:r>
            <w:r w:rsidRPr="00DB1B3E">
              <w:rPr>
                <w:rFonts w:ascii="Times New Roman" w:hAnsi="Times New Roman" w:cs="Times New Roman"/>
                <w:sz w:val="22"/>
                <w:szCs w:val="22"/>
              </w:rPr>
              <w:t xml:space="preserve">ioms institucijoms, specialaus statuso subjektams, </w:t>
            </w:r>
            <w:r w:rsidRPr="00DB1B3E">
              <w:rPr>
                <w:rFonts w:ascii="Times New Roman" w:hAnsi="Times New Roman" w:cs="Times New Roman" w:hint="cs"/>
                <w:sz w:val="22"/>
                <w:szCs w:val="22"/>
              </w:rPr>
              <w:t>ž</w:t>
            </w:r>
            <w:r w:rsidRPr="00DB1B3E">
              <w:rPr>
                <w:rFonts w:ascii="Times New Roman" w:hAnsi="Times New Roman" w:cs="Times New Roman"/>
                <w:sz w:val="22"/>
                <w:szCs w:val="22"/>
              </w:rPr>
              <w:t>valgybos institucijoms, Valstybinei mokes</w:t>
            </w:r>
            <w:r w:rsidRPr="00DB1B3E">
              <w:rPr>
                <w:rFonts w:ascii="Times New Roman" w:hAnsi="Times New Roman" w:cs="Times New Roman" w:hint="cs"/>
                <w:sz w:val="22"/>
                <w:szCs w:val="22"/>
              </w:rPr>
              <w:t>č</w:t>
            </w:r>
            <w:r w:rsidRPr="00DB1B3E">
              <w:rPr>
                <w:rFonts w:ascii="Times New Roman" w:hAnsi="Times New Roman" w:cs="Times New Roman"/>
                <w:sz w:val="22"/>
                <w:szCs w:val="22"/>
              </w:rPr>
              <w:t>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inspekcijai prie Finans</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ministerijos, antstoliams, notarams 10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laikotarpiu po atitinkamo </w:t>
            </w:r>
            <w:r w:rsidRPr="00DB1B3E">
              <w:rPr>
                <w:rFonts w:ascii="Times New Roman" w:hAnsi="Times New Roman" w:cs="Times New Roman" w:hint="cs"/>
                <w:sz w:val="22"/>
                <w:szCs w:val="22"/>
              </w:rPr>
              <w:t>š</w:t>
            </w:r>
            <w:r w:rsidRPr="00DB1B3E">
              <w:rPr>
                <w:rFonts w:ascii="Times New Roman" w:hAnsi="Times New Roman" w:cs="Times New Roman"/>
                <w:sz w:val="22"/>
                <w:szCs w:val="22"/>
              </w:rPr>
              <w:t>aunamojo ginklo arba pagrindini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dali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sunaikinimo dienos;</w:t>
            </w:r>
          </w:p>
          <w:p w:rsidR="001344C7" w:rsidRPr="00320573" w:rsidRDefault="00DB1B3E" w:rsidP="00DB1B3E">
            <w:pPr>
              <w:tabs>
                <w:tab w:val="left" w:pos="1080"/>
              </w:tabs>
              <w:jc w:val="both"/>
              <w:rPr>
                <w:sz w:val="22"/>
                <w:szCs w:val="22"/>
              </w:rPr>
            </w:pPr>
            <w:r w:rsidRPr="00DB1B3E">
              <w:rPr>
                <w:rFonts w:ascii="Times New Roman" w:hAnsi="Times New Roman" w:cs="Times New Roman"/>
                <w:sz w:val="22"/>
                <w:szCs w:val="22"/>
              </w:rPr>
              <w:t xml:space="preserve">78.2. ikiteisminio tyrimo </w:t>
            </w:r>
            <w:r w:rsidRPr="00DB1B3E">
              <w:rPr>
                <w:rFonts w:ascii="Times New Roman" w:hAnsi="Times New Roman" w:cs="Times New Roman" w:hint="cs"/>
                <w:sz w:val="22"/>
                <w:szCs w:val="22"/>
              </w:rPr>
              <w:t>į</w:t>
            </w:r>
            <w:r w:rsidRPr="00DB1B3E">
              <w:rPr>
                <w:rFonts w:ascii="Times New Roman" w:hAnsi="Times New Roman" w:cs="Times New Roman"/>
                <w:sz w:val="22"/>
                <w:szCs w:val="22"/>
              </w:rPr>
              <w:t>staigoms, kriminalin</w:t>
            </w:r>
            <w:r w:rsidRPr="00DB1B3E">
              <w:rPr>
                <w:rFonts w:ascii="Times New Roman" w:hAnsi="Times New Roman" w:cs="Times New Roman" w:hint="cs"/>
                <w:sz w:val="22"/>
                <w:szCs w:val="22"/>
              </w:rPr>
              <w:t>ė</w:t>
            </w:r>
            <w:r w:rsidRPr="00DB1B3E">
              <w:rPr>
                <w:rFonts w:ascii="Times New Roman" w:hAnsi="Times New Roman" w:cs="Times New Roman"/>
                <w:sz w:val="22"/>
                <w:szCs w:val="22"/>
              </w:rPr>
              <w:t xml:space="preserve">s </w:t>
            </w:r>
            <w:r w:rsidRPr="00DB1B3E">
              <w:rPr>
                <w:rFonts w:ascii="Times New Roman" w:hAnsi="Times New Roman" w:cs="Times New Roman" w:hint="cs"/>
                <w:sz w:val="22"/>
                <w:szCs w:val="22"/>
              </w:rPr>
              <w:t>ž</w:t>
            </w:r>
            <w:r w:rsidRPr="00DB1B3E">
              <w:rPr>
                <w:rFonts w:ascii="Times New Roman" w:hAnsi="Times New Roman" w:cs="Times New Roman"/>
                <w:sz w:val="22"/>
                <w:szCs w:val="22"/>
              </w:rPr>
              <w:t>valgybos subjektams, teisingum</w:t>
            </w:r>
            <w:r w:rsidRPr="00DB1B3E">
              <w:rPr>
                <w:rFonts w:ascii="Times New Roman" w:hAnsi="Times New Roman" w:cs="Times New Roman" w:hint="cs"/>
                <w:sz w:val="22"/>
                <w:szCs w:val="22"/>
              </w:rPr>
              <w:t>ą</w:t>
            </w:r>
            <w:r w:rsidRPr="00DB1B3E">
              <w:rPr>
                <w:rFonts w:ascii="Times New Roman" w:hAnsi="Times New Roman" w:cs="Times New Roman"/>
                <w:sz w:val="22"/>
                <w:szCs w:val="22"/>
              </w:rPr>
              <w:t xml:space="preserve"> baud</w:t>
            </w:r>
            <w:r w:rsidRPr="00DB1B3E">
              <w:rPr>
                <w:rFonts w:ascii="Times New Roman" w:hAnsi="Times New Roman" w:cs="Times New Roman" w:hint="cs"/>
                <w:sz w:val="22"/>
                <w:szCs w:val="22"/>
              </w:rPr>
              <w:t>ž</w:t>
            </w:r>
            <w:r w:rsidRPr="00DB1B3E">
              <w:rPr>
                <w:rFonts w:ascii="Times New Roman" w:hAnsi="Times New Roman" w:cs="Times New Roman"/>
                <w:sz w:val="22"/>
                <w:szCs w:val="22"/>
              </w:rPr>
              <w:t>iamajame procese vykdantiems teismams, prokurat</w:t>
            </w:r>
            <w:r w:rsidRPr="00DB1B3E">
              <w:rPr>
                <w:rFonts w:ascii="Times New Roman" w:hAnsi="Times New Roman" w:cs="Times New Roman" w:hint="cs"/>
                <w:sz w:val="22"/>
                <w:szCs w:val="22"/>
              </w:rPr>
              <w:t>ū</w:t>
            </w:r>
            <w:r w:rsidRPr="00DB1B3E">
              <w:rPr>
                <w:rFonts w:ascii="Times New Roman" w:hAnsi="Times New Roman" w:cs="Times New Roman"/>
                <w:sz w:val="22"/>
                <w:szCs w:val="22"/>
              </w:rPr>
              <w:t>rai 30 met</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laikotarpiu po atitinkamo </w:t>
            </w:r>
            <w:r w:rsidRPr="00DB1B3E">
              <w:rPr>
                <w:rFonts w:ascii="Times New Roman" w:hAnsi="Times New Roman" w:cs="Times New Roman" w:hint="cs"/>
                <w:sz w:val="22"/>
                <w:szCs w:val="22"/>
              </w:rPr>
              <w:t>š</w:t>
            </w:r>
            <w:r w:rsidRPr="00DB1B3E">
              <w:rPr>
                <w:rFonts w:ascii="Times New Roman" w:hAnsi="Times New Roman" w:cs="Times New Roman"/>
                <w:sz w:val="22"/>
                <w:szCs w:val="22"/>
              </w:rPr>
              <w:t>aunamojo ginklo arba pagrindini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dali</w:t>
            </w:r>
            <w:r w:rsidRPr="00DB1B3E">
              <w:rPr>
                <w:rFonts w:ascii="Times New Roman" w:hAnsi="Times New Roman" w:cs="Times New Roman" w:hint="cs"/>
                <w:sz w:val="22"/>
                <w:szCs w:val="22"/>
              </w:rPr>
              <w:t>ų</w:t>
            </w:r>
            <w:r w:rsidRPr="00DB1B3E">
              <w:rPr>
                <w:rFonts w:ascii="Times New Roman" w:hAnsi="Times New Roman" w:cs="Times New Roman"/>
                <w:sz w:val="22"/>
                <w:szCs w:val="22"/>
              </w:rPr>
              <w:t xml:space="preserve"> sunaikinimo dienos.</w:t>
            </w:r>
            <w:r w:rsidRPr="00DB1B3E">
              <w:rPr>
                <w:rFonts w:ascii="Times New Roman" w:hAnsi="Times New Roman" w:cs="Times New Roman" w:hint="cs"/>
                <w:sz w:val="22"/>
                <w:szCs w:val="22"/>
              </w:rPr>
              <w:t>“</w:t>
            </w:r>
          </w:p>
        </w:tc>
        <w:tc>
          <w:tcPr>
            <w:tcW w:w="130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1344C7" w:rsidRPr="00320573" w:rsidRDefault="00320573">
            <w:pPr>
              <w:pStyle w:val="Nurodytoformatotekstas"/>
              <w:rPr>
                <w:rFonts w:ascii="Times New Roman" w:hAnsi="Times New Roman" w:cs="Times New Roman"/>
                <w:sz w:val="22"/>
                <w:szCs w:val="22"/>
              </w:rPr>
            </w:pPr>
            <w:r w:rsidRPr="00320573">
              <w:rPr>
                <w:rFonts w:ascii="Times New Roman" w:hAnsi="Times New Roman" w:cs="Times New Roman"/>
                <w:sz w:val="22"/>
                <w:szCs w:val="22"/>
              </w:rPr>
              <w:lastRenderedPageBreak/>
              <w:t>Visiškas</w:t>
            </w:r>
          </w:p>
        </w:tc>
      </w:tr>
    </w:tbl>
    <w:p w:rsidR="001344C7" w:rsidRDefault="001344C7">
      <w:pPr>
        <w:rPr>
          <w:rFonts w:ascii="Times New Roman" w:hAnsi="Times New Roman" w:cs="Times New Roman"/>
          <w:sz w:val="22"/>
          <w:szCs w:val="22"/>
        </w:rPr>
      </w:pPr>
    </w:p>
    <w:p w:rsidR="001344C7" w:rsidRDefault="00021C58">
      <w:pPr>
        <w:jc w:val="center"/>
      </w:pPr>
      <w:r>
        <w:rPr>
          <w:rFonts w:ascii="Times New Roman" w:hAnsi="Times New Roman" w:cs="Times New Roman"/>
          <w:sz w:val="22"/>
          <w:szCs w:val="22"/>
        </w:rPr>
        <w:t>_______________</w:t>
      </w:r>
    </w:p>
    <w:sectPr w:rsidR="001344C7">
      <w:headerReference w:type="default" r:id="rId7"/>
      <w:footerReference w:type="default" r:id="rId8"/>
      <w:pgSz w:w="11906" w:h="16838"/>
      <w:pgMar w:top="1134" w:right="1134" w:bottom="1134" w:left="1134" w:header="0"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59C" w:rsidRDefault="00FE459C">
      <w:r>
        <w:separator/>
      </w:r>
    </w:p>
  </w:endnote>
  <w:endnote w:type="continuationSeparator" w:id="0">
    <w:p w:rsidR="00FE459C" w:rsidRDefault="00FE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EUAlbertina">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C7" w:rsidRDefault="001344C7">
    <w:pPr>
      <w:pStyle w:val="Porat"/>
      <w:jc w:val="center"/>
    </w:pPr>
  </w:p>
  <w:p w:rsidR="001344C7" w:rsidRDefault="001344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59C" w:rsidRDefault="00FE459C">
      <w:r>
        <w:separator/>
      </w:r>
    </w:p>
  </w:footnote>
  <w:footnote w:type="continuationSeparator" w:id="0">
    <w:p w:rsidR="00FE459C" w:rsidRDefault="00FE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30848"/>
      <w:docPartObj>
        <w:docPartGallery w:val="Page Numbers (Top of Page)"/>
        <w:docPartUnique/>
      </w:docPartObj>
    </w:sdtPr>
    <w:sdtEndPr/>
    <w:sdtContent>
      <w:p w:rsidR="001344C7" w:rsidRDefault="00021C58">
        <w:pPr>
          <w:pStyle w:val="Antrats"/>
          <w:jc w:val="center"/>
        </w:pPr>
        <w:r>
          <w:fldChar w:fldCharType="begin"/>
        </w:r>
        <w:r>
          <w:instrText>PAGE</w:instrText>
        </w:r>
        <w:r>
          <w:fldChar w:fldCharType="separate"/>
        </w:r>
        <w:r w:rsidR="00D019D7">
          <w:rPr>
            <w:noProof/>
          </w:rPr>
          <w:t>5</w:t>
        </w:r>
        <w:r>
          <w:fldChar w:fldCharType="end"/>
        </w:r>
      </w:p>
    </w:sdtContent>
  </w:sdt>
  <w:p w:rsidR="001344C7" w:rsidRDefault="001344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066AF"/>
    <w:multiLevelType w:val="multilevel"/>
    <w:tmpl w:val="1D604A9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96707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2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C7"/>
    <w:rsid w:val="00021C58"/>
    <w:rsid w:val="00051387"/>
    <w:rsid w:val="000A01C1"/>
    <w:rsid w:val="001244EA"/>
    <w:rsid w:val="001344C7"/>
    <w:rsid w:val="001F563A"/>
    <w:rsid w:val="00265A41"/>
    <w:rsid w:val="002D0B4B"/>
    <w:rsid w:val="00320573"/>
    <w:rsid w:val="00423F7A"/>
    <w:rsid w:val="004622BD"/>
    <w:rsid w:val="00472A84"/>
    <w:rsid w:val="005149B4"/>
    <w:rsid w:val="00590A17"/>
    <w:rsid w:val="005E3339"/>
    <w:rsid w:val="006D7C2A"/>
    <w:rsid w:val="00797621"/>
    <w:rsid w:val="007D148F"/>
    <w:rsid w:val="00824C86"/>
    <w:rsid w:val="00924565"/>
    <w:rsid w:val="009A357B"/>
    <w:rsid w:val="00A27564"/>
    <w:rsid w:val="00AE0683"/>
    <w:rsid w:val="00AF5CA8"/>
    <w:rsid w:val="00B34CF6"/>
    <w:rsid w:val="00D019D7"/>
    <w:rsid w:val="00D50D6E"/>
    <w:rsid w:val="00DB1B3E"/>
    <w:rsid w:val="00DB448E"/>
    <w:rsid w:val="00DC0EAD"/>
    <w:rsid w:val="00DE6F42"/>
    <w:rsid w:val="00E869F4"/>
    <w:rsid w:val="00EA2489"/>
    <w:rsid w:val="00F00A40"/>
    <w:rsid w:val="00F169B2"/>
    <w:rsid w:val="00F46FFC"/>
    <w:rsid w:val="00F82ED0"/>
    <w:rsid w:val="00F904F9"/>
    <w:rsid w:val="00FE2149"/>
    <w:rsid w:val="00FE45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390FF-D42C-4913-B768-035561E2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ascii="Liberation Serif;Times New Roma" w:eastAsia="SimSun;宋体" w:hAnsi="Liberation Serif;Times New Roma"/>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DefaultParagraphFont">
    <w:name w:val="WW-Default Paragraph Font"/>
    <w:qFormat/>
  </w:style>
  <w:style w:type="character" w:customStyle="1" w:styleId="InternetLink">
    <w:name w:val="Internet Link"/>
    <w:qFormat/>
    <w:rPr>
      <w:color w:val="000080"/>
      <w:u w:val="single"/>
    </w:rPr>
  </w:style>
  <w:style w:type="character" w:styleId="Komentaronuoroda">
    <w:name w:val="annotation reference"/>
    <w:qFormat/>
    <w:rPr>
      <w:sz w:val="16"/>
      <w:szCs w:val="16"/>
    </w:rPr>
  </w:style>
  <w:style w:type="character" w:customStyle="1" w:styleId="CommentTextChar">
    <w:name w:val="Comment Text Char"/>
    <w:qFormat/>
    <w:rPr>
      <w:rFonts w:cs="Mangal"/>
      <w:color w:val="00000A"/>
      <w:szCs w:val="18"/>
    </w:rPr>
  </w:style>
  <w:style w:type="character" w:customStyle="1" w:styleId="CommentSubjectChar">
    <w:name w:val="Comment Subject Char"/>
    <w:qFormat/>
    <w:rPr>
      <w:rFonts w:cs="Mangal"/>
      <w:b/>
      <w:bCs/>
      <w:color w:val="00000A"/>
      <w:szCs w:val="18"/>
    </w:rPr>
  </w:style>
  <w:style w:type="character" w:customStyle="1" w:styleId="BalloonTextChar">
    <w:name w:val="Balloon Text Char"/>
    <w:qFormat/>
    <w:rPr>
      <w:rFonts w:ascii="Tahoma" w:hAnsi="Tahoma" w:cs="Mangal"/>
      <w:color w:val="00000A"/>
      <w:sz w:val="16"/>
      <w:szCs w:val="14"/>
    </w:rPr>
  </w:style>
  <w:style w:type="character" w:customStyle="1" w:styleId="CommentReference1">
    <w:name w:val="Comment Reference1"/>
    <w:qFormat/>
    <w:rPr>
      <w:sz w:val="16"/>
      <w:szCs w:val="16"/>
    </w:rPr>
  </w:style>
  <w:style w:type="character" w:customStyle="1" w:styleId="CommentTextChar1">
    <w:name w:val="Comment Text Char1"/>
    <w:qFormat/>
    <w:rPr>
      <w:rFonts w:ascii="Liberation Serif;Times New Roma" w:eastAsia="SimSun;宋体" w:hAnsi="Liberation Serif;Times New Roma" w:cs="Mangal"/>
      <w:color w:val="00000A"/>
      <w:szCs w:val="18"/>
      <w:lang w:eastAsia="zh-CN" w:bidi="hi-IN"/>
    </w:rPr>
  </w:style>
  <w:style w:type="character" w:customStyle="1" w:styleId="CommentSubjectChar1">
    <w:name w:val="Comment Subject Char1"/>
    <w:qFormat/>
    <w:rPr>
      <w:rFonts w:ascii="Liberation Serif;Times New Roma" w:eastAsia="SimSun;宋体" w:hAnsi="Liberation Serif;Times New Roma" w:cs="Mangal"/>
      <w:b/>
      <w:bCs/>
      <w:color w:val="00000A"/>
      <w:szCs w:val="18"/>
      <w:lang w:eastAsia="zh-CN" w:bidi="hi-IN"/>
    </w:rPr>
  </w:style>
  <w:style w:type="character" w:customStyle="1" w:styleId="Internetosaitas">
    <w:name w:val="Interneto saitas"/>
    <w:qFormat/>
    <w:rPr>
      <w:color w:val="000080"/>
      <w:u w:val="single"/>
    </w:rPr>
  </w:style>
  <w:style w:type="character" w:customStyle="1" w:styleId="AntratsDiagrama">
    <w:name w:val="Antraštės Diagrama"/>
    <w:basedOn w:val="Numatytasispastraiposriftas"/>
    <w:link w:val="Antrats"/>
    <w:uiPriority w:val="99"/>
    <w:qFormat/>
    <w:rsid w:val="00156447"/>
    <w:rPr>
      <w:rFonts w:ascii="Liberation Serif;Times New Roma" w:eastAsia="SimSun;宋体" w:hAnsi="Liberation Serif;Times New Roma" w:cs="Mangal"/>
      <w:color w:val="00000A"/>
      <w:sz w:val="24"/>
      <w:szCs w:val="21"/>
    </w:rPr>
  </w:style>
  <w:style w:type="character" w:customStyle="1" w:styleId="PoratDiagrama">
    <w:name w:val="Poraštė Diagrama"/>
    <w:basedOn w:val="Numatytasispastraiposriftas"/>
    <w:link w:val="Porat"/>
    <w:uiPriority w:val="99"/>
    <w:qFormat/>
    <w:rsid w:val="00156447"/>
    <w:rPr>
      <w:rFonts w:ascii="Liberation Serif;Times New Roma" w:eastAsia="SimSun;宋体" w:hAnsi="Liberation Serif;Times New Roma" w:cs="Mangal"/>
      <w:color w:val="00000A"/>
      <w:sz w:val="24"/>
      <w:szCs w:val="21"/>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Rodykl">
    <w:name w:val="Rodyklė"/>
    <w:basedOn w:val="prastasis"/>
    <w:qFormat/>
    <w:pPr>
      <w:suppressLineNumbers/>
    </w:pPr>
  </w:style>
  <w:style w:type="paragraph" w:customStyle="1" w:styleId="Lentelsturinys">
    <w:name w:val="Lentelės turinys"/>
    <w:basedOn w:val="prastasis"/>
    <w:qFormat/>
    <w:pPr>
      <w:suppressLineNumbers/>
    </w:pPr>
  </w:style>
  <w:style w:type="paragraph" w:customStyle="1" w:styleId="Default">
    <w:name w:val="Default"/>
    <w:qFormat/>
    <w:pPr>
      <w:suppressAutoHyphens/>
    </w:pPr>
    <w:rPr>
      <w:rFonts w:ascii="EUAlbertina" w:eastAsia="SimSun;宋体" w:hAnsi="EUAlbertina"/>
      <w:color w:val="000000"/>
      <w:sz w:val="24"/>
    </w:rPr>
  </w:style>
  <w:style w:type="paragraph" w:customStyle="1" w:styleId="Lentelsantrat">
    <w:name w:val="Lentelės antraštė"/>
    <w:basedOn w:val="Lentelsturinys"/>
    <w:qFormat/>
  </w:style>
  <w:style w:type="paragraph" w:customStyle="1" w:styleId="Nurodytoformatotekstas">
    <w:name w:val="Nurodyto formato tekstas"/>
    <w:basedOn w:val="prastasis"/>
    <w:qFormat/>
  </w:style>
  <w:style w:type="paragraph" w:styleId="Komentarotekstas">
    <w:name w:val="annotation text"/>
    <w:basedOn w:val="prastasis"/>
    <w:qFormat/>
    <w:rPr>
      <w:rFonts w:cs="Mangal"/>
      <w:sz w:val="20"/>
      <w:szCs w:val="18"/>
    </w:rPr>
  </w:style>
  <w:style w:type="paragraph" w:styleId="Komentarotema">
    <w:name w:val="annotation subject"/>
    <w:basedOn w:val="Komentarotekstas"/>
    <w:qFormat/>
    <w:rPr>
      <w:b/>
      <w:bCs/>
    </w:rPr>
  </w:style>
  <w:style w:type="paragraph" w:styleId="Debesliotekstas">
    <w:name w:val="Balloon Text"/>
    <w:basedOn w:val="prastasis"/>
    <w:qFormat/>
    <w:rPr>
      <w:rFonts w:ascii="Tahoma" w:hAnsi="Tahoma" w:cs="Mangal"/>
      <w:sz w:val="16"/>
      <w:szCs w:val="14"/>
    </w:rPr>
  </w:style>
  <w:style w:type="paragraph" w:customStyle="1" w:styleId="CommentText1">
    <w:name w:val="Comment Text1"/>
    <w:basedOn w:val="prastasis"/>
    <w:qFormat/>
    <w:rPr>
      <w:rFonts w:cs="Mangal"/>
      <w:sz w:val="20"/>
      <w:szCs w:val="18"/>
    </w:rPr>
  </w:style>
  <w:style w:type="paragraph" w:customStyle="1" w:styleId="CommentSubject1">
    <w:name w:val="Comment Subject1"/>
    <w:basedOn w:val="CommentText1"/>
    <w:qFormat/>
    <w:rPr>
      <w:b/>
      <w:bCs/>
    </w:rPr>
  </w:style>
  <w:style w:type="paragraph" w:styleId="Sraopastraipa">
    <w:name w:val="List Paragraph"/>
    <w:basedOn w:val="prastasis"/>
    <w:qFormat/>
    <w:rsid w:val="00577A28"/>
    <w:pPr>
      <w:ind w:left="720"/>
      <w:contextualSpacing/>
    </w:pPr>
    <w:rPr>
      <w:rFonts w:cs="Mangal"/>
      <w:szCs w:val="21"/>
    </w:rPr>
  </w:style>
  <w:style w:type="paragraph" w:styleId="Antrats">
    <w:name w:val="header"/>
    <w:basedOn w:val="prastasis"/>
    <w:link w:val="AntratsDiagrama"/>
    <w:uiPriority w:val="99"/>
    <w:unhideWhenUsed/>
    <w:rsid w:val="00156447"/>
    <w:pPr>
      <w:tabs>
        <w:tab w:val="center" w:pos="4819"/>
        <w:tab w:val="right" w:pos="9638"/>
      </w:tabs>
    </w:pPr>
    <w:rPr>
      <w:rFonts w:cs="Mangal"/>
      <w:szCs w:val="21"/>
    </w:rPr>
  </w:style>
  <w:style w:type="paragraph" w:styleId="Porat">
    <w:name w:val="footer"/>
    <w:basedOn w:val="prastasis"/>
    <w:link w:val="PoratDiagrama"/>
    <w:uiPriority w:val="99"/>
    <w:unhideWhenUsed/>
    <w:rsid w:val="00156447"/>
    <w:pPr>
      <w:tabs>
        <w:tab w:val="center" w:pos="4819"/>
        <w:tab w:val="right" w:pos="9638"/>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8682</Words>
  <Characters>4949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EUROPOS  PARLAMENTO  IR  TARYBOS  DIREKTYVA  (ES)  2017/  853  -  2017  m.  gegužės  17  d.  -  kuria  iš  dalies  keičiama  Tarybos  direktyva  91/  477/  EEB  dėl  ginklų  įsigijimo  ir  laikymo  kontrolės</vt:lpstr>
    </vt:vector>
  </TitlesOfParts>
  <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2019-07-08T08:12:00Z</dcterms:created>
  <dc:creator>Publications Office</dc:creator>
  <dc:language>lt-LT</dc:language>
  <cp:lastModifiedBy>Alvydas Tumasonis</cp:lastModifiedBy>
  <dcterms:modified xsi:type="dcterms:W3CDTF">2019-07-08T09:10:00Z</dcterms:modified>
  <cp:revision>3</cp:revision>
  <dc:title>EUROPOS  PARLAMENTO  IR  TARYBOS  DIREKTYVA  (ES)  2017/  853  -  2017  m.  gegužės  17  d.  -  kuria  iš  dalies  keičiama  Tarybos  direktyva  91/  477/  EEB  dėl  ginklų  įsigijimo  ir  laikymo  kontrolės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