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45429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7454292" w14:textId="77777777" w:rsidR="00676E45" w:rsidRDefault="00676E45">
      <w:pPr>
        <w:jc w:val="center"/>
      </w:pPr>
    </w:p>
    <w:p w14:paraId="6745429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74542DA" wp14:editId="674542DB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429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7454295" w14:textId="77777777" w:rsidR="00676E45" w:rsidRDefault="00676E45">
      <w:pPr>
        <w:jc w:val="center"/>
      </w:pPr>
    </w:p>
    <w:p w14:paraId="67454296" w14:textId="77777777" w:rsidR="00676E45" w:rsidRDefault="00676E45">
      <w:pPr>
        <w:jc w:val="center"/>
      </w:pPr>
    </w:p>
    <w:p w14:paraId="67454297" w14:textId="77777777" w:rsidR="00676E45" w:rsidRDefault="00676E45">
      <w:pPr>
        <w:jc w:val="center"/>
      </w:pPr>
    </w:p>
    <w:p w14:paraId="67454298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74542A1" w14:textId="77777777" w:rsidTr="00F24EC4">
        <w:tc>
          <w:tcPr>
            <w:tcW w:w="4927" w:type="dxa"/>
          </w:tcPr>
          <w:p w14:paraId="67454299" w14:textId="77777777" w:rsidR="00557D1C" w:rsidRDefault="00F21E17">
            <w:permStart w:id="170737991" w:edGrp="everyone"/>
            <w:r>
              <w:t xml:space="preserve">Ekonomikos ir inovacijų </w:t>
            </w:r>
            <w:r w:rsidR="00221EF0">
              <w:t>ministerijai</w:t>
            </w:r>
          </w:p>
          <w:p w14:paraId="6745429A" w14:textId="77777777" w:rsidR="002B10FF" w:rsidRDefault="002B10FF"/>
          <w:p w14:paraId="6745429B" w14:textId="77777777" w:rsidR="009A1BCE" w:rsidRDefault="00F21E17">
            <w:r>
              <w:t>Kopija</w:t>
            </w:r>
          </w:p>
          <w:p w14:paraId="6745429C" w14:textId="77777777" w:rsidR="00844580" w:rsidRDefault="00F21E17">
            <w:r>
              <w:t>Vyriausybės kanceliarijai</w:t>
            </w:r>
          </w:p>
          <w:p w14:paraId="6745429D" w14:textId="77777777" w:rsidR="00C079F8" w:rsidRDefault="00C079F8">
            <w:r>
              <w:t>VšĮ „Stebėsenos ir prognozių agentūra“</w:t>
            </w:r>
          </w:p>
          <w:p w14:paraId="6745429E" w14:textId="77777777" w:rsidR="002B10FF" w:rsidRDefault="002B10FF"/>
        </w:tc>
        <w:tc>
          <w:tcPr>
            <w:tcW w:w="4820" w:type="dxa"/>
          </w:tcPr>
          <w:p w14:paraId="6745429F" w14:textId="77777777" w:rsidR="002B10FF" w:rsidRDefault="002B10FF"/>
          <w:p w14:paraId="674542A0" w14:textId="77777777" w:rsidR="00676E45" w:rsidRDefault="00F851DB" w:rsidP="00F21E17">
            <w:r>
              <w:t xml:space="preserve">Į </w:t>
            </w:r>
            <w:r w:rsidR="00221EF0">
              <w:t>2019-0</w:t>
            </w:r>
            <w:r w:rsidR="00E42B38">
              <w:t>7-</w:t>
            </w:r>
            <w:r w:rsidR="00F21E17">
              <w:t>24</w:t>
            </w:r>
            <w:r w:rsidR="00221EF0">
              <w:t xml:space="preserve">  Nr. </w:t>
            </w:r>
            <w:r w:rsidR="00F21E17">
              <w:t>S-2549</w:t>
            </w:r>
          </w:p>
        </w:tc>
      </w:tr>
      <w:tr w:rsidR="00C612D0" w:rsidRPr="00B62CC5" w14:paraId="674542A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74542A2" w14:textId="77777777" w:rsidR="00F21E17" w:rsidRDefault="00F21E17" w:rsidP="002E5F18">
            <w:pPr>
              <w:jc w:val="both"/>
              <w:rPr>
                <w:b/>
                <w:szCs w:val="24"/>
              </w:rPr>
            </w:pPr>
          </w:p>
          <w:p w14:paraId="674542A3" w14:textId="77777777" w:rsidR="00F21E17" w:rsidRDefault="009A1BCE" w:rsidP="002E5F18">
            <w:pPr>
              <w:jc w:val="both"/>
              <w:rPr>
                <w:b/>
                <w:szCs w:val="24"/>
              </w:rPr>
            </w:pPr>
            <w:r w:rsidRPr="00A5342E">
              <w:rPr>
                <w:b/>
                <w:szCs w:val="24"/>
              </w:rPr>
              <w:t xml:space="preserve">DĖL </w:t>
            </w:r>
            <w:r w:rsidR="00F21E17">
              <w:rPr>
                <w:b/>
                <w:szCs w:val="24"/>
              </w:rPr>
              <w:t>2018 M. VALSTYBĖS VALDOMŲ ĮMONIŲ STRATEGIJŲ ĮGYVENDINIMO ATASKAITOS</w:t>
            </w:r>
          </w:p>
          <w:p w14:paraId="674542A4" w14:textId="77777777" w:rsidR="00C612D0" w:rsidRPr="00B62CC5" w:rsidRDefault="00C612D0" w:rsidP="002E5F18">
            <w:pPr>
              <w:jc w:val="both"/>
              <w:rPr>
                <w:b/>
              </w:rPr>
            </w:pPr>
          </w:p>
        </w:tc>
      </w:tr>
    </w:tbl>
    <w:p w14:paraId="674542A6" w14:textId="77777777" w:rsidR="00925D8E" w:rsidRDefault="00925D8E" w:rsidP="003467F7">
      <w:pPr>
        <w:ind w:firstLine="720"/>
        <w:jc w:val="both"/>
        <w:rPr>
          <w:szCs w:val="24"/>
        </w:rPr>
      </w:pPr>
    </w:p>
    <w:p w14:paraId="674542A7" w14:textId="77777777" w:rsidR="003467F7" w:rsidRPr="00F21E17" w:rsidRDefault="00F21E17" w:rsidP="003467F7">
      <w:pPr>
        <w:ind w:firstLine="720"/>
        <w:jc w:val="both"/>
        <w:rPr>
          <w:color w:val="000000"/>
          <w:szCs w:val="24"/>
        </w:rPr>
      </w:pPr>
      <w:r w:rsidRPr="00FB49F8">
        <w:rPr>
          <w:szCs w:val="24"/>
        </w:rPr>
        <w:t xml:space="preserve">Finansų ministerija, vykdydama Lietuvos Respublikos Ministro Pirmininko pavedimą, įformintą 2019 m. liepos 24 d. rezoliucija Nr. S-2549, išnagrinėjo VšĮ „Stebėsenos ir prognozių agentūra“ </w:t>
      </w:r>
      <w:r w:rsidR="00FA4CBF" w:rsidRPr="00FB49F8">
        <w:rPr>
          <w:szCs w:val="24"/>
        </w:rPr>
        <w:t xml:space="preserve">(toliau </w:t>
      </w:r>
      <w:r w:rsidR="0008023D" w:rsidRPr="00FB49F8">
        <w:rPr>
          <w:szCs w:val="24"/>
        </w:rPr>
        <w:t xml:space="preserve">– SIPA) </w:t>
      </w:r>
      <w:r w:rsidRPr="00FB49F8">
        <w:rPr>
          <w:szCs w:val="24"/>
        </w:rPr>
        <w:t>parengtą valstybės valdomų įmonių strategijų įgyvendinimo ataskait</w:t>
      </w:r>
      <w:r w:rsidR="008C13B7">
        <w:t>ą</w:t>
      </w:r>
      <w:r w:rsidR="004048C5">
        <w:t xml:space="preserve"> (toliau – At</w:t>
      </w:r>
      <w:r w:rsidR="003467F7">
        <w:t>a</w:t>
      </w:r>
      <w:r w:rsidR="004048C5">
        <w:t>sk</w:t>
      </w:r>
      <w:r w:rsidR="003467F7">
        <w:t>a</w:t>
      </w:r>
      <w:r w:rsidR="004048C5">
        <w:t>ita)</w:t>
      </w:r>
      <w:r w:rsidR="008C13B7">
        <w:t>.</w:t>
      </w:r>
      <w:r w:rsidRPr="00FB49F8">
        <w:rPr>
          <w:szCs w:val="24"/>
        </w:rPr>
        <w:t xml:space="preserve"> </w:t>
      </w:r>
      <w:r w:rsidR="003467F7">
        <w:rPr>
          <w:szCs w:val="24"/>
        </w:rPr>
        <w:t>A</w:t>
      </w:r>
      <w:r w:rsidR="003467F7" w:rsidRPr="00FB49F8">
        <w:rPr>
          <w:szCs w:val="24"/>
        </w:rPr>
        <w:t>t</w:t>
      </w:r>
      <w:r w:rsidR="003467F7">
        <w:rPr>
          <w:szCs w:val="24"/>
        </w:rPr>
        <w:t>a</w:t>
      </w:r>
      <w:r w:rsidR="003467F7" w:rsidRPr="00FB49F8">
        <w:rPr>
          <w:szCs w:val="24"/>
        </w:rPr>
        <w:t>sk</w:t>
      </w:r>
      <w:r w:rsidR="003467F7">
        <w:rPr>
          <w:szCs w:val="24"/>
        </w:rPr>
        <w:t>a</w:t>
      </w:r>
      <w:r w:rsidR="003467F7" w:rsidRPr="00FB49F8">
        <w:rPr>
          <w:szCs w:val="24"/>
        </w:rPr>
        <w:t xml:space="preserve">itoje rekomenduojama </w:t>
      </w:r>
      <w:r w:rsidR="003467F7">
        <w:rPr>
          <w:szCs w:val="24"/>
        </w:rPr>
        <w:t>„Lietuvos energija“, UAB</w:t>
      </w:r>
      <w:r w:rsidR="004B2960">
        <w:rPr>
          <w:szCs w:val="24"/>
        </w:rPr>
        <w:t>,</w:t>
      </w:r>
      <w:r w:rsidR="003467F7">
        <w:rPr>
          <w:szCs w:val="24"/>
        </w:rPr>
        <w:t xml:space="preserve"> </w:t>
      </w:r>
      <w:r w:rsidR="004B2960">
        <w:rPr>
          <w:szCs w:val="24"/>
        </w:rPr>
        <w:t xml:space="preserve">(toliau – Bendrovė) </w:t>
      </w:r>
      <w:r w:rsidR="003467F7">
        <w:rPr>
          <w:szCs w:val="24"/>
        </w:rPr>
        <w:t xml:space="preserve">įmonių grupės </w:t>
      </w:r>
      <w:r w:rsidR="003467F7" w:rsidRPr="00FB49F8">
        <w:rPr>
          <w:szCs w:val="24"/>
        </w:rPr>
        <w:t>strategijoje kelti nenormalizuotą nuosavo kapitalo grąžos rodiklį, užtikrinant, kad siektinos jo vertės derėtų su Vyriausybės nustatyta siektina nuosavo kapitalo grąžos rodiklio verte.</w:t>
      </w:r>
    </w:p>
    <w:p w14:paraId="674542A8" w14:textId="77777777" w:rsidR="003467F7" w:rsidRDefault="003467F7" w:rsidP="003467F7">
      <w:pPr>
        <w:pStyle w:val="Header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Norėtumėme atkreipti dėmesį, kad Finansų ministerija 2019 m. </w:t>
      </w:r>
      <w:r w:rsidR="004B2960">
        <w:rPr>
          <w:color w:val="000000"/>
          <w:szCs w:val="24"/>
        </w:rPr>
        <w:t>birželio 25 d. raštu Nr. 6K-1903407</w:t>
      </w:r>
      <w:r>
        <w:rPr>
          <w:color w:val="000000"/>
          <w:szCs w:val="24"/>
        </w:rPr>
        <w:t xml:space="preserve"> </w:t>
      </w:r>
      <w:r w:rsidR="004B2960">
        <w:rPr>
          <w:color w:val="000000"/>
          <w:szCs w:val="24"/>
        </w:rPr>
        <w:t xml:space="preserve">SIPAi ir Ekonomikos ir inovacijų ministerijai </w:t>
      </w:r>
      <w:r>
        <w:rPr>
          <w:color w:val="000000"/>
          <w:szCs w:val="24"/>
        </w:rPr>
        <w:t xml:space="preserve">teikė paaiškinimus </w:t>
      </w:r>
      <w:r w:rsidRPr="00AE1904">
        <w:rPr>
          <w:szCs w:val="24"/>
        </w:rPr>
        <w:t>dėl Vyriausybės nustatyto 2016 – 2018 m. laikotarpiu</w:t>
      </w:r>
      <w:r>
        <w:rPr>
          <w:szCs w:val="24"/>
        </w:rPr>
        <w:t>i</w:t>
      </w:r>
      <w:r w:rsidRPr="00AE1904">
        <w:rPr>
          <w:szCs w:val="24"/>
        </w:rPr>
        <w:t xml:space="preserve"> </w:t>
      </w:r>
      <w:r>
        <w:rPr>
          <w:szCs w:val="24"/>
        </w:rPr>
        <w:t>Bendrovei</w:t>
      </w:r>
      <w:r w:rsidRPr="00AE1904">
        <w:rPr>
          <w:szCs w:val="24"/>
        </w:rPr>
        <w:t xml:space="preserve"> siektino vidutinio metinio nuosavo kapitalo kainos</w:t>
      </w:r>
      <w:r>
        <w:rPr>
          <w:szCs w:val="24"/>
        </w:rPr>
        <w:t xml:space="preserve"> rodiklio ir siekiant aiškumo bei vieningo Bendrovės įmonių grupės veiklos vertinimo (tai gali būti aktualu ir kitoms valstybės valdomoms įmonėms) </w:t>
      </w:r>
      <w:r w:rsidR="004B2960">
        <w:rPr>
          <w:szCs w:val="24"/>
        </w:rPr>
        <w:t xml:space="preserve">siūlė </w:t>
      </w:r>
      <w:r>
        <w:rPr>
          <w:szCs w:val="24"/>
        </w:rPr>
        <w:t xml:space="preserve">apsvarstyti galimybę </w:t>
      </w:r>
      <w:r>
        <w:rPr>
          <w:color w:val="000000"/>
          <w:szCs w:val="24"/>
        </w:rPr>
        <w:t>tikslinti</w:t>
      </w:r>
      <w:r w:rsidRPr="00DF24C4">
        <w:rPr>
          <w:color w:val="000000"/>
          <w:szCs w:val="24"/>
        </w:rPr>
        <w:t xml:space="preserve"> L</w:t>
      </w:r>
      <w:r>
        <w:rPr>
          <w:color w:val="000000"/>
          <w:szCs w:val="24"/>
        </w:rPr>
        <w:t>ietuvos Respublikos Vyriausybės</w:t>
      </w:r>
      <w:r w:rsidRPr="00DF24C4">
        <w:rPr>
          <w:color w:val="000000"/>
          <w:szCs w:val="24"/>
        </w:rPr>
        <w:t xml:space="preserve"> nutarimu nustatyt</w:t>
      </w:r>
      <w:r>
        <w:rPr>
          <w:color w:val="000000"/>
          <w:szCs w:val="24"/>
        </w:rPr>
        <w:t>ą</w:t>
      </w:r>
      <w:r w:rsidRPr="00DF24C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siektinos vidutinės nuosavo kapitalo kainos </w:t>
      </w:r>
      <w:r w:rsidR="0074514B">
        <w:rPr>
          <w:color w:val="000000"/>
          <w:szCs w:val="24"/>
        </w:rPr>
        <w:t xml:space="preserve">(ROE) </w:t>
      </w:r>
      <w:r w:rsidRPr="00DF24C4">
        <w:rPr>
          <w:color w:val="000000"/>
          <w:szCs w:val="24"/>
        </w:rPr>
        <w:t>skaičiavimo tvark</w:t>
      </w:r>
      <w:r>
        <w:rPr>
          <w:color w:val="000000"/>
          <w:szCs w:val="24"/>
        </w:rPr>
        <w:t xml:space="preserve">ą. </w:t>
      </w:r>
    </w:p>
    <w:p w14:paraId="674542A9" w14:textId="77777777" w:rsidR="00B919FA" w:rsidRPr="00B919FA" w:rsidRDefault="004B2960" w:rsidP="00B919FA">
      <w:pPr>
        <w:ind w:firstLine="720"/>
        <w:jc w:val="both"/>
        <w:rPr>
          <w:szCs w:val="24"/>
        </w:rPr>
      </w:pPr>
      <w:r>
        <w:rPr>
          <w:color w:val="000000"/>
          <w:szCs w:val="24"/>
        </w:rPr>
        <w:t>Finansų minist</w:t>
      </w:r>
      <w:r w:rsidR="00B919FA">
        <w:rPr>
          <w:color w:val="000000"/>
          <w:szCs w:val="24"/>
        </w:rPr>
        <w:t>erija laikosi pozicijos, kad teis</w:t>
      </w:r>
      <w:r>
        <w:rPr>
          <w:color w:val="000000"/>
          <w:szCs w:val="24"/>
        </w:rPr>
        <w:t xml:space="preserve">ės aktuose </w:t>
      </w:r>
      <w:r w:rsidRPr="00F21E17">
        <w:rPr>
          <w:color w:val="000000"/>
          <w:szCs w:val="24"/>
        </w:rPr>
        <w:t>reikalingas normalizuotos nuosavybės grąžos skaičiavimo apibrėžimo patikslinimas, nustatan</w:t>
      </w:r>
      <w:r w:rsidR="002174A2">
        <w:rPr>
          <w:color w:val="000000"/>
          <w:szCs w:val="24"/>
        </w:rPr>
        <w:t>tis</w:t>
      </w:r>
      <w:r w:rsidRPr="00F21E17">
        <w:rPr>
          <w:color w:val="000000"/>
          <w:szCs w:val="24"/>
        </w:rPr>
        <w:t xml:space="preserve"> vidutines siektinas metines nuosavo kapitalo kainas, nes</w:t>
      </w:r>
      <w:r w:rsidR="002174A2" w:rsidRPr="00A728BB">
        <w:rPr>
          <w:szCs w:val="24"/>
        </w:rPr>
        <w:t xml:space="preserve"> Bendrovės </w:t>
      </w:r>
      <w:r w:rsidR="002174A2">
        <w:rPr>
          <w:szCs w:val="24"/>
        </w:rPr>
        <w:t xml:space="preserve">įmonių </w:t>
      </w:r>
      <w:r w:rsidR="002174A2" w:rsidRPr="00A728BB">
        <w:rPr>
          <w:szCs w:val="24"/>
        </w:rPr>
        <w:t xml:space="preserve">grupės </w:t>
      </w:r>
      <w:r w:rsidR="002174A2" w:rsidRPr="00A728BB">
        <w:t>visų</w:t>
      </w:r>
      <w:r w:rsidR="002174A2">
        <w:t xml:space="preserve"> reikšmingų </w:t>
      </w:r>
      <w:r w:rsidR="002174A2" w:rsidRPr="00A728BB">
        <w:t>n</w:t>
      </w:r>
      <w:r w:rsidR="002174A2">
        <w:t>etipinių ūkinių operacijų priežastys</w:t>
      </w:r>
      <w:r w:rsidR="002174A2" w:rsidRPr="00A728BB">
        <w:t xml:space="preserve"> </w:t>
      </w:r>
      <w:r w:rsidR="002174A2">
        <w:t>kyla iš reguliuojamos veiklos</w:t>
      </w:r>
      <w:r w:rsidR="002174A2" w:rsidRPr="00A728BB">
        <w:t>, kurios pasekmės</w:t>
      </w:r>
      <w:r w:rsidR="002174A2">
        <w:t xml:space="preserve"> –</w:t>
      </w:r>
      <w:r w:rsidR="002174A2" w:rsidRPr="00A728BB">
        <w:t xml:space="preserve"> tiek įmonių turto vertės </w:t>
      </w:r>
      <w:r w:rsidR="002174A2">
        <w:t>pokyčiai</w:t>
      </w:r>
      <w:r w:rsidR="002174A2" w:rsidRPr="00A728BB">
        <w:t>, tiek reguliuojamos veiklos pajamų perskaičiavimas įtakoj</w:t>
      </w:r>
      <w:r w:rsidR="00925D8E">
        <w:t>a</w:t>
      </w:r>
      <w:r w:rsidR="002174A2" w:rsidRPr="00A728BB">
        <w:t xml:space="preserve"> </w:t>
      </w:r>
      <w:r w:rsidR="002174A2">
        <w:t>Bendrovės grupės veiklos rezultatus ir</w:t>
      </w:r>
      <w:r w:rsidR="002174A2" w:rsidRPr="00A728BB">
        <w:t xml:space="preserve"> atitinkamai </w:t>
      </w:r>
      <w:r w:rsidR="00B919FA">
        <w:t>ROE</w:t>
      </w:r>
      <w:r w:rsidR="002174A2" w:rsidRPr="00A728BB">
        <w:t xml:space="preserve"> rodiklio rei</w:t>
      </w:r>
      <w:r w:rsidR="002174A2">
        <w:t>k</w:t>
      </w:r>
      <w:r w:rsidR="002174A2" w:rsidRPr="00A728BB">
        <w:t>šmes.</w:t>
      </w:r>
      <w:r w:rsidR="002174A2">
        <w:t xml:space="preserve"> Siekdama </w:t>
      </w:r>
      <w:r w:rsidR="002174A2" w:rsidRPr="00817A14">
        <w:rPr>
          <w:szCs w:val="24"/>
        </w:rPr>
        <w:t xml:space="preserve">atskleisti tvarios veiklos rezultatus, </w:t>
      </w:r>
      <w:r w:rsidR="002174A2">
        <w:rPr>
          <w:szCs w:val="24"/>
        </w:rPr>
        <w:t xml:space="preserve">Bendrovė </w:t>
      </w:r>
      <w:r w:rsidR="002174A2" w:rsidRPr="00817A14">
        <w:rPr>
          <w:szCs w:val="24"/>
        </w:rPr>
        <w:t xml:space="preserve">skelbdama savo </w:t>
      </w:r>
      <w:r w:rsidR="002174A2">
        <w:rPr>
          <w:szCs w:val="24"/>
        </w:rPr>
        <w:t xml:space="preserve">įmonių grupės </w:t>
      </w:r>
      <w:r w:rsidR="002174A2" w:rsidRPr="00817A14">
        <w:rPr>
          <w:szCs w:val="24"/>
        </w:rPr>
        <w:t xml:space="preserve">rezultatus teikia koreguotą </w:t>
      </w:r>
      <w:r w:rsidR="002174A2">
        <w:rPr>
          <w:szCs w:val="24"/>
        </w:rPr>
        <w:t xml:space="preserve">(normalizuotą) </w:t>
      </w:r>
      <w:r w:rsidR="00B919FA">
        <w:rPr>
          <w:szCs w:val="24"/>
        </w:rPr>
        <w:t>ROE</w:t>
      </w:r>
      <w:r w:rsidR="002174A2" w:rsidRPr="00817A14">
        <w:rPr>
          <w:szCs w:val="24"/>
        </w:rPr>
        <w:t xml:space="preserve"> rodiklį</w:t>
      </w:r>
      <w:r w:rsidR="002174A2">
        <w:t xml:space="preserve">, kuris apskaičiuotas </w:t>
      </w:r>
      <w:r w:rsidR="002174A2" w:rsidRPr="00755E1A">
        <w:rPr>
          <w:szCs w:val="24"/>
        </w:rPr>
        <w:t>elimin</w:t>
      </w:r>
      <w:r w:rsidR="002174A2">
        <w:rPr>
          <w:szCs w:val="24"/>
        </w:rPr>
        <w:t>avus</w:t>
      </w:r>
      <w:r w:rsidR="002174A2" w:rsidRPr="00755E1A">
        <w:rPr>
          <w:szCs w:val="24"/>
        </w:rPr>
        <w:t xml:space="preserve"> netipini</w:t>
      </w:r>
      <w:r w:rsidR="002174A2">
        <w:rPr>
          <w:szCs w:val="24"/>
        </w:rPr>
        <w:t>us</w:t>
      </w:r>
      <w:r w:rsidR="002174A2" w:rsidRPr="00755E1A">
        <w:rPr>
          <w:szCs w:val="24"/>
        </w:rPr>
        <w:t xml:space="preserve"> sandori</w:t>
      </w:r>
      <w:r w:rsidR="002174A2">
        <w:rPr>
          <w:szCs w:val="24"/>
        </w:rPr>
        <w:t>us (</w:t>
      </w:r>
      <w:r w:rsidR="002174A2" w:rsidRPr="00755E1A">
        <w:rPr>
          <w:szCs w:val="24"/>
        </w:rPr>
        <w:t xml:space="preserve">nekilnojamojo turto pervertinimo įtaką ir </w:t>
      </w:r>
      <w:r w:rsidR="002174A2">
        <w:rPr>
          <w:szCs w:val="24"/>
        </w:rPr>
        <w:t xml:space="preserve">reguliuojamos </w:t>
      </w:r>
      <w:r w:rsidR="001B6C9C">
        <w:rPr>
          <w:szCs w:val="24"/>
        </w:rPr>
        <w:t>veiklos pajamų perskaičiavimus)</w:t>
      </w:r>
      <w:r w:rsidR="00B919FA">
        <w:rPr>
          <w:szCs w:val="24"/>
        </w:rPr>
        <w:t>.</w:t>
      </w:r>
      <w:r w:rsidR="002174A2">
        <w:rPr>
          <w:szCs w:val="24"/>
        </w:rPr>
        <w:t xml:space="preserve"> </w:t>
      </w:r>
      <w:r w:rsidR="00B919FA">
        <w:rPr>
          <w:color w:val="000000"/>
          <w:szCs w:val="24"/>
        </w:rPr>
        <w:t xml:space="preserve">Apskaičiuojant normalizuotą ROE rodiklį </w:t>
      </w:r>
      <w:r w:rsidR="00B919FA" w:rsidRPr="00B919FA">
        <w:rPr>
          <w:color w:val="000000"/>
          <w:szCs w:val="24"/>
        </w:rPr>
        <w:t>įvertinama tiek teigiam</w:t>
      </w:r>
      <w:r w:rsidR="00B919FA">
        <w:rPr>
          <w:color w:val="000000"/>
          <w:szCs w:val="24"/>
        </w:rPr>
        <w:t>ą</w:t>
      </w:r>
      <w:r w:rsidR="00B919FA" w:rsidRPr="00B919FA">
        <w:rPr>
          <w:color w:val="000000"/>
          <w:szCs w:val="24"/>
        </w:rPr>
        <w:t>, tiek neigiam</w:t>
      </w:r>
      <w:r w:rsidR="00B919FA">
        <w:rPr>
          <w:color w:val="000000"/>
          <w:szCs w:val="24"/>
        </w:rPr>
        <w:t>ą</w:t>
      </w:r>
      <w:r w:rsidR="00B919FA" w:rsidRPr="00B919FA">
        <w:rPr>
          <w:color w:val="000000"/>
          <w:szCs w:val="24"/>
        </w:rPr>
        <w:t xml:space="preserve"> įtak</w:t>
      </w:r>
      <w:r w:rsidR="002B3378">
        <w:rPr>
          <w:color w:val="000000"/>
          <w:szCs w:val="24"/>
        </w:rPr>
        <w:t>ą</w:t>
      </w:r>
      <w:r w:rsidR="00B919FA" w:rsidRPr="00B919FA">
        <w:rPr>
          <w:color w:val="000000"/>
          <w:szCs w:val="24"/>
        </w:rPr>
        <w:t xml:space="preserve"> pelningumo rodikliui turintys veiksniai, todėl koreguoto ROE rodiklio naudojimas yra įprastas ir tarptautinėje praktikoje,</w:t>
      </w:r>
      <w:r w:rsidR="00B919FA" w:rsidRPr="00B919FA">
        <w:rPr>
          <w:color w:val="1F497D"/>
          <w:szCs w:val="24"/>
        </w:rPr>
        <w:t xml:space="preserve"> </w:t>
      </w:r>
      <w:r w:rsidR="00B919FA" w:rsidRPr="00B919FA">
        <w:rPr>
          <w:color w:val="000000"/>
          <w:szCs w:val="24"/>
        </w:rPr>
        <w:t xml:space="preserve">tarpusavyje vertinant ir lyginant </w:t>
      </w:r>
      <w:r w:rsidR="00B919FA">
        <w:rPr>
          <w:color w:val="000000"/>
          <w:szCs w:val="24"/>
        </w:rPr>
        <w:t>reguliuojamo</w:t>
      </w:r>
      <w:r w:rsidR="00B919FA" w:rsidRPr="00B919FA">
        <w:rPr>
          <w:color w:val="000000"/>
          <w:szCs w:val="24"/>
        </w:rPr>
        <w:t xml:space="preserve"> sektoriaus įmonių veiklos rezultatus. </w:t>
      </w:r>
      <w:r w:rsidR="00B919FA">
        <w:rPr>
          <w:color w:val="000000"/>
          <w:szCs w:val="24"/>
        </w:rPr>
        <w:t>Būtent normalizuotas ROE rodiklis leidžia įvertinti ar įmonių grupės veikla iš esmės atitiko strategijoje keltus lūkesčius ir tikslus.</w:t>
      </w:r>
    </w:p>
    <w:p w14:paraId="674542AA" w14:textId="77777777" w:rsidR="00B919FA" w:rsidRPr="00B919FA" w:rsidRDefault="00B919FA" w:rsidP="00B919F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Be to, pažymėtina, kad k</w:t>
      </w:r>
      <w:r w:rsidRPr="00B919FA">
        <w:rPr>
          <w:color w:val="000000"/>
          <w:szCs w:val="24"/>
        </w:rPr>
        <w:t xml:space="preserve">oreguoto ROE rodiklio korekcijų turinys yra išsamiai atskleidžiamas </w:t>
      </w:r>
      <w:r>
        <w:rPr>
          <w:color w:val="000000"/>
          <w:szCs w:val="24"/>
        </w:rPr>
        <w:t xml:space="preserve">Bendrovės grupės ataskaitose </w:t>
      </w:r>
      <w:r w:rsidRPr="00B919FA">
        <w:rPr>
          <w:color w:val="000000"/>
          <w:szCs w:val="24"/>
        </w:rPr>
        <w:t>ir peržiūrimas auditorių metinio pranešimo apimtyje dėl reikšmingo informacijos suderinamumo.</w:t>
      </w:r>
    </w:p>
    <w:p w14:paraId="674542AB" w14:textId="77777777" w:rsidR="00B919FA" w:rsidRDefault="00B919FA" w:rsidP="00B919FA">
      <w:pPr>
        <w:ind w:firstLine="720"/>
        <w:jc w:val="both"/>
        <w:rPr>
          <w:szCs w:val="24"/>
        </w:rPr>
      </w:pPr>
    </w:p>
    <w:p w14:paraId="674542AC" w14:textId="77777777" w:rsidR="002174A2" w:rsidRDefault="002174A2" w:rsidP="00B919F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Atsižvelgdami į tai, kas išdėstyta</w:t>
      </w:r>
      <w:r w:rsidR="001B6C9C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bei siekiant teisinio aiškumo</w:t>
      </w:r>
      <w:r w:rsidR="001B6C9C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9E192C">
        <w:rPr>
          <w:color w:val="000000"/>
          <w:szCs w:val="24"/>
        </w:rPr>
        <w:t xml:space="preserve">dar kartą </w:t>
      </w:r>
      <w:r>
        <w:rPr>
          <w:szCs w:val="24"/>
        </w:rPr>
        <w:t xml:space="preserve">siūlome apsvarstyti galimybę </w:t>
      </w:r>
      <w:r>
        <w:rPr>
          <w:color w:val="000000"/>
          <w:szCs w:val="24"/>
        </w:rPr>
        <w:t>tikslinti</w:t>
      </w:r>
      <w:r w:rsidRPr="00DF24C4">
        <w:rPr>
          <w:color w:val="000000"/>
          <w:szCs w:val="24"/>
        </w:rPr>
        <w:t xml:space="preserve"> L</w:t>
      </w:r>
      <w:r>
        <w:rPr>
          <w:color w:val="000000"/>
          <w:szCs w:val="24"/>
        </w:rPr>
        <w:t>ietuvos Respublikos Vyriausybės</w:t>
      </w:r>
      <w:r w:rsidRPr="00DF24C4">
        <w:rPr>
          <w:color w:val="000000"/>
          <w:szCs w:val="24"/>
        </w:rPr>
        <w:t xml:space="preserve"> nutarimu nustatyt</w:t>
      </w:r>
      <w:r>
        <w:rPr>
          <w:color w:val="000000"/>
          <w:szCs w:val="24"/>
        </w:rPr>
        <w:t>ą</w:t>
      </w:r>
      <w:r w:rsidRPr="00DF24C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siektinos vidutinės nuosavo kapitalo kainos </w:t>
      </w:r>
      <w:r w:rsidRPr="00DF24C4">
        <w:rPr>
          <w:color w:val="000000"/>
          <w:szCs w:val="24"/>
        </w:rPr>
        <w:t>skaičiavimo tvark</w:t>
      </w:r>
      <w:r>
        <w:rPr>
          <w:color w:val="000000"/>
          <w:szCs w:val="24"/>
        </w:rPr>
        <w:t xml:space="preserve">ą. </w:t>
      </w:r>
    </w:p>
    <w:p w14:paraId="674542AD" w14:textId="77777777" w:rsidR="004B2960" w:rsidRDefault="009E192C" w:rsidP="003467F7">
      <w:pPr>
        <w:pStyle w:val="Header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Siekdami efektyvaus tolesnio bendradarbiavimo, prireikus, galėtumėme organizuoti susitikimą kilusiems klausimams aptarti.</w:t>
      </w:r>
    </w:p>
    <w:p w14:paraId="674542AE" w14:textId="77777777" w:rsidR="001D5850" w:rsidRDefault="001D5850" w:rsidP="001D5850">
      <w:pPr>
        <w:ind w:firstLine="720"/>
        <w:jc w:val="both"/>
      </w:pPr>
    </w:p>
    <w:p w14:paraId="674542AF" w14:textId="77777777" w:rsidR="001D5850" w:rsidRDefault="001D5850" w:rsidP="001D5850">
      <w:pPr>
        <w:ind w:firstLine="720"/>
        <w:jc w:val="both"/>
      </w:pPr>
    </w:p>
    <w:p w14:paraId="674542B0" w14:textId="77777777" w:rsidR="00FF55D0" w:rsidRDefault="00FF55D0" w:rsidP="001D5850">
      <w:pPr>
        <w:ind w:firstLine="720"/>
        <w:jc w:val="both"/>
      </w:pPr>
    </w:p>
    <w:p w14:paraId="674542B1" w14:textId="77777777" w:rsidR="00FF55D0" w:rsidRDefault="00FF55D0" w:rsidP="001D5850">
      <w:pPr>
        <w:ind w:firstLine="720"/>
        <w:jc w:val="both"/>
      </w:pPr>
    </w:p>
    <w:p w14:paraId="674542B2" w14:textId="77777777" w:rsidR="00FF55D0" w:rsidRDefault="00FF55D0" w:rsidP="001D5850">
      <w:pPr>
        <w:ind w:firstLine="720"/>
        <w:jc w:val="both"/>
      </w:pPr>
    </w:p>
    <w:p w14:paraId="674542B3" w14:textId="77777777" w:rsidR="00FF55D0" w:rsidRDefault="00FF55D0" w:rsidP="001D5850">
      <w:pPr>
        <w:ind w:firstLine="720"/>
        <w:jc w:val="both"/>
      </w:pPr>
    </w:p>
    <w:p w14:paraId="674542B4" w14:textId="77777777" w:rsidR="00FF55D0" w:rsidRDefault="00FF55D0" w:rsidP="001D5850">
      <w:pPr>
        <w:ind w:firstLine="720"/>
        <w:jc w:val="both"/>
      </w:pPr>
    </w:p>
    <w:p w14:paraId="674542B5" w14:textId="77777777" w:rsidR="00FF55D0" w:rsidRDefault="00FF55D0" w:rsidP="001D5850">
      <w:pPr>
        <w:ind w:firstLine="720"/>
        <w:jc w:val="both"/>
      </w:pPr>
    </w:p>
    <w:p w14:paraId="674542B6" w14:textId="77777777" w:rsidR="00FF55D0" w:rsidRDefault="00FF55D0" w:rsidP="001D5850">
      <w:pPr>
        <w:ind w:firstLine="720"/>
        <w:jc w:val="both"/>
      </w:pPr>
    </w:p>
    <w:p w14:paraId="674542B7" w14:textId="77777777" w:rsidR="00FF55D0" w:rsidRDefault="00FF55D0" w:rsidP="001D5850">
      <w:pPr>
        <w:ind w:firstLine="720"/>
        <w:jc w:val="both"/>
      </w:pPr>
    </w:p>
    <w:p w14:paraId="674542B8" w14:textId="77777777" w:rsidR="00FF55D0" w:rsidRDefault="00FF55D0" w:rsidP="001D5850">
      <w:pPr>
        <w:ind w:firstLine="720"/>
        <w:jc w:val="both"/>
      </w:pPr>
    </w:p>
    <w:p w14:paraId="674542B9" w14:textId="77777777" w:rsidR="00FF55D0" w:rsidRDefault="00FF55D0" w:rsidP="001D5850">
      <w:pPr>
        <w:ind w:firstLine="720"/>
        <w:jc w:val="both"/>
      </w:pPr>
    </w:p>
    <w:p w14:paraId="674542BA" w14:textId="77777777" w:rsidR="00FF55D0" w:rsidRDefault="00FF55D0" w:rsidP="001D5850">
      <w:pPr>
        <w:ind w:firstLine="720"/>
        <w:jc w:val="both"/>
      </w:pPr>
    </w:p>
    <w:p w14:paraId="674542BB" w14:textId="77777777" w:rsidR="00FF55D0" w:rsidRDefault="00FF55D0" w:rsidP="001D5850">
      <w:pPr>
        <w:ind w:firstLine="720"/>
        <w:jc w:val="both"/>
      </w:pPr>
    </w:p>
    <w:p w14:paraId="674542BC" w14:textId="77777777" w:rsidR="00FF55D0" w:rsidRDefault="00FF55D0" w:rsidP="001D5850">
      <w:pPr>
        <w:ind w:firstLine="720"/>
        <w:jc w:val="both"/>
      </w:pPr>
    </w:p>
    <w:p w14:paraId="674542BD" w14:textId="77777777" w:rsidR="00FF55D0" w:rsidRDefault="00FF55D0" w:rsidP="001D5850">
      <w:pPr>
        <w:ind w:firstLine="720"/>
        <w:jc w:val="both"/>
      </w:pPr>
    </w:p>
    <w:p w14:paraId="674542BE" w14:textId="77777777" w:rsidR="00FF55D0" w:rsidRDefault="00FF55D0" w:rsidP="001D5850">
      <w:pPr>
        <w:ind w:firstLine="720"/>
        <w:jc w:val="both"/>
      </w:pPr>
    </w:p>
    <w:p w14:paraId="674542BF" w14:textId="77777777" w:rsidR="00FF55D0" w:rsidRDefault="00FF55D0" w:rsidP="001D5850">
      <w:pPr>
        <w:ind w:firstLine="720"/>
        <w:jc w:val="both"/>
      </w:pPr>
    </w:p>
    <w:p w14:paraId="674542C0" w14:textId="77777777" w:rsidR="00FF55D0" w:rsidRDefault="00FF55D0" w:rsidP="001D5850">
      <w:pPr>
        <w:ind w:firstLine="720"/>
        <w:jc w:val="both"/>
      </w:pPr>
    </w:p>
    <w:p w14:paraId="674542C1" w14:textId="77777777" w:rsidR="00FF55D0" w:rsidRDefault="00FF55D0" w:rsidP="001D5850">
      <w:pPr>
        <w:ind w:firstLine="720"/>
        <w:jc w:val="both"/>
      </w:pPr>
    </w:p>
    <w:p w14:paraId="674542C2" w14:textId="77777777" w:rsidR="00FF55D0" w:rsidRDefault="00FF55D0" w:rsidP="001D5850">
      <w:pPr>
        <w:ind w:firstLine="720"/>
        <w:jc w:val="both"/>
      </w:pPr>
    </w:p>
    <w:p w14:paraId="674542C3" w14:textId="77777777" w:rsidR="00FF55D0" w:rsidRDefault="00FF55D0" w:rsidP="001D5850">
      <w:pPr>
        <w:ind w:firstLine="720"/>
        <w:jc w:val="both"/>
      </w:pPr>
    </w:p>
    <w:p w14:paraId="674542C4" w14:textId="77777777" w:rsidR="00FF55D0" w:rsidRDefault="00FF55D0" w:rsidP="001D5850">
      <w:pPr>
        <w:ind w:firstLine="720"/>
        <w:jc w:val="both"/>
      </w:pPr>
    </w:p>
    <w:p w14:paraId="674542C5" w14:textId="77777777" w:rsidR="00FF55D0" w:rsidRDefault="00FF55D0" w:rsidP="001D5850">
      <w:pPr>
        <w:ind w:firstLine="720"/>
        <w:jc w:val="both"/>
      </w:pPr>
    </w:p>
    <w:p w14:paraId="674542C6" w14:textId="77777777" w:rsidR="00FF55D0" w:rsidRDefault="00FF55D0" w:rsidP="001D5850">
      <w:pPr>
        <w:ind w:firstLine="720"/>
        <w:jc w:val="both"/>
      </w:pPr>
    </w:p>
    <w:p w14:paraId="674542C7" w14:textId="77777777" w:rsidR="00FF55D0" w:rsidRDefault="00FF55D0" w:rsidP="001D5850">
      <w:pPr>
        <w:ind w:firstLine="720"/>
        <w:jc w:val="both"/>
      </w:pPr>
    </w:p>
    <w:p w14:paraId="674542C8" w14:textId="77777777" w:rsidR="00FF55D0" w:rsidRDefault="00FF55D0" w:rsidP="001D5850">
      <w:pPr>
        <w:ind w:firstLine="720"/>
        <w:jc w:val="both"/>
      </w:pPr>
    </w:p>
    <w:p w14:paraId="674542C9" w14:textId="77777777" w:rsidR="00FF55D0" w:rsidRDefault="00FF55D0" w:rsidP="001D5850">
      <w:pPr>
        <w:ind w:firstLine="720"/>
        <w:jc w:val="both"/>
      </w:pPr>
    </w:p>
    <w:p w14:paraId="674542CA" w14:textId="77777777" w:rsidR="00FF55D0" w:rsidRDefault="00FF55D0" w:rsidP="001D5850">
      <w:pPr>
        <w:ind w:firstLine="720"/>
        <w:jc w:val="both"/>
      </w:pPr>
    </w:p>
    <w:p w14:paraId="674542CB" w14:textId="77777777" w:rsidR="00FF55D0" w:rsidRDefault="00FF55D0" w:rsidP="001D5850">
      <w:pPr>
        <w:ind w:firstLine="720"/>
        <w:jc w:val="both"/>
      </w:pPr>
    </w:p>
    <w:p w14:paraId="674542CC" w14:textId="77777777" w:rsidR="00FF55D0" w:rsidRDefault="00FF55D0" w:rsidP="001D5850">
      <w:pPr>
        <w:ind w:firstLine="720"/>
        <w:jc w:val="both"/>
      </w:pPr>
    </w:p>
    <w:p w14:paraId="674542CD" w14:textId="77777777" w:rsidR="00FF55D0" w:rsidRDefault="00FF55D0" w:rsidP="001D5850">
      <w:pPr>
        <w:ind w:firstLine="720"/>
        <w:jc w:val="both"/>
      </w:pPr>
    </w:p>
    <w:p w14:paraId="674542CE" w14:textId="77777777" w:rsidR="00FF55D0" w:rsidRDefault="00FF55D0" w:rsidP="001D5850">
      <w:pPr>
        <w:ind w:firstLine="720"/>
        <w:jc w:val="both"/>
      </w:pPr>
    </w:p>
    <w:p w14:paraId="674542CF" w14:textId="77777777" w:rsidR="00FF55D0" w:rsidRDefault="00FF55D0" w:rsidP="001D5850">
      <w:pPr>
        <w:ind w:firstLine="720"/>
        <w:jc w:val="both"/>
      </w:pPr>
    </w:p>
    <w:p w14:paraId="674542D0" w14:textId="77777777" w:rsidR="00FF55D0" w:rsidRDefault="00FF55D0" w:rsidP="001D5850">
      <w:pPr>
        <w:ind w:firstLine="720"/>
        <w:jc w:val="both"/>
      </w:pPr>
    </w:p>
    <w:p w14:paraId="674542D1" w14:textId="77777777" w:rsidR="00FF55D0" w:rsidRDefault="00FF55D0" w:rsidP="001D5850">
      <w:pPr>
        <w:ind w:firstLine="720"/>
        <w:jc w:val="both"/>
      </w:pPr>
    </w:p>
    <w:p w14:paraId="674542D2" w14:textId="77777777" w:rsidR="00FF55D0" w:rsidRDefault="00FF55D0" w:rsidP="001D5850">
      <w:pPr>
        <w:ind w:firstLine="720"/>
        <w:jc w:val="both"/>
      </w:pPr>
    </w:p>
    <w:p w14:paraId="674542D3" w14:textId="77777777" w:rsidR="00FF55D0" w:rsidRDefault="00FF55D0" w:rsidP="001D5850">
      <w:pPr>
        <w:ind w:firstLine="720"/>
        <w:jc w:val="both"/>
      </w:pPr>
    </w:p>
    <w:p w14:paraId="674542D4" w14:textId="77777777" w:rsidR="00FF55D0" w:rsidRDefault="00FF55D0" w:rsidP="001D5850">
      <w:pPr>
        <w:ind w:firstLine="720"/>
        <w:jc w:val="both"/>
      </w:pPr>
    </w:p>
    <w:p w14:paraId="674542D5" w14:textId="77777777" w:rsidR="00FF55D0" w:rsidRDefault="00FF55D0" w:rsidP="001D5850">
      <w:pPr>
        <w:ind w:firstLine="720"/>
        <w:jc w:val="both"/>
      </w:pPr>
    </w:p>
    <w:p w14:paraId="674542D6" w14:textId="77777777" w:rsidR="00FF55D0" w:rsidRDefault="00FF55D0" w:rsidP="001D5850">
      <w:pPr>
        <w:ind w:firstLine="720"/>
        <w:jc w:val="both"/>
      </w:pPr>
    </w:p>
    <w:p w14:paraId="674542D7" w14:textId="77777777" w:rsidR="00FF55D0" w:rsidRDefault="00FF55D0" w:rsidP="001D5850">
      <w:pPr>
        <w:ind w:firstLine="720"/>
        <w:jc w:val="both"/>
      </w:pPr>
    </w:p>
    <w:p w14:paraId="674542D8" w14:textId="77777777" w:rsidR="000E28C2" w:rsidRDefault="000E28C2" w:rsidP="001D5850">
      <w:pPr>
        <w:ind w:firstLine="720"/>
        <w:jc w:val="both"/>
      </w:pPr>
    </w:p>
    <w:p w14:paraId="674542D9" w14:textId="77777777" w:rsidR="00E91E71" w:rsidRDefault="00FB4D05" w:rsidP="00FB4D05">
      <w:pPr>
        <w:rPr>
          <w:sz w:val="20"/>
          <w:lang w:val="en-US"/>
        </w:rPr>
      </w:pPr>
      <w:r>
        <w:rPr>
          <w:sz w:val="20"/>
        </w:rPr>
        <w:t xml:space="preserve">Asta Sinkevičienė, tel. 2194 471, el. p. </w:t>
      </w:r>
      <w:hyperlink r:id="rId14" w:history="1">
        <w:r w:rsidR="00637003" w:rsidRPr="004B5A36">
          <w:rPr>
            <w:rStyle w:val="Hyperlink"/>
            <w:sz w:val="20"/>
          </w:rPr>
          <w:t>asta.sinkeviciene</w:t>
        </w:r>
        <w:r w:rsidR="00637003" w:rsidRPr="004B5A36">
          <w:rPr>
            <w:rStyle w:val="Hyperlink"/>
            <w:sz w:val="20"/>
            <w:lang w:val="en-US"/>
          </w:rPr>
          <w:t>@finmin.lt</w:t>
        </w:r>
      </w:hyperlink>
      <w:permEnd w:id="170737991"/>
    </w:p>
    <w:sectPr w:rsidR="00E91E7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42DE" w14:textId="77777777" w:rsidR="007C3B7B" w:rsidRDefault="007C3B7B">
      <w:r>
        <w:separator/>
      </w:r>
    </w:p>
  </w:endnote>
  <w:endnote w:type="continuationSeparator" w:id="0">
    <w:p w14:paraId="674542DF" w14:textId="77777777" w:rsidR="007C3B7B" w:rsidRDefault="007C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E4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8023D">
      <w:rPr>
        <w:noProof/>
        <w:sz w:val="10"/>
      </w:rPr>
      <w:t>Del kietojo ir skystojo kuro apskaitos (EM).docx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74542E9" w14:textId="77777777">
      <w:tc>
        <w:tcPr>
          <w:tcW w:w="3119" w:type="dxa"/>
        </w:tcPr>
        <w:p w14:paraId="674542E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74542E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74542E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74542E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74542EE" w14:textId="77777777">
      <w:tc>
        <w:tcPr>
          <w:tcW w:w="3119" w:type="dxa"/>
        </w:tcPr>
        <w:p w14:paraId="674542E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74542E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74542E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74542E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74542EF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F1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8023D">
      <w:rPr>
        <w:noProof/>
        <w:sz w:val="10"/>
      </w:rPr>
      <w:t>Del kietojo ir skystojo kuro apskaitos (EM).docx</w:t>
    </w:r>
    <w:r w:rsidRPr="00775CB5">
      <w:rPr>
        <w:sz w:val="10"/>
      </w:rPr>
      <w:fldChar w:fldCharType="end"/>
    </w:r>
  </w:p>
  <w:p w14:paraId="674542F2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74542F7" w14:textId="77777777">
      <w:tc>
        <w:tcPr>
          <w:tcW w:w="3215" w:type="dxa"/>
        </w:tcPr>
        <w:p w14:paraId="674542F3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74542F4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74542F5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74542F6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74542FC" w14:textId="77777777">
      <w:tc>
        <w:tcPr>
          <w:tcW w:w="3215" w:type="dxa"/>
        </w:tcPr>
        <w:p w14:paraId="674542F8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74542F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74542F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74542FB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74542FD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F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542DC" w14:textId="77777777" w:rsidR="007C3B7B" w:rsidRDefault="007C3B7B">
      <w:r>
        <w:separator/>
      </w:r>
    </w:p>
  </w:footnote>
  <w:footnote w:type="continuationSeparator" w:id="0">
    <w:p w14:paraId="674542DD" w14:textId="77777777" w:rsidR="007C3B7B" w:rsidRDefault="007C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E0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4542E1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E2" w14:textId="076AE089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2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542E3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42F0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C000A7"/>
    <w:multiLevelType w:val="hybridMultilevel"/>
    <w:tmpl w:val="88521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2583"/>
    <w:multiLevelType w:val="hybridMultilevel"/>
    <w:tmpl w:val="4EB4BE34"/>
    <w:lvl w:ilvl="0" w:tplc="72C8C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A035C"/>
    <w:multiLevelType w:val="hybridMultilevel"/>
    <w:tmpl w:val="1598A548"/>
    <w:lvl w:ilvl="0" w:tplc="77E066F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E4570"/>
    <w:multiLevelType w:val="multilevel"/>
    <w:tmpl w:val="360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149A9"/>
    <w:multiLevelType w:val="hybridMultilevel"/>
    <w:tmpl w:val="ABA46786"/>
    <w:lvl w:ilvl="0" w:tplc="77E06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FF"/>
    <w:rsid w:val="00007A40"/>
    <w:rsid w:val="00016089"/>
    <w:rsid w:val="000206DD"/>
    <w:rsid w:val="000505E9"/>
    <w:rsid w:val="00055934"/>
    <w:rsid w:val="0006460C"/>
    <w:rsid w:val="00066BC1"/>
    <w:rsid w:val="00072A8A"/>
    <w:rsid w:val="0007452B"/>
    <w:rsid w:val="00076760"/>
    <w:rsid w:val="0008023D"/>
    <w:rsid w:val="00087AB7"/>
    <w:rsid w:val="000B7E36"/>
    <w:rsid w:val="000C4807"/>
    <w:rsid w:val="000D282C"/>
    <w:rsid w:val="000E28C2"/>
    <w:rsid w:val="000E6336"/>
    <w:rsid w:val="000E66F2"/>
    <w:rsid w:val="00106272"/>
    <w:rsid w:val="00107B78"/>
    <w:rsid w:val="001303BC"/>
    <w:rsid w:val="00142D32"/>
    <w:rsid w:val="00144A3E"/>
    <w:rsid w:val="001A1D75"/>
    <w:rsid w:val="001A373E"/>
    <w:rsid w:val="001B25B8"/>
    <w:rsid w:val="001B6C9C"/>
    <w:rsid w:val="001D4EBA"/>
    <w:rsid w:val="001D5850"/>
    <w:rsid w:val="001F01FA"/>
    <w:rsid w:val="00204A10"/>
    <w:rsid w:val="00206689"/>
    <w:rsid w:val="002149E0"/>
    <w:rsid w:val="00214CDC"/>
    <w:rsid w:val="00215B65"/>
    <w:rsid w:val="002174A2"/>
    <w:rsid w:val="00221EF0"/>
    <w:rsid w:val="0024077A"/>
    <w:rsid w:val="00242F56"/>
    <w:rsid w:val="0025434A"/>
    <w:rsid w:val="0025589B"/>
    <w:rsid w:val="00255942"/>
    <w:rsid w:val="00262377"/>
    <w:rsid w:val="002639D1"/>
    <w:rsid w:val="00281618"/>
    <w:rsid w:val="00284A06"/>
    <w:rsid w:val="00293E95"/>
    <w:rsid w:val="0029427B"/>
    <w:rsid w:val="002B10FF"/>
    <w:rsid w:val="002B3378"/>
    <w:rsid w:val="002B544E"/>
    <w:rsid w:val="002E5F18"/>
    <w:rsid w:val="002E759D"/>
    <w:rsid w:val="002F325D"/>
    <w:rsid w:val="00317D73"/>
    <w:rsid w:val="003367BA"/>
    <w:rsid w:val="003467F7"/>
    <w:rsid w:val="00351510"/>
    <w:rsid w:val="00364CAE"/>
    <w:rsid w:val="00390EEB"/>
    <w:rsid w:val="003A5129"/>
    <w:rsid w:val="003C2C4C"/>
    <w:rsid w:val="003D21AE"/>
    <w:rsid w:val="003D7384"/>
    <w:rsid w:val="003F463B"/>
    <w:rsid w:val="004048C5"/>
    <w:rsid w:val="00414D5A"/>
    <w:rsid w:val="00425A35"/>
    <w:rsid w:val="00443C91"/>
    <w:rsid w:val="00450371"/>
    <w:rsid w:val="00451320"/>
    <w:rsid w:val="00463CCB"/>
    <w:rsid w:val="00471A03"/>
    <w:rsid w:val="004812C3"/>
    <w:rsid w:val="004856BF"/>
    <w:rsid w:val="004B2960"/>
    <w:rsid w:val="004C36E0"/>
    <w:rsid w:val="004F04DF"/>
    <w:rsid w:val="004F1AE4"/>
    <w:rsid w:val="005075F1"/>
    <w:rsid w:val="00523426"/>
    <w:rsid w:val="005361CE"/>
    <w:rsid w:val="00555939"/>
    <w:rsid w:val="00557D1C"/>
    <w:rsid w:val="00577593"/>
    <w:rsid w:val="00595C88"/>
    <w:rsid w:val="005A147C"/>
    <w:rsid w:val="005A5BD2"/>
    <w:rsid w:val="005C3ACE"/>
    <w:rsid w:val="005D1592"/>
    <w:rsid w:val="005F7A8D"/>
    <w:rsid w:val="006014D2"/>
    <w:rsid w:val="00601BFE"/>
    <w:rsid w:val="0060553B"/>
    <w:rsid w:val="00607612"/>
    <w:rsid w:val="006129E6"/>
    <w:rsid w:val="006323ED"/>
    <w:rsid w:val="00637003"/>
    <w:rsid w:val="00642FAA"/>
    <w:rsid w:val="00676E45"/>
    <w:rsid w:val="00704DFD"/>
    <w:rsid w:val="00732BE0"/>
    <w:rsid w:val="00737ADB"/>
    <w:rsid w:val="00741C12"/>
    <w:rsid w:val="0074411C"/>
    <w:rsid w:val="0074514B"/>
    <w:rsid w:val="00752634"/>
    <w:rsid w:val="0077103A"/>
    <w:rsid w:val="0077532D"/>
    <w:rsid w:val="00775CB5"/>
    <w:rsid w:val="007A6CDB"/>
    <w:rsid w:val="007A71C3"/>
    <w:rsid w:val="007A767C"/>
    <w:rsid w:val="007B1827"/>
    <w:rsid w:val="007C3B7B"/>
    <w:rsid w:val="007D3DD9"/>
    <w:rsid w:val="007F32CB"/>
    <w:rsid w:val="008036BB"/>
    <w:rsid w:val="0080493D"/>
    <w:rsid w:val="008151E8"/>
    <w:rsid w:val="00821955"/>
    <w:rsid w:val="00832F48"/>
    <w:rsid w:val="008361AA"/>
    <w:rsid w:val="00844580"/>
    <w:rsid w:val="008705BC"/>
    <w:rsid w:val="00884ED0"/>
    <w:rsid w:val="008929E4"/>
    <w:rsid w:val="00896244"/>
    <w:rsid w:val="008A4A42"/>
    <w:rsid w:val="008B22BE"/>
    <w:rsid w:val="008C13B7"/>
    <w:rsid w:val="008D794D"/>
    <w:rsid w:val="008E7D71"/>
    <w:rsid w:val="00925D8E"/>
    <w:rsid w:val="00931A02"/>
    <w:rsid w:val="0096013A"/>
    <w:rsid w:val="0096547F"/>
    <w:rsid w:val="00971CA8"/>
    <w:rsid w:val="0099174B"/>
    <w:rsid w:val="009A1BCE"/>
    <w:rsid w:val="009C3F4A"/>
    <w:rsid w:val="009D4607"/>
    <w:rsid w:val="009D649E"/>
    <w:rsid w:val="009D7311"/>
    <w:rsid w:val="009E192C"/>
    <w:rsid w:val="009E5C94"/>
    <w:rsid w:val="009E6D44"/>
    <w:rsid w:val="00A046EC"/>
    <w:rsid w:val="00A06428"/>
    <w:rsid w:val="00A13432"/>
    <w:rsid w:val="00A353C4"/>
    <w:rsid w:val="00A65055"/>
    <w:rsid w:val="00AA5233"/>
    <w:rsid w:val="00AD082E"/>
    <w:rsid w:val="00AE35C4"/>
    <w:rsid w:val="00AF4890"/>
    <w:rsid w:val="00AF6644"/>
    <w:rsid w:val="00B57C82"/>
    <w:rsid w:val="00B62CC5"/>
    <w:rsid w:val="00B70F32"/>
    <w:rsid w:val="00B919FA"/>
    <w:rsid w:val="00BD3865"/>
    <w:rsid w:val="00BD3DF3"/>
    <w:rsid w:val="00C02541"/>
    <w:rsid w:val="00C079F8"/>
    <w:rsid w:val="00C158A1"/>
    <w:rsid w:val="00C230C2"/>
    <w:rsid w:val="00C27EFC"/>
    <w:rsid w:val="00C42950"/>
    <w:rsid w:val="00C51065"/>
    <w:rsid w:val="00C612D0"/>
    <w:rsid w:val="00C67711"/>
    <w:rsid w:val="00C83B64"/>
    <w:rsid w:val="00C91BF0"/>
    <w:rsid w:val="00C95BDC"/>
    <w:rsid w:val="00CA6BA9"/>
    <w:rsid w:val="00CA7055"/>
    <w:rsid w:val="00CB2316"/>
    <w:rsid w:val="00CB73FA"/>
    <w:rsid w:val="00CE3E6D"/>
    <w:rsid w:val="00CF662A"/>
    <w:rsid w:val="00CF6AEF"/>
    <w:rsid w:val="00CF7617"/>
    <w:rsid w:val="00D0204C"/>
    <w:rsid w:val="00D04858"/>
    <w:rsid w:val="00D04AFB"/>
    <w:rsid w:val="00D40373"/>
    <w:rsid w:val="00D670E9"/>
    <w:rsid w:val="00D878AE"/>
    <w:rsid w:val="00D925FB"/>
    <w:rsid w:val="00DA1E52"/>
    <w:rsid w:val="00DA6D32"/>
    <w:rsid w:val="00E27123"/>
    <w:rsid w:val="00E33D94"/>
    <w:rsid w:val="00E42B38"/>
    <w:rsid w:val="00E43B49"/>
    <w:rsid w:val="00E52863"/>
    <w:rsid w:val="00E54846"/>
    <w:rsid w:val="00E91E71"/>
    <w:rsid w:val="00EA561A"/>
    <w:rsid w:val="00EB6DD0"/>
    <w:rsid w:val="00EC5092"/>
    <w:rsid w:val="00ED5040"/>
    <w:rsid w:val="00EE6FA5"/>
    <w:rsid w:val="00EF7BB3"/>
    <w:rsid w:val="00F005A4"/>
    <w:rsid w:val="00F01186"/>
    <w:rsid w:val="00F201C5"/>
    <w:rsid w:val="00F21E17"/>
    <w:rsid w:val="00F23A6E"/>
    <w:rsid w:val="00F24EC4"/>
    <w:rsid w:val="00F64FDA"/>
    <w:rsid w:val="00F66332"/>
    <w:rsid w:val="00F746D3"/>
    <w:rsid w:val="00F82BF7"/>
    <w:rsid w:val="00F851DB"/>
    <w:rsid w:val="00FA05DB"/>
    <w:rsid w:val="00FA4CBF"/>
    <w:rsid w:val="00FB49F8"/>
    <w:rsid w:val="00FB4D05"/>
    <w:rsid w:val="00FC3A4C"/>
    <w:rsid w:val="00FD0C6D"/>
    <w:rsid w:val="00FD2F76"/>
    <w:rsid w:val="00FD4760"/>
    <w:rsid w:val="00FE0764"/>
    <w:rsid w:val="00FE7F6A"/>
    <w:rsid w:val="00FF46BC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54291"/>
  <w15:docId w15:val="{58B5CF9A-B009-4DDB-9554-4300912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A06"/>
    <w:pPr>
      <w:ind w:left="720"/>
      <w:contextualSpacing/>
    </w:pPr>
  </w:style>
  <w:style w:type="paragraph" w:customStyle="1" w:styleId="Default">
    <w:name w:val="Default"/>
    <w:rsid w:val="003367B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NoSpacing">
    <w:name w:val="No Spacing"/>
    <w:uiPriority w:val="1"/>
    <w:qFormat/>
    <w:rsid w:val="00C83B64"/>
    <w:rPr>
      <w:sz w:val="24"/>
      <w:szCs w:val="24"/>
    </w:rPr>
  </w:style>
  <w:style w:type="paragraph" w:customStyle="1" w:styleId="normal-p">
    <w:name w:val="normal-p"/>
    <w:basedOn w:val="Normal"/>
    <w:rsid w:val="00DA1E52"/>
    <w:rPr>
      <w:szCs w:val="24"/>
    </w:rPr>
  </w:style>
  <w:style w:type="character" w:customStyle="1" w:styleId="normal-h">
    <w:name w:val="normal-h"/>
    <w:basedOn w:val="DefaultParagraphFont"/>
    <w:rsid w:val="00DA1E52"/>
  </w:style>
  <w:style w:type="paragraph" w:customStyle="1" w:styleId="bodytext-p">
    <w:name w:val="bodytext-p"/>
    <w:basedOn w:val="Normal"/>
    <w:rsid w:val="00DA1E52"/>
    <w:pPr>
      <w:spacing w:after="150"/>
    </w:pPr>
    <w:rPr>
      <w:szCs w:val="24"/>
    </w:rPr>
  </w:style>
  <w:style w:type="character" w:customStyle="1" w:styleId="bodytext-h">
    <w:name w:val="bodytext-h"/>
    <w:basedOn w:val="DefaultParagraphFont"/>
    <w:rsid w:val="00DA1E52"/>
  </w:style>
  <w:style w:type="character" w:styleId="CommentReference">
    <w:name w:val="annotation reference"/>
    <w:basedOn w:val="DefaultParagraphFont"/>
    <w:rsid w:val="003D2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1AE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3D21AE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3700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B49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45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88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sta.sinkevicien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5870-DAC1-4999-99FB-63F15802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2</Pages>
  <Words>2153</Words>
  <Characters>1228</Characters>
  <Application>Microsoft Office Word</Application>
  <DocSecurity>12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Garbauskiene Laurentina</cp:lastModifiedBy>
  <cp:revision>2</cp:revision>
  <cp:lastPrinted>2017-02-13T14:05:00Z</cp:lastPrinted>
  <dcterms:created xsi:type="dcterms:W3CDTF">2019-10-01T13:08:00Z</dcterms:created>
  <dcterms:modified xsi:type="dcterms:W3CDTF">2019-10-01T13:08:00Z</dcterms:modified>
</cp:coreProperties>
</file>