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E6E4A" w14:textId="77777777" w:rsidR="000B41B1" w:rsidRPr="00974CAE" w:rsidRDefault="000B41B1" w:rsidP="00E50185">
      <w:pPr>
        <w:tabs>
          <w:tab w:val="left" w:pos="0"/>
        </w:tabs>
        <w:ind w:left="0" w:firstLine="0"/>
        <w:rPr>
          <w:rFonts w:ascii="Times New Roman" w:hAnsi="Times New Roman"/>
          <w:b/>
          <w:bCs/>
          <w:spacing w:val="100"/>
          <w:sz w:val="24"/>
          <w:szCs w:val="24"/>
          <w:lang w:val="lt-LT"/>
        </w:rPr>
      </w:pPr>
      <w:bookmarkStart w:id="0" w:name="_GoBack"/>
      <w:bookmarkEnd w:id="0"/>
    </w:p>
    <w:p w14:paraId="0149DEEF" w14:textId="77777777" w:rsidR="00906921" w:rsidRPr="00974CAE" w:rsidRDefault="00906921" w:rsidP="00E50185">
      <w:pPr>
        <w:tabs>
          <w:tab w:val="left" w:pos="0"/>
        </w:tabs>
        <w:ind w:left="0" w:firstLine="0"/>
        <w:jc w:val="center"/>
        <w:rPr>
          <w:rFonts w:ascii="Times New Roman" w:hAnsi="Times New Roman"/>
          <w:b/>
          <w:bCs/>
          <w:spacing w:val="100"/>
          <w:sz w:val="24"/>
          <w:szCs w:val="24"/>
          <w:lang w:val="lt-LT"/>
        </w:rPr>
      </w:pPr>
      <w:r w:rsidRPr="00974CAE">
        <w:rPr>
          <w:rFonts w:ascii="Times New Roman" w:hAnsi="Times New Roman"/>
          <w:b/>
          <w:bCs/>
          <w:spacing w:val="100"/>
          <w:sz w:val="24"/>
          <w:szCs w:val="24"/>
          <w:lang w:val="lt-LT"/>
        </w:rPr>
        <w:t xml:space="preserve">LIETUVOS RESPUBLIKOS POZICIJA </w:t>
      </w:r>
    </w:p>
    <w:p w14:paraId="09FA2655" w14:textId="77777777" w:rsidR="000B1283" w:rsidRPr="00974CAE" w:rsidRDefault="00906921" w:rsidP="00544A65">
      <w:pPr>
        <w:tabs>
          <w:tab w:val="left" w:pos="0"/>
        </w:tabs>
        <w:ind w:left="0" w:firstLine="0"/>
        <w:jc w:val="center"/>
        <w:rPr>
          <w:rFonts w:ascii="Times New Roman" w:hAnsi="Times New Roman"/>
          <w:b/>
          <w:sz w:val="24"/>
          <w:szCs w:val="24"/>
          <w:lang w:val="lt-LT"/>
        </w:rPr>
      </w:pPr>
      <w:r w:rsidRPr="00974CAE">
        <w:rPr>
          <w:rFonts w:ascii="Times New Roman" w:hAnsi="Times New Roman"/>
          <w:b/>
          <w:sz w:val="24"/>
          <w:szCs w:val="24"/>
          <w:lang w:val="lt-LT"/>
        </w:rPr>
        <w:t>DĖL APELIACI</w:t>
      </w:r>
      <w:r w:rsidR="00251830" w:rsidRPr="00974CAE">
        <w:rPr>
          <w:rFonts w:ascii="Times New Roman" w:hAnsi="Times New Roman"/>
          <w:b/>
          <w:sz w:val="24"/>
          <w:szCs w:val="24"/>
          <w:lang w:val="lt-LT"/>
        </w:rPr>
        <w:t xml:space="preserve">NIO SKUNDO </w:t>
      </w:r>
      <w:r w:rsidRPr="00974CAE">
        <w:rPr>
          <w:rFonts w:ascii="Times New Roman" w:hAnsi="Times New Roman"/>
          <w:b/>
          <w:sz w:val="24"/>
          <w:szCs w:val="24"/>
          <w:lang w:val="lt-LT"/>
        </w:rPr>
        <w:t>DĖL</w:t>
      </w:r>
      <w:r w:rsidR="00F4096B" w:rsidRPr="00974CAE">
        <w:rPr>
          <w:rFonts w:ascii="Times New Roman" w:hAnsi="Times New Roman"/>
          <w:b/>
          <w:sz w:val="24"/>
          <w:szCs w:val="24"/>
          <w:lang w:val="lt-LT"/>
        </w:rPr>
        <w:t xml:space="preserve"> EUROPOS SĄJUNGOS</w:t>
      </w:r>
      <w:r w:rsidRPr="00974CAE">
        <w:rPr>
          <w:rFonts w:ascii="Times New Roman" w:hAnsi="Times New Roman"/>
          <w:b/>
          <w:sz w:val="24"/>
          <w:szCs w:val="24"/>
          <w:lang w:val="lt-LT"/>
        </w:rPr>
        <w:t xml:space="preserve"> BENDROJO TEISMO SPRENDIMO </w:t>
      </w:r>
      <w:r w:rsidR="00251830" w:rsidRPr="00974CAE">
        <w:rPr>
          <w:rFonts w:ascii="Times New Roman" w:hAnsi="Times New Roman"/>
          <w:b/>
          <w:sz w:val="24"/>
          <w:szCs w:val="24"/>
          <w:lang w:val="lt-LT"/>
        </w:rPr>
        <w:t>BYLOJE</w:t>
      </w:r>
      <w:r w:rsidRPr="00974CAE">
        <w:rPr>
          <w:rFonts w:ascii="Times New Roman" w:hAnsi="Times New Roman"/>
          <w:b/>
          <w:sz w:val="24"/>
          <w:szCs w:val="24"/>
          <w:lang w:val="lt-LT"/>
        </w:rPr>
        <w:t xml:space="preserve"> </w:t>
      </w:r>
      <w:r w:rsidR="00D23917" w:rsidRPr="00974CAE">
        <w:rPr>
          <w:rFonts w:ascii="Times New Roman" w:hAnsi="Times New Roman"/>
          <w:b/>
          <w:i/>
          <w:iCs/>
          <w:sz w:val="24"/>
          <w:szCs w:val="24"/>
          <w:lang w:val="lt-LT"/>
        </w:rPr>
        <w:t>LIETUVA PRIEŠ KOMISIJĄ</w:t>
      </w:r>
      <w:r w:rsidR="00BC3134">
        <w:rPr>
          <w:rFonts w:ascii="Times New Roman" w:hAnsi="Times New Roman"/>
          <w:b/>
          <w:i/>
          <w:iCs/>
          <w:sz w:val="24"/>
          <w:szCs w:val="24"/>
          <w:lang w:val="lt-LT"/>
        </w:rPr>
        <w:t>,</w:t>
      </w:r>
      <w:r w:rsidR="00D23917" w:rsidRPr="00974CAE">
        <w:rPr>
          <w:rFonts w:ascii="Times New Roman" w:hAnsi="Times New Roman"/>
          <w:b/>
          <w:sz w:val="24"/>
          <w:szCs w:val="24"/>
          <w:lang w:val="lt-LT"/>
        </w:rPr>
        <w:t xml:space="preserve"> </w:t>
      </w:r>
      <w:r w:rsidRPr="00974CAE">
        <w:rPr>
          <w:rFonts w:ascii="Times New Roman" w:hAnsi="Times New Roman"/>
          <w:b/>
          <w:sz w:val="24"/>
          <w:szCs w:val="24"/>
          <w:lang w:val="lt-LT"/>
        </w:rPr>
        <w:t>T-19/18</w:t>
      </w:r>
      <w:r w:rsidR="00251830" w:rsidRPr="00974CAE">
        <w:rPr>
          <w:rFonts w:ascii="Times New Roman" w:hAnsi="Times New Roman"/>
          <w:b/>
          <w:sz w:val="24"/>
          <w:szCs w:val="24"/>
          <w:lang w:val="lt-LT"/>
        </w:rPr>
        <w:t xml:space="preserve"> PATEIKIMO </w:t>
      </w:r>
      <w:r w:rsidR="00F4096B" w:rsidRPr="00974CAE">
        <w:rPr>
          <w:rFonts w:ascii="Times New Roman" w:hAnsi="Times New Roman"/>
          <w:b/>
          <w:sz w:val="24"/>
          <w:szCs w:val="24"/>
          <w:lang w:val="lt-LT"/>
        </w:rPr>
        <w:t>EUROPOS SĄJUNGOS </w:t>
      </w:r>
      <w:r w:rsidR="00251830" w:rsidRPr="00974CAE">
        <w:rPr>
          <w:rFonts w:ascii="Times New Roman" w:hAnsi="Times New Roman"/>
          <w:b/>
          <w:sz w:val="24"/>
          <w:szCs w:val="24"/>
          <w:lang w:val="lt-LT"/>
        </w:rPr>
        <w:t>TEISINGUMO</w:t>
      </w:r>
      <w:r w:rsidR="00F4096B" w:rsidRPr="00974CAE">
        <w:rPr>
          <w:rFonts w:ascii="Times New Roman" w:hAnsi="Times New Roman"/>
          <w:b/>
          <w:sz w:val="24"/>
          <w:szCs w:val="24"/>
          <w:lang w:val="lt-LT"/>
        </w:rPr>
        <w:t> </w:t>
      </w:r>
      <w:r w:rsidR="00251830" w:rsidRPr="00974CAE">
        <w:rPr>
          <w:rFonts w:ascii="Times New Roman" w:hAnsi="Times New Roman"/>
          <w:b/>
          <w:sz w:val="24"/>
          <w:szCs w:val="24"/>
          <w:lang w:val="lt-LT"/>
        </w:rPr>
        <w:t>TEISMUI</w:t>
      </w:r>
    </w:p>
    <w:p w14:paraId="5C9D4480" w14:textId="77777777" w:rsidR="00251830" w:rsidRPr="00974CAE" w:rsidRDefault="00251830" w:rsidP="00E50185">
      <w:pPr>
        <w:pStyle w:val="prastasiniatinklio"/>
        <w:spacing w:before="0" w:beforeAutospacing="0" w:after="0" w:afterAutospacing="0" w:line="360" w:lineRule="auto"/>
        <w:contextualSpacing/>
        <w:rPr>
          <w:b/>
        </w:rPr>
      </w:pPr>
    </w:p>
    <w:p w14:paraId="1859BBA1" w14:textId="77777777" w:rsidR="00251830" w:rsidRPr="00974CAE" w:rsidRDefault="00251830" w:rsidP="00E50185">
      <w:pPr>
        <w:pStyle w:val="prastasiniatinklio"/>
        <w:spacing w:before="0" w:beforeAutospacing="0" w:after="0" w:afterAutospacing="0" w:line="360" w:lineRule="auto"/>
        <w:contextualSpacing/>
        <w:rPr>
          <w:b/>
          <w:i/>
          <w:iCs/>
        </w:rPr>
      </w:pPr>
      <w:r w:rsidRPr="00974CAE">
        <w:rPr>
          <w:b/>
        </w:rPr>
        <w:t>Bendrojo Teismo sprendim</w:t>
      </w:r>
      <w:r w:rsidR="00544A65" w:rsidRPr="00974CAE">
        <w:rPr>
          <w:b/>
        </w:rPr>
        <w:t xml:space="preserve">o byloje </w:t>
      </w:r>
      <w:r w:rsidR="00544A65" w:rsidRPr="00974CAE">
        <w:rPr>
          <w:b/>
          <w:i/>
          <w:iCs/>
        </w:rPr>
        <w:t>Lietuva prieš Komisiją</w:t>
      </w:r>
      <w:r w:rsidR="00BC3134">
        <w:rPr>
          <w:b/>
          <w:i/>
          <w:iCs/>
        </w:rPr>
        <w:t>,</w:t>
      </w:r>
      <w:r w:rsidR="00544A65" w:rsidRPr="00974CAE">
        <w:rPr>
          <w:b/>
          <w:i/>
          <w:iCs/>
        </w:rPr>
        <w:t xml:space="preserve"> </w:t>
      </w:r>
      <w:r w:rsidR="00544A65" w:rsidRPr="00974CAE">
        <w:rPr>
          <w:b/>
        </w:rPr>
        <w:t>T-19/18 apibūdinimas</w:t>
      </w:r>
    </w:p>
    <w:p w14:paraId="457FD878" w14:textId="77777777" w:rsidR="00251830" w:rsidRPr="00974CAE" w:rsidRDefault="00251830" w:rsidP="00E50185">
      <w:pPr>
        <w:pStyle w:val="prastasiniatinklio"/>
        <w:spacing w:before="0" w:beforeAutospacing="0" w:after="0" w:afterAutospacing="0" w:line="360" w:lineRule="auto"/>
        <w:contextualSpacing/>
        <w:rPr>
          <w:b/>
        </w:rPr>
      </w:pPr>
    </w:p>
    <w:p w14:paraId="54A04A49" w14:textId="77777777" w:rsidR="00251830" w:rsidRPr="00974CAE" w:rsidRDefault="00251830" w:rsidP="00E50185">
      <w:pPr>
        <w:pStyle w:val="prastasiniatinklio"/>
        <w:spacing w:before="0" w:beforeAutospacing="0" w:after="0" w:afterAutospacing="0" w:line="360" w:lineRule="auto"/>
        <w:ind w:firstLine="850"/>
        <w:contextualSpacing/>
        <w:jc w:val="both"/>
      </w:pPr>
      <w:r w:rsidRPr="00974CAE">
        <w:t>2020 m. sausio 22 d. sprendimu Bendrasis Teismas atmetė 2018 m. sausio 19 d. Lietuvos Respublikos pareikštą ieškinį</w:t>
      </w:r>
      <w:r w:rsidRPr="00974CAE">
        <w:rPr>
          <w:b/>
        </w:rPr>
        <w:t xml:space="preserve"> </w:t>
      </w:r>
      <w:r w:rsidRPr="00974CAE">
        <w:t xml:space="preserve">dėl Komisijos 2017 m. lapkričio 8 d. įgyvendinimo sprendimo (ES) 2017/2014 </w:t>
      </w:r>
      <w:r w:rsidRPr="00974CAE">
        <w:rPr>
          <w:rStyle w:val="Grietas"/>
          <w:b w:val="0"/>
        </w:rPr>
        <w:t>dėl valstybių narių patirtų tam tikrų išlaidų nefinansavimo Europos Sąjungos lėšomis iš Europos žemės ūkio garantijų fondo (EŽŪGF) ir Europos žemės ūkio fondo kaimo plėtrai (EŽŪFKP)</w:t>
      </w:r>
      <w:r w:rsidR="00B534DC" w:rsidRPr="00974CAE">
        <w:rPr>
          <w:rStyle w:val="Grietas"/>
          <w:b w:val="0"/>
        </w:rPr>
        <w:t xml:space="preserve"> (toliau – Ginčijamas sprendimas)</w:t>
      </w:r>
      <w:r w:rsidRPr="00974CAE">
        <w:rPr>
          <w:b/>
          <w:bCs/>
        </w:rPr>
        <w:t xml:space="preserve"> </w:t>
      </w:r>
      <w:r w:rsidRPr="00974CAE">
        <w:t xml:space="preserve">panaikinimo, kuriuo Lietuvai buvo skirta 10 292 057,79 EUR finansinė pataisa (atsisakyta finansuoti išlaidas Sąjungos paramos fondų lėšomis). </w:t>
      </w:r>
    </w:p>
    <w:p w14:paraId="244EB26E" w14:textId="77777777" w:rsidR="00251830" w:rsidRPr="00974CAE" w:rsidRDefault="00251830" w:rsidP="00E50185">
      <w:pPr>
        <w:pStyle w:val="prastasiniatinklio"/>
        <w:spacing w:before="0" w:beforeAutospacing="0" w:after="0" w:afterAutospacing="0" w:line="360" w:lineRule="auto"/>
        <w:ind w:firstLine="850"/>
        <w:contextualSpacing/>
        <w:jc w:val="both"/>
      </w:pPr>
      <w:r w:rsidRPr="00974CAE">
        <w:t xml:space="preserve">Lietuvos Respublikos </w:t>
      </w:r>
      <w:r w:rsidR="00544A65" w:rsidRPr="00974CAE">
        <w:t>institucijos</w:t>
      </w:r>
      <w:r w:rsidRPr="00974CAE">
        <w:t xml:space="preserve"> įvertino Bendrojo Teismo sprendimo motyvus ir mano, kad </w:t>
      </w:r>
      <w:r w:rsidR="001C4AFE" w:rsidRPr="00974CAE">
        <w:t>kai kurie iš jų nėra išsam</w:t>
      </w:r>
      <w:r w:rsidR="004637C7" w:rsidRPr="00974CAE">
        <w:t>ū</w:t>
      </w:r>
      <w:r w:rsidR="001C4AFE" w:rsidRPr="00974CAE">
        <w:t>s ir pakankami siekiant tinkamai įvertinti Lietuvai skirtų finansinių sankcijų pagrįstumą. Bendrasis Teismas, vertindamas Komisijos atlikto audito išvadas, kurių pagrindu buvo priimtas Ginčijamas sprendimas, padarė teisės klaidą, nepatikrinę</w:t>
      </w:r>
      <w:r w:rsidR="00B534DC" w:rsidRPr="00974CAE">
        <w:t xml:space="preserve">s, ar Komisijos informacija buvo tiksli, patikima ir nuosekli bei atmesdamas Lietuvos argumentus ir įrodymus be platesnio jų aptarimo. </w:t>
      </w:r>
    </w:p>
    <w:p w14:paraId="7A1FEC9D" w14:textId="77777777" w:rsidR="00B534DC" w:rsidRPr="00974CAE" w:rsidRDefault="00DF3E6F" w:rsidP="00E50185">
      <w:pPr>
        <w:pStyle w:val="prastasiniatinklio"/>
        <w:spacing w:before="0" w:beforeAutospacing="0" w:after="0" w:afterAutospacing="0" w:line="360" w:lineRule="auto"/>
        <w:ind w:firstLine="850"/>
        <w:contextualSpacing/>
        <w:jc w:val="both"/>
      </w:pPr>
      <w:r w:rsidRPr="00974CAE">
        <w:t>Įvertinus Bendrojo Teismo sprendimo motyvus, iš vienos pusės, ir Lietuvos Respublikos Vyriausybės byloje pateiktus argumentus ir įrodymus, iš kitos pusės, ir atsižvelgiant į apeliacinio proceso tikslą ir apimt</w:t>
      </w:r>
      <w:r w:rsidR="004637C7" w:rsidRPr="00974CAE">
        <w:t>i</w:t>
      </w:r>
      <w:r w:rsidRPr="00974CAE">
        <w:t>s, t</w:t>
      </w:r>
      <w:r w:rsidR="00B534DC" w:rsidRPr="00974CAE">
        <w:t>ikslinga teikti apeliacinį skundą dėl Bendrojo Teismo sprendimo dalių, kuriose jis pasisakė dėl</w:t>
      </w:r>
      <w:r w:rsidR="004637C7" w:rsidRPr="00974CAE">
        <w:t>:</w:t>
      </w:r>
      <w:r w:rsidR="00B534DC" w:rsidRPr="00974CAE">
        <w:t xml:space="preserve"> (1) kriterijų, taikomų siekiant nustatyti, ar pareiškėjai turėjo </w:t>
      </w:r>
      <w:r w:rsidR="004637C7" w:rsidRPr="00974CAE">
        <w:t xml:space="preserve">mažos ar vidutinės įmonės (toliau – </w:t>
      </w:r>
      <w:r w:rsidR="00B534DC" w:rsidRPr="00974CAE">
        <w:t>MVĮ</w:t>
      </w:r>
      <w:r w:rsidR="004637C7" w:rsidRPr="00974CAE">
        <w:t>)</w:t>
      </w:r>
      <w:r w:rsidR="00B534DC" w:rsidRPr="00974CAE">
        <w:t xml:space="preserve"> statusą (61-80 punktai); </w:t>
      </w:r>
      <w:r w:rsidR="000D593D" w:rsidRPr="00974CAE">
        <w:t xml:space="preserve"> (2) rizikos projektų stebėsenos veiksmingumo (81-95 punktai); 3</w:t>
      </w:r>
      <w:r w:rsidR="00B534DC" w:rsidRPr="00974CAE">
        <w:t>) patikrinimų vietoje kokybės kriterijų (175-194</w:t>
      </w:r>
      <w:r w:rsidRPr="00974CAE">
        <w:t xml:space="preserve"> punktai</w:t>
      </w:r>
      <w:r w:rsidR="00B534DC" w:rsidRPr="00974CAE">
        <w:t>); (</w:t>
      </w:r>
      <w:r w:rsidR="000D593D" w:rsidRPr="00974CAE">
        <w:t>4</w:t>
      </w:r>
      <w:r w:rsidR="00B534DC" w:rsidRPr="00974CAE">
        <w:t xml:space="preserve">) </w:t>
      </w:r>
      <w:r w:rsidRPr="00974CAE">
        <w:t xml:space="preserve">projektų išlaidų patikrinimų nepakankamumo (195-212 punktai). </w:t>
      </w:r>
      <w:r w:rsidR="00FC4376" w:rsidRPr="00974CAE">
        <w:t>K</w:t>
      </w:r>
      <w:r w:rsidRPr="00974CAE">
        <w:t xml:space="preserve">itų Bendrojo Teismo </w:t>
      </w:r>
      <w:r w:rsidR="00FC4376" w:rsidRPr="00974CAE">
        <w:t xml:space="preserve">sprendimo </w:t>
      </w:r>
      <w:r w:rsidRPr="00974CAE">
        <w:t>dalių ginčyti netikslinga. Apeliaciniame skund</w:t>
      </w:r>
      <w:r w:rsidR="000D593D" w:rsidRPr="00974CAE">
        <w:t xml:space="preserve">e teikiami pagrindai finansine išraiška yra įvertinti 4 619 315,86 EUR (nuo bendros finansinės pataisos). </w:t>
      </w:r>
    </w:p>
    <w:p w14:paraId="35C54E41" w14:textId="77777777" w:rsidR="00251830" w:rsidRPr="00974CAE" w:rsidRDefault="00251830" w:rsidP="00E50185">
      <w:pPr>
        <w:pStyle w:val="prastasiniatinklio"/>
        <w:spacing w:before="0" w:beforeAutospacing="0" w:after="0" w:afterAutospacing="0" w:line="360" w:lineRule="auto"/>
        <w:contextualSpacing/>
        <w:rPr>
          <w:b/>
        </w:rPr>
      </w:pPr>
    </w:p>
    <w:p w14:paraId="6D57D9F8" w14:textId="77777777" w:rsidR="00B534DC" w:rsidRPr="00974CAE" w:rsidRDefault="000D593D" w:rsidP="00E50185">
      <w:pPr>
        <w:pStyle w:val="prastasiniatinklio"/>
        <w:spacing w:before="0" w:beforeAutospacing="0" w:after="0" w:afterAutospacing="0" w:line="360" w:lineRule="auto"/>
        <w:contextualSpacing/>
        <w:rPr>
          <w:b/>
          <w:bCs/>
        </w:rPr>
      </w:pPr>
      <w:r w:rsidRPr="00974CAE">
        <w:rPr>
          <w:b/>
          <w:bCs/>
        </w:rPr>
        <w:t>Procedūra</w:t>
      </w:r>
    </w:p>
    <w:p w14:paraId="5E51EE70" w14:textId="77777777" w:rsidR="000D593D" w:rsidRPr="00974CAE" w:rsidRDefault="000D593D" w:rsidP="00E50185">
      <w:pPr>
        <w:ind w:left="0" w:firstLine="0"/>
        <w:jc w:val="left"/>
        <w:rPr>
          <w:rFonts w:ascii="Arial" w:eastAsia="Times New Roman" w:hAnsi="Arial" w:cs="Arial"/>
          <w:color w:val="475055"/>
          <w:sz w:val="24"/>
          <w:szCs w:val="24"/>
          <w:shd w:val="clear" w:color="auto" w:fill="FFFFFF"/>
          <w:lang w:val="lt-LT" w:eastAsia="en-GB"/>
        </w:rPr>
      </w:pPr>
    </w:p>
    <w:p w14:paraId="08351588" w14:textId="77777777" w:rsidR="00E50185" w:rsidRPr="00974CAE" w:rsidRDefault="000D593D" w:rsidP="00E50185">
      <w:pPr>
        <w:ind w:left="0" w:firstLine="851"/>
        <w:rPr>
          <w:rFonts w:ascii="Times New Roman" w:eastAsia="Times New Roman" w:hAnsi="Times New Roman"/>
          <w:sz w:val="24"/>
          <w:szCs w:val="24"/>
          <w:shd w:val="clear" w:color="auto" w:fill="FFFFFF"/>
          <w:lang w:val="lt-LT" w:eastAsia="en-GB"/>
        </w:rPr>
      </w:pPr>
      <w:r w:rsidRPr="00974CAE">
        <w:rPr>
          <w:rFonts w:ascii="Times New Roman" w:eastAsia="Times New Roman" w:hAnsi="Times New Roman"/>
          <w:sz w:val="24"/>
          <w:szCs w:val="24"/>
          <w:shd w:val="clear" w:color="auto" w:fill="FFFFFF"/>
          <w:lang w:val="lt-LT" w:eastAsia="en-GB"/>
        </w:rPr>
        <w:lastRenderedPageBreak/>
        <w:t xml:space="preserve">Teisingumo Teismui galima paduoti apeliacinius skundus dėl Bendrojo Teismo sprendimų ir nutarčių tik teisės klausimais. Jeigu apeliacinis skundas yra priimtinas ir pagrįstas, Teisingumo Teismas panaikina Bendrojo Teismo sprendimą. Jei sprendimas gali būti priimtas toje bylos stadijoje Teisingumo Teismas pats sprendžia bylą. Priešingu atveju jis grąžina bylą Bendrajam Teismui, kuriam </w:t>
      </w:r>
      <w:r w:rsidR="00FC4376" w:rsidRPr="00974CAE">
        <w:rPr>
          <w:rFonts w:ascii="Times New Roman" w:eastAsia="Times New Roman" w:hAnsi="Times New Roman"/>
          <w:sz w:val="24"/>
          <w:szCs w:val="24"/>
          <w:shd w:val="clear" w:color="auto" w:fill="FFFFFF"/>
          <w:lang w:val="lt-LT" w:eastAsia="en-GB"/>
        </w:rPr>
        <w:t xml:space="preserve">priimtas Teisingumo Teismo sprendimas, išnagrinėjus apeliacinį skundą, </w:t>
      </w:r>
      <w:r w:rsidRPr="00974CAE">
        <w:rPr>
          <w:rFonts w:ascii="Times New Roman" w:eastAsia="Times New Roman" w:hAnsi="Times New Roman"/>
          <w:sz w:val="24"/>
          <w:szCs w:val="24"/>
          <w:shd w:val="clear" w:color="auto" w:fill="FFFFFF"/>
          <w:lang w:val="lt-LT" w:eastAsia="en-GB"/>
        </w:rPr>
        <w:t>yra privalomas.</w:t>
      </w:r>
      <w:r w:rsidR="00E50185" w:rsidRPr="00974CAE">
        <w:rPr>
          <w:rFonts w:ascii="Times New Roman" w:eastAsia="Times New Roman" w:hAnsi="Times New Roman"/>
          <w:sz w:val="24"/>
          <w:szCs w:val="24"/>
          <w:shd w:val="clear" w:color="auto" w:fill="FFFFFF"/>
          <w:lang w:val="lt-LT" w:eastAsia="en-GB"/>
        </w:rPr>
        <w:t xml:space="preserve"> </w:t>
      </w:r>
      <w:r w:rsidRPr="00974CAE">
        <w:rPr>
          <w:rFonts w:ascii="Times New Roman" w:hAnsi="Times New Roman"/>
          <w:sz w:val="24"/>
          <w:szCs w:val="24"/>
          <w:lang w:val="lt-LT"/>
        </w:rPr>
        <w:t xml:space="preserve">Apeliaciniai skundai dėl Bendrojo Teismo sprendimų peržiūros teikiami Teisingumo Teismui </w:t>
      </w:r>
      <w:r w:rsidR="00E50185" w:rsidRPr="00974CAE">
        <w:rPr>
          <w:rFonts w:ascii="Times New Roman" w:hAnsi="Times New Roman"/>
          <w:sz w:val="24"/>
          <w:szCs w:val="24"/>
          <w:lang w:val="lt-LT"/>
        </w:rPr>
        <w:t xml:space="preserve">Statute ir </w:t>
      </w:r>
      <w:r w:rsidRPr="00974CAE">
        <w:rPr>
          <w:rFonts w:ascii="Times New Roman" w:hAnsi="Times New Roman"/>
          <w:sz w:val="24"/>
          <w:szCs w:val="24"/>
          <w:lang w:val="lt-LT"/>
        </w:rPr>
        <w:t>Procedūros reglament</w:t>
      </w:r>
      <w:r w:rsidR="00544A65" w:rsidRPr="00974CAE">
        <w:rPr>
          <w:rFonts w:ascii="Times New Roman" w:hAnsi="Times New Roman"/>
          <w:sz w:val="24"/>
          <w:szCs w:val="24"/>
          <w:lang w:val="lt-LT"/>
        </w:rPr>
        <w:t>e</w:t>
      </w:r>
      <w:r w:rsidRPr="00974CAE">
        <w:rPr>
          <w:rFonts w:ascii="Times New Roman" w:hAnsi="Times New Roman"/>
          <w:sz w:val="24"/>
          <w:szCs w:val="24"/>
          <w:lang w:val="lt-LT"/>
        </w:rPr>
        <w:t xml:space="preserve"> nurodyta tvarka.</w:t>
      </w:r>
    </w:p>
    <w:p w14:paraId="7787C9E3" w14:textId="77777777" w:rsidR="00E50185" w:rsidRPr="00974CAE" w:rsidRDefault="00E50185" w:rsidP="00E50185">
      <w:pPr>
        <w:ind w:left="0" w:firstLine="360"/>
        <w:rPr>
          <w:rFonts w:ascii="Times New Roman" w:hAnsi="Times New Roman"/>
          <w:sz w:val="24"/>
          <w:szCs w:val="24"/>
          <w:lang w:val="lt-LT"/>
        </w:rPr>
      </w:pPr>
      <w:r w:rsidRPr="00974CAE">
        <w:rPr>
          <w:rFonts w:ascii="Times New Roman" w:hAnsi="Times New Roman"/>
          <w:sz w:val="24"/>
          <w:szCs w:val="24"/>
          <w:lang w:val="lt-LT"/>
        </w:rPr>
        <w:t xml:space="preserve">Nagrinėjamu atveju terminas apeliaciniam skundui paduoti yra 2020 m. balandžio 1 d. </w:t>
      </w:r>
    </w:p>
    <w:p w14:paraId="2F58EE3F" w14:textId="77777777" w:rsidR="000D593D" w:rsidRPr="00974CAE" w:rsidRDefault="000D593D" w:rsidP="00E50185">
      <w:pPr>
        <w:pStyle w:val="prastasiniatinklio"/>
        <w:spacing w:before="0" w:beforeAutospacing="0" w:after="0" w:afterAutospacing="0" w:line="360" w:lineRule="auto"/>
        <w:contextualSpacing/>
      </w:pPr>
    </w:p>
    <w:p w14:paraId="01B8A635" w14:textId="77777777" w:rsidR="001B4F3E" w:rsidRPr="00974CAE" w:rsidRDefault="001B4F3E" w:rsidP="00CD6B35">
      <w:pPr>
        <w:pStyle w:val="prastasiniatinklio"/>
        <w:spacing w:before="0" w:beforeAutospacing="0" w:after="0" w:afterAutospacing="0" w:line="360" w:lineRule="auto"/>
        <w:contextualSpacing/>
        <w:jc w:val="both"/>
        <w:rPr>
          <w:b/>
        </w:rPr>
      </w:pPr>
      <w:r w:rsidRPr="00974CAE">
        <w:rPr>
          <w:b/>
        </w:rPr>
        <w:t>Ginčijamo sprendimo</w:t>
      </w:r>
      <w:r w:rsidR="00E50185" w:rsidRPr="00974CAE">
        <w:rPr>
          <w:b/>
        </w:rPr>
        <w:t xml:space="preserve"> reikšmė Lietuvai ir pagrindiniai motyvai, dėl kurių teikiam</w:t>
      </w:r>
      <w:r w:rsidRPr="00974CAE">
        <w:rPr>
          <w:b/>
        </w:rPr>
        <w:t>as</w:t>
      </w:r>
      <w:r w:rsidR="00E50185" w:rsidRPr="00974CAE">
        <w:rPr>
          <w:b/>
        </w:rPr>
        <w:t xml:space="preserve"> </w:t>
      </w:r>
      <w:r w:rsidRPr="00974CAE">
        <w:rPr>
          <w:b/>
        </w:rPr>
        <w:t>apeliacinis skundas</w:t>
      </w:r>
    </w:p>
    <w:p w14:paraId="23CCDF07" w14:textId="77777777" w:rsidR="001B4F3E" w:rsidRPr="00974CAE" w:rsidRDefault="001B4F3E" w:rsidP="00CD6B35">
      <w:pPr>
        <w:pStyle w:val="Tekstas"/>
        <w:tabs>
          <w:tab w:val="left" w:pos="180"/>
          <w:tab w:val="left" w:pos="1440"/>
        </w:tabs>
        <w:spacing w:before="100" w:beforeAutospacing="1" w:after="0" w:line="360" w:lineRule="auto"/>
        <w:ind w:firstLine="851"/>
      </w:pPr>
      <w:r w:rsidRPr="00974CAE">
        <w:t xml:space="preserve">Bendrojo Teismo sprendimas byloje T-19/18 turi poveikį Lietuvos Respublikos interesams, kurie įvertinti pagal 2016 m. gegužės 10 d. Lietuvos Respublikos Vyriausybės Europos Sąjungos komisijos protokoliniu sprendimu Nr. 239 patvirtintą Pavyzdinį Europos Sąjungos Teisingumo Teisme svarstomų bylų svarbos Lietuvai nustatymo kriterijų ir Lietuvos Respublikos pozicijos formulavimo gairių sąrašą. </w:t>
      </w:r>
    </w:p>
    <w:p w14:paraId="0594C3A0" w14:textId="77777777" w:rsidR="00112604" w:rsidRPr="00974CAE" w:rsidRDefault="001B4F3E" w:rsidP="00544A65">
      <w:pPr>
        <w:pStyle w:val="Tekstas"/>
        <w:tabs>
          <w:tab w:val="left" w:pos="180"/>
          <w:tab w:val="left" w:pos="1440"/>
        </w:tabs>
        <w:spacing w:before="0" w:after="0" w:line="360" w:lineRule="auto"/>
        <w:ind w:firstLine="851"/>
        <w:rPr>
          <w:bCs/>
          <w:i/>
          <w:iCs/>
        </w:rPr>
      </w:pPr>
      <w:r w:rsidRPr="00974CAE">
        <w:rPr>
          <w:i/>
          <w:iCs/>
        </w:rPr>
        <w:t xml:space="preserve">Poveikis Lietuvos Respublikos </w:t>
      </w:r>
      <w:r w:rsidRPr="00974CAE">
        <w:rPr>
          <w:bCs/>
          <w:i/>
          <w:iCs/>
        </w:rPr>
        <w:t>teisės aktuose įtvirtintam reguliavimui.</w:t>
      </w:r>
      <w:r w:rsidR="00544A65" w:rsidRPr="00974CAE">
        <w:rPr>
          <w:bCs/>
          <w:i/>
          <w:iCs/>
        </w:rPr>
        <w:t xml:space="preserve"> </w:t>
      </w:r>
      <w:r w:rsidR="00112604" w:rsidRPr="00974CAE">
        <w:t xml:space="preserve">Lietuvos Respublikos pozicija bus siekiama patvirtinti Lietuvos Respublikos teisės aktų atitiktį </w:t>
      </w:r>
      <w:r w:rsidR="00544A65" w:rsidRPr="00974CAE">
        <w:t>Sąjungos</w:t>
      </w:r>
      <w:r w:rsidR="00112604" w:rsidRPr="00974CAE">
        <w:t xml:space="preserve"> teisės reikalavimams. Bendrasis Teismas, atlikdamas Komisijos audito teisminę kontrolę, nusprendė, kad Lietuvoje taikomos paramos skyrimo kontrolės priemonė</w:t>
      </w:r>
      <w:r w:rsidR="004637C7" w:rsidRPr="00974CAE">
        <w:t>s</w:t>
      </w:r>
      <w:r w:rsidR="00112604" w:rsidRPr="00974CAE">
        <w:t xml:space="preserve"> yra nepakankamos ir prieštarauja Sąjungos teisės aktų reikalavimams ir Sąjungos finansų apsaugos tikslams. Apeliaciniu skundu tikimasi įrodyti, kad ne visais kontrolės priemonių klausimais Bendrojo Teismo vertinimas yra pagrįstas. </w:t>
      </w:r>
    </w:p>
    <w:p w14:paraId="37217E75" w14:textId="77777777" w:rsidR="001B4F3E" w:rsidRPr="00974CAE" w:rsidRDefault="001B4F3E" w:rsidP="00544A65">
      <w:pPr>
        <w:pStyle w:val="Tekstas"/>
        <w:tabs>
          <w:tab w:val="left" w:pos="180"/>
          <w:tab w:val="left" w:pos="1440"/>
        </w:tabs>
        <w:spacing w:before="0" w:after="0" w:line="360" w:lineRule="auto"/>
        <w:ind w:firstLine="851"/>
        <w:rPr>
          <w:i/>
          <w:iCs/>
        </w:rPr>
      </w:pPr>
      <w:r w:rsidRPr="00974CAE">
        <w:rPr>
          <w:bCs/>
          <w:i/>
          <w:iCs/>
        </w:rPr>
        <w:t xml:space="preserve">Poveikis </w:t>
      </w:r>
      <w:r w:rsidRPr="00974CAE">
        <w:rPr>
          <w:i/>
          <w:iCs/>
        </w:rPr>
        <w:t>valstybės finansams.</w:t>
      </w:r>
      <w:r w:rsidR="00544A65" w:rsidRPr="00974CAE">
        <w:rPr>
          <w:i/>
          <w:iCs/>
        </w:rPr>
        <w:t xml:space="preserve"> </w:t>
      </w:r>
      <w:r w:rsidRPr="00974CAE">
        <w:t>Apeliaciniu skund</w:t>
      </w:r>
      <w:r w:rsidR="00544A65" w:rsidRPr="00974CAE">
        <w:t>u</w:t>
      </w:r>
      <w:r w:rsidRPr="00974CAE">
        <w:t xml:space="preserve"> būtų siekiama sumažinti Lietuvai skirtos finansinės pataisos dydį, tokiu būdu apsaugant Lietuvos Respublikos finansinius interesus</w:t>
      </w:r>
      <w:r w:rsidRPr="00974CAE">
        <w:rPr>
          <w:bCs/>
        </w:rPr>
        <w:t>. Bendrasis Teismas nusprendė, kad</w:t>
      </w:r>
      <w:r w:rsidRPr="00974CAE">
        <w:t xml:space="preserve"> 10 292 057,79 EUR finansinė pataisa Lietuvai yra pagrįsta. Apeliaciniu skundu </w:t>
      </w:r>
      <w:r w:rsidR="00112604" w:rsidRPr="00974CAE">
        <w:t>tikimasi šią finansinę pataisą sumažinti, iki 5 672 741,93 EUR.</w:t>
      </w:r>
    </w:p>
    <w:p w14:paraId="1AFD2439" w14:textId="77777777" w:rsidR="001B4F3E" w:rsidRPr="00974CAE" w:rsidRDefault="001B4F3E" w:rsidP="00544A65">
      <w:pPr>
        <w:pStyle w:val="Tekstas"/>
        <w:tabs>
          <w:tab w:val="left" w:pos="180"/>
          <w:tab w:val="left" w:pos="1440"/>
        </w:tabs>
        <w:spacing w:before="0" w:after="0" w:line="360" w:lineRule="auto"/>
        <w:ind w:firstLine="851"/>
      </w:pPr>
      <w:r w:rsidRPr="00974CAE">
        <w:rPr>
          <w:i/>
          <w:iCs/>
        </w:rPr>
        <w:t>Poveikis valdžios institucijų taikomai administravimo praktikai.</w:t>
      </w:r>
      <w:r w:rsidR="00112604" w:rsidRPr="00974CAE">
        <w:rPr>
          <w:i/>
          <w:iCs/>
        </w:rPr>
        <w:t xml:space="preserve"> </w:t>
      </w:r>
      <w:r w:rsidR="00112604" w:rsidRPr="00974CAE">
        <w:t>Lietuvos Respublikos pozicija bus siekiama patvirtinti Lietuvos institucijų taikomos administracinės praktikos atitiktį Sąjungos teisei. Bendrojo Teismo sprendimas gali turėti neigiamos įtakos</w:t>
      </w:r>
      <w:r w:rsidR="006B01E5" w:rsidRPr="00974CAE">
        <w:t xml:space="preserve"> vertinant Lietuvos valdžios institucijų Sąjungos lėšų administravimo Sąjungos paramos fondų programo</w:t>
      </w:r>
      <w:r w:rsidR="00544A65" w:rsidRPr="00974CAE">
        <w:t>se</w:t>
      </w:r>
      <w:r w:rsidR="006B01E5" w:rsidRPr="00974CAE">
        <w:t xml:space="preserve"> praktiką. Apeliaciniu skundu tikimasi įrodyti, kad tam tikri institucijų atliekami veiksmai yra pagrįsti ir pakankami.</w:t>
      </w:r>
    </w:p>
    <w:p w14:paraId="7C6370C0" w14:textId="77777777" w:rsidR="00544A65" w:rsidRPr="00974CAE" w:rsidRDefault="00544A65" w:rsidP="00544A65">
      <w:pPr>
        <w:pStyle w:val="Tekstas"/>
        <w:tabs>
          <w:tab w:val="left" w:pos="180"/>
          <w:tab w:val="left" w:pos="1440"/>
        </w:tabs>
        <w:spacing w:before="0" w:after="0" w:line="360" w:lineRule="auto"/>
        <w:ind w:firstLine="851"/>
        <w:rPr>
          <w:i/>
          <w:iCs/>
        </w:rPr>
      </w:pPr>
    </w:p>
    <w:p w14:paraId="0DE971FC" w14:textId="77777777" w:rsidR="004C6CA1" w:rsidRPr="00974CAE" w:rsidRDefault="004C6CA1" w:rsidP="00E50185">
      <w:pPr>
        <w:pStyle w:val="prastasiniatinklio"/>
        <w:spacing w:before="0" w:beforeAutospacing="0" w:after="0" w:afterAutospacing="0" w:line="360" w:lineRule="auto"/>
        <w:contextualSpacing/>
        <w:jc w:val="both"/>
      </w:pPr>
    </w:p>
    <w:p w14:paraId="4FC68A51" w14:textId="77777777" w:rsidR="004C6CA1" w:rsidRPr="00974CAE" w:rsidRDefault="006B01E5" w:rsidP="006B01E5">
      <w:pPr>
        <w:tabs>
          <w:tab w:val="left" w:pos="0"/>
        </w:tabs>
        <w:spacing w:after="240"/>
        <w:ind w:left="0" w:firstLine="0"/>
        <w:rPr>
          <w:rFonts w:ascii="Times New Roman" w:hAnsi="Times New Roman"/>
          <w:b/>
          <w:sz w:val="24"/>
          <w:szCs w:val="24"/>
          <w:lang w:val="lt-LT"/>
        </w:rPr>
      </w:pPr>
      <w:r w:rsidRPr="00974CAE">
        <w:rPr>
          <w:rFonts w:ascii="Times New Roman" w:hAnsi="Times New Roman"/>
          <w:b/>
          <w:sz w:val="24"/>
          <w:szCs w:val="24"/>
          <w:lang w:val="lt-LT"/>
        </w:rPr>
        <w:t>Lietuvos Respublikos pozicija ir pagrindiniai apeliacinio</w:t>
      </w:r>
      <w:r w:rsidR="001B4D41" w:rsidRPr="00974CAE">
        <w:rPr>
          <w:rFonts w:ascii="Times New Roman" w:hAnsi="Times New Roman"/>
          <w:b/>
          <w:sz w:val="24"/>
          <w:szCs w:val="24"/>
          <w:lang w:val="lt-LT"/>
        </w:rPr>
        <w:t xml:space="preserve"> skundo</w:t>
      </w:r>
      <w:r w:rsidRPr="00974CAE">
        <w:rPr>
          <w:rFonts w:ascii="Times New Roman" w:hAnsi="Times New Roman"/>
          <w:b/>
          <w:sz w:val="24"/>
          <w:szCs w:val="24"/>
          <w:lang w:val="lt-LT"/>
        </w:rPr>
        <w:t xml:space="preserve"> teiginiai</w:t>
      </w:r>
    </w:p>
    <w:p w14:paraId="0EB520FE" w14:textId="77777777" w:rsidR="006B01E5" w:rsidRPr="00974CAE" w:rsidRDefault="004637C7" w:rsidP="006B01E5">
      <w:pPr>
        <w:tabs>
          <w:tab w:val="left" w:pos="0"/>
        </w:tabs>
        <w:spacing w:after="240"/>
        <w:ind w:left="0" w:firstLine="0"/>
        <w:rPr>
          <w:rFonts w:ascii="Times New Roman" w:hAnsi="Times New Roman"/>
          <w:b/>
          <w:i/>
          <w:iCs/>
          <w:sz w:val="24"/>
          <w:szCs w:val="24"/>
          <w:lang w:val="lt-LT"/>
        </w:rPr>
      </w:pPr>
      <w:r w:rsidRPr="00974CAE">
        <w:rPr>
          <w:rFonts w:ascii="Times New Roman" w:hAnsi="Times New Roman"/>
          <w:i/>
          <w:iCs/>
          <w:sz w:val="24"/>
          <w:szCs w:val="24"/>
          <w:lang w:val="lt-LT"/>
        </w:rPr>
        <w:t xml:space="preserve">1. </w:t>
      </w:r>
      <w:r w:rsidR="003B6419" w:rsidRPr="00974CAE">
        <w:rPr>
          <w:rFonts w:ascii="Times New Roman" w:hAnsi="Times New Roman"/>
          <w:i/>
          <w:iCs/>
          <w:sz w:val="24"/>
          <w:szCs w:val="24"/>
          <w:lang w:val="lt-LT"/>
        </w:rPr>
        <w:t>D</w:t>
      </w:r>
      <w:r w:rsidR="006B01E5" w:rsidRPr="00974CAE">
        <w:rPr>
          <w:rFonts w:ascii="Times New Roman" w:hAnsi="Times New Roman"/>
          <w:i/>
          <w:iCs/>
          <w:sz w:val="24"/>
          <w:szCs w:val="24"/>
          <w:lang w:val="lt-LT"/>
        </w:rPr>
        <w:t>ėl kriterijų, taikomų siekiant nustatyti, ar pareiškėjai turėjo MVĮ statusą (61-80 punktai)</w:t>
      </w:r>
    </w:p>
    <w:p w14:paraId="55BF6266" w14:textId="77777777" w:rsidR="00D24CB8" w:rsidRPr="00974CAE" w:rsidRDefault="00D24CB8" w:rsidP="00D24CB8">
      <w:pPr>
        <w:ind w:left="0" w:firstLine="850"/>
        <w:rPr>
          <w:rFonts w:ascii="Times New Roman" w:hAnsi="Times New Roman"/>
          <w:sz w:val="24"/>
          <w:szCs w:val="24"/>
          <w:lang w:val="lt-LT"/>
        </w:rPr>
      </w:pPr>
      <w:r w:rsidRPr="00974CAE">
        <w:rPr>
          <w:rFonts w:ascii="Times New Roman" w:hAnsi="Times New Roman"/>
          <w:sz w:val="24"/>
          <w:szCs w:val="24"/>
          <w:lang w:val="lt-LT"/>
        </w:rPr>
        <w:t xml:space="preserve">Šiuo klausimu Bendrasis Teismas nusprendė, kad </w:t>
      </w:r>
      <w:r w:rsidRPr="00974CAE">
        <w:rPr>
          <w:rFonts w:ascii="Times New Roman" w:eastAsia="Times New Roman" w:hAnsi="Times New Roman"/>
          <w:color w:val="000000"/>
          <w:sz w:val="24"/>
          <w:szCs w:val="24"/>
          <w:lang w:val="lt-LT" w:eastAsia="en-GB"/>
        </w:rPr>
        <w:t>Komisija pagrįstai pritaikė Lietuvai finansinę pataisą ir nusprendė, jog Lietuvos valdžios institucijų atliktų patikrinimų nepakako, kad būtų patvirtintas pareiškėjų MVĮ statusas, nes nebuvo tinkamai patikrintos su pareiškėjais susijusios įmonės ir pareiškėjų įmonės partnerės Lietuvoje arba užsienyje. </w:t>
      </w:r>
      <w:r w:rsidR="00AC7C3E" w:rsidRPr="00974CAE">
        <w:rPr>
          <w:rFonts w:ascii="Times New Roman" w:eastAsia="Times New Roman" w:hAnsi="Times New Roman"/>
          <w:color w:val="000000"/>
          <w:sz w:val="24"/>
          <w:szCs w:val="24"/>
          <w:lang w:val="lt-LT" w:eastAsia="en-GB"/>
        </w:rPr>
        <w:t>Apeliaciniame skunde su tuo reikėtų nesutikti.</w:t>
      </w:r>
    </w:p>
    <w:p w14:paraId="2A2ED0C0" w14:textId="77777777" w:rsidR="005039C6" w:rsidRPr="00974CAE" w:rsidRDefault="006B01E5" w:rsidP="00E50185">
      <w:pPr>
        <w:pStyle w:val="prastasiniatinklio"/>
        <w:spacing w:before="0" w:beforeAutospacing="0" w:after="0" w:afterAutospacing="0" w:line="360" w:lineRule="auto"/>
        <w:ind w:firstLine="850"/>
        <w:contextualSpacing/>
        <w:jc w:val="both"/>
      </w:pPr>
      <w:r w:rsidRPr="00974CAE">
        <w:t xml:space="preserve">Bendrasis Teismas sprendime neanalizavo Lietuvos Respublikos argumento, jog </w:t>
      </w:r>
      <w:r w:rsidR="00352364" w:rsidRPr="00974CAE">
        <w:t xml:space="preserve">Lietuvos valdžios institucijos siūlė atlikti papildomus </w:t>
      </w:r>
      <w:r w:rsidRPr="00974CAE">
        <w:t xml:space="preserve">pareiškėjų atitikties MVĮ statusui </w:t>
      </w:r>
      <w:r w:rsidR="00352364" w:rsidRPr="00974CAE">
        <w:t xml:space="preserve">patikrinimus užsienio duomenų bazėse, </w:t>
      </w:r>
      <w:r w:rsidRPr="00974CAE">
        <w:t xml:space="preserve">tačiau Komisija </w:t>
      </w:r>
      <w:r w:rsidR="005039C6" w:rsidRPr="00974CAE">
        <w:t xml:space="preserve">į tai </w:t>
      </w:r>
      <w:r w:rsidRPr="00974CAE">
        <w:t>nereagavo</w:t>
      </w:r>
      <w:r w:rsidR="005039C6" w:rsidRPr="00974CAE">
        <w:t>. Šiuo klausimu</w:t>
      </w:r>
      <w:r w:rsidR="00201E1B" w:rsidRPr="00974CAE">
        <w:t xml:space="preserve"> Bendrasis T</w:t>
      </w:r>
      <w:r w:rsidR="00352364" w:rsidRPr="00974CAE">
        <w:t xml:space="preserve">eismas </w:t>
      </w:r>
      <w:r w:rsidR="005039C6" w:rsidRPr="00974CAE">
        <w:t xml:space="preserve">pateikė neapibrėžtą ir daugiaprasmį </w:t>
      </w:r>
      <w:r w:rsidR="00352364" w:rsidRPr="00974CAE">
        <w:t>Reglamento Nr. 65/2011 24 straipsn</w:t>
      </w:r>
      <w:r w:rsidR="00201E1B" w:rsidRPr="00974CAE">
        <w:t>io 1 dal</w:t>
      </w:r>
      <w:r w:rsidR="005039C6" w:rsidRPr="00974CAE">
        <w:t xml:space="preserve">ies nuostatos išaiškinimą dėl reikalavimo patikrinti </w:t>
      </w:r>
      <w:r w:rsidR="00835AD5" w:rsidRPr="00974CAE">
        <w:t xml:space="preserve">„&lt;...&gt; </w:t>
      </w:r>
      <w:r w:rsidR="00835AD5" w:rsidRPr="00974CAE">
        <w:rPr>
          <w:i/>
        </w:rPr>
        <w:t>visus apsektus, kuriuos įmanoma ir reikia patikrinti &lt;...&gt;</w:t>
      </w:r>
      <w:r w:rsidR="00835AD5" w:rsidRPr="00974CAE">
        <w:t>“.</w:t>
      </w:r>
      <w:r w:rsidR="005039C6" w:rsidRPr="00974CAE">
        <w:t xml:space="preserve"> </w:t>
      </w:r>
      <w:r w:rsidR="00201E1B" w:rsidRPr="00974CAE">
        <w:t>Bendr</w:t>
      </w:r>
      <w:r w:rsidR="005039C6" w:rsidRPr="00974CAE">
        <w:t xml:space="preserve">ojo </w:t>
      </w:r>
      <w:r w:rsidR="00201E1B" w:rsidRPr="00974CAE">
        <w:t xml:space="preserve"> Teism</w:t>
      </w:r>
      <w:r w:rsidR="005039C6" w:rsidRPr="00974CAE">
        <w:t xml:space="preserve">o sprendimas šiuo klausimu yra neaiškus ir nemotyvuotas. </w:t>
      </w:r>
    </w:p>
    <w:p w14:paraId="610B2C97" w14:textId="77777777" w:rsidR="005B1A5C" w:rsidRPr="00974CAE" w:rsidRDefault="005039C6" w:rsidP="00E50185">
      <w:pPr>
        <w:pStyle w:val="prastasiniatinklio"/>
        <w:spacing w:before="0" w:beforeAutospacing="0" w:after="0" w:afterAutospacing="0" w:line="360" w:lineRule="auto"/>
        <w:ind w:firstLine="850"/>
        <w:contextualSpacing/>
        <w:jc w:val="both"/>
      </w:pPr>
      <w:r w:rsidRPr="00974CAE">
        <w:t>Bendrojo Teismo sprendimas dėl reikalavimo, kad</w:t>
      </w:r>
      <w:r w:rsidR="006625B7" w:rsidRPr="00974CAE">
        <w:t xml:space="preserve"> MVĮ statuso</w:t>
      </w:r>
      <w:r w:rsidRPr="00974CAE">
        <w:t xml:space="preserve"> </w:t>
      </w:r>
      <w:proofErr w:type="spellStart"/>
      <w:r w:rsidRPr="00974CAE">
        <w:rPr>
          <w:i/>
        </w:rPr>
        <w:t>ex</w:t>
      </w:r>
      <w:proofErr w:type="spellEnd"/>
      <w:r w:rsidRPr="00974CAE">
        <w:rPr>
          <w:i/>
        </w:rPr>
        <w:t xml:space="preserve"> </w:t>
      </w:r>
      <w:proofErr w:type="spellStart"/>
      <w:r w:rsidRPr="00974CAE">
        <w:rPr>
          <w:i/>
        </w:rPr>
        <w:t>post</w:t>
      </w:r>
      <w:proofErr w:type="spellEnd"/>
      <w:r w:rsidRPr="00974CAE">
        <w:t xml:space="preserve"> patikrinimus atliktų nepriklausoma įstaiga yra nemotyvuotas</w:t>
      </w:r>
      <w:r w:rsidR="00A35F71" w:rsidRPr="00974CAE">
        <w:t xml:space="preserve">, nes </w:t>
      </w:r>
      <w:r w:rsidRPr="00974CAE">
        <w:t xml:space="preserve">Sąjungos teisės aktuose nėra tokio reikalavimo. </w:t>
      </w:r>
    </w:p>
    <w:p w14:paraId="04BA8AB4" w14:textId="77777777" w:rsidR="001B4D41" w:rsidRPr="00974CAE" w:rsidRDefault="001B4D41" w:rsidP="001B4D41">
      <w:pPr>
        <w:pStyle w:val="prastasiniatinklio"/>
        <w:spacing w:before="0" w:beforeAutospacing="0" w:after="0" w:afterAutospacing="0" w:line="360" w:lineRule="auto"/>
        <w:ind w:firstLine="850"/>
        <w:jc w:val="both"/>
      </w:pPr>
    </w:p>
    <w:p w14:paraId="0367D9CF" w14:textId="77777777" w:rsidR="003B6419" w:rsidRPr="00974CAE" w:rsidRDefault="006625B7" w:rsidP="003B6419">
      <w:pPr>
        <w:pStyle w:val="prastasiniatinklio"/>
        <w:spacing w:before="0" w:beforeAutospacing="0" w:after="0" w:afterAutospacing="0" w:line="360" w:lineRule="auto"/>
        <w:contextualSpacing/>
        <w:jc w:val="both"/>
        <w:rPr>
          <w:i/>
          <w:iCs/>
        </w:rPr>
      </w:pPr>
      <w:r w:rsidRPr="00974CAE">
        <w:rPr>
          <w:i/>
          <w:iCs/>
        </w:rPr>
        <w:t xml:space="preserve">2. </w:t>
      </w:r>
      <w:r w:rsidR="003B6419" w:rsidRPr="00974CAE">
        <w:rPr>
          <w:i/>
          <w:iCs/>
        </w:rPr>
        <w:t>D</w:t>
      </w:r>
      <w:r w:rsidR="001B4D41" w:rsidRPr="00974CAE">
        <w:rPr>
          <w:i/>
          <w:iCs/>
        </w:rPr>
        <w:t>ėl rizikos projektų stebėsenos veiksmingumo (81-95 punktai)</w:t>
      </w:r>
    </w:p>
    <w:p w14:paraId="421B9970" w14:textId="77777777" w:rsidR="00D24CB8" w:rsidRPr="00974CAE" w:rsidRDefault="00D24CB8" w:rsidP="00D24CB8">
      <w:pPr>
        <w:spacing w:line="240" w:lineRule="auto"/>
        <w:ind w:left="0" w:firstLine="0"/>
        <w:jc w:val="left"/>
        <w:rPr>
          <w:rFonts w:ascii="Arial" w:eastAsia="Times New Roman" w:hAnsi="Arial" w:cs="Arial"/>
          <w:color w:val="000000"/>
          <w:sz w:val="18"/>
          <w:szCs w:val="18"/>
          <w:lang w:val="lt-LT" w:eastAsia="en-GB"/>
        </w:rPr>
      </w:pPr>
    </w:p>
    <w:p w14:paraId="37DA4337" w14:textId="77777777" w:rsidR="00D24CB8" w:rsidRPr="00974CAE" w:rsidRDefault="00D24CB8" w:rsidP="00D24CB8">
      <w:pPr>
        <w:ind w:left="0" w:firstLine="851"/>
        <w:rPr>
          <w:rFonts w:ascii="Times New Roman" w:eastAsia="Times New Roman" w:hAnsi="Times New Roman"/>
          <w:sz w:val="24"/>
          <w:szCs w:val="24"/>
          <w:lang w:val="lt-LT" w:eastAsia="en-GB"/>
        </w:rPr>
      </w:pPr>
      <w:r w:rsidRPr="00974CAE">
        <w:rPr>
          <w:rFonts w:ascii="Times New Roman" w:hAnsi="Times New Roman"/>
          <w:sz w:val="24"/>
          <w:szCs w:val="24"/>
          <w:lang w:val="lt-LT"/>
        </w:rPr>
        <w:t xml:space="preserve">Šiuo klausimu Bendrasis Teismas nusprendė, kad </w:t>
      </w:r>
      <w:r w:rsidRPr="00974CAE">
        <w:rPr>
          <w:rFonts w:ascii="Times New Roman" w:eastAsia="Times New Roman" w:hAnsi="Times New Roman"/>
          <w:color w:val="000000"/>
          <w:sz w:val="24"/>
          <w:szCs w:val="24"/>
          <w:lang w:val="lt-LT" w:eastAsia="en-GB"/>
        </w:rPr>
        <w:t xml:space="preserve">Komisija pagrįstai pritaikė Lietuvai finansinę pataisą ir nusprendė, jog Lietuvos valdžios institucijų atlikti patikrinimai siekiant užtikrinti projektų, kurie priskiriami prie rizikingų projektų dėl galimo dirbtinių sąlygų sukūrimo, stebėseną turėjo trūkumų. </w:t>
      </w:r>
      <w:r w:rsidR="00AC7C3E" w:rsidRPr="00974CAE">
        <w:rPr>
          <w:rFonts w:ascii="Times New Roman" w:eastAsia="Times New Roman" w:hAnsi="Times New Roman"/>
          <w:color w:val="000000"/>
          <w:sz w:val="24"/>
          <w:szCs w:val="24"/>
          <w:lang w:val="lt-LT" w:eastAsia="en-GB"/>
        </w:rPr>
        <w:t>Apeliaciniame skunde su tuo reikėtų nesutikti.</w:t>
      </w:r>
    </w:p>
    <w:p w14:paraId="4B51738A" w14:textId="7A91F5C4" w:rsidR="001B4D41" w:rsidRPr="00974CAE" w:rsidRDefault="0015578A" w:rsidP="003B6419">
      <w:pPr>
        <w:pStyle w:val="prastasiniatinklio"/>
        <w:spacing w:before="120" w:beforeAutospacing="0" w:after="0" w:afterAutospacing="0" w:line="360" w:lineRule="auto"/>
        <w:ind w:firstLine="851"/>
        <w:jc w:val="both"/>
      </w:pPr>
      <w:r w:rsidRPr="00974CAE">
        <w:t>Bendrojo Teismo sprendim</w:t>
      </w:r>
      <w:r w:rsidR="001B4D41" w:rsidRPr="00974CAE">
        <w:t>o</w:t>
      </w:r>
      <w:r w:rsidRPr="00974CAE">
        <w:t xml:space="preserve"> </w:t>
      </w:r>
      <w:r w:rsidR="000A3F1C" w:rsidRPr="00974CAE">
        <w:t>81-90 punkt</w:t>
      </w:r>
      <w:r w:rsidR="001B4D41" w:rsidRPr="00974CAE">
        <w:t>uose</w:t>
      </w:r>
      <w:r w:rsidR="000A3F1C" w:rsidRPr="00974CAE">
        <w:t xml:space="preserve"> </w:t>
      </w:r>
      <w:r w:rsidRPr="00974CAE">
        <w:t>formuojama</w:t>
      </w:r>
      <w:r w:rsidR="005039C6" w:rsidRPr="00974CAE">
        <w:t xml:space="preserve"> praktika</w:t>
      </w:r>
      <w:r w:rsidRPr="00974CAE">
        <w:t xml:space="preserve"> prieš</w:t>
      </w:r>
      <w:r w:rsidR="005039C6" w:rsidRPr="00974CAE">
        <w:t xml:space="preserve">tarauja </w:t>
      </w:r>
      <w:r w:rsidRPr="00974CAE">
        <w:t>Teisingumo Teismo</w:t>
      </w:r>
      <w:r w:rsidR="001B4D41" w:rsidRPr="00974CAE">
        <w:t xml:space="preserve"> jurisprudencijai</w:t>
      </w:r>
      <w:r w:rsidRPr="00974CAE">
        <w:t xml:space="preserve"> (</w:t>
      </w:r>
      <w:r w:rsidR="00C51564" w:rsidRPr="00974CAE">
        <w:t xml:space="preserve">žr. pavyzdžiui, </w:t>
      </w:r>
      <w:r w:rsidRPr="00974CAE">
        <w:t>byl</w:t>
      </w:r>
      <w:r w:rsidR="00BB2B74" w:rsidRPr="00974CAE">
        <w:t>o</w:t>
      </w:r>
      <w:r w:rsidR="00C51564" w:rsidRPr="00974CAE">
        <w:t>s</w:t>
      </w:r>
      <w:r w:rsidR="001B4D41" w:rsidRPr="00974CAE">
        <w:t xml:space="preserve"> </w:t>
      </w:r>
      <w:proofErr w:type="spellStart"/>
      <w:r w:rsidR="00C51564" w:rsidRPr="00974CAE">
        <w:rPr>
          <w:i/>
          <w:iCs/>
        </w:rPr>
        <w:t>Slancheva</w:t>
      </w:r>
      <w:proofErr w:type="spellEnd"/>
      <w:r w:rsidR="00C51564" w:rsidRPr="00974CAE">
        <w:rPr>
          <w:i/>
          <w:iCs/>
        </w:rPr>
        <w:t xml:space="preserve"> </w:t>
      </w:r>
      <w:proofErr w:type="spellStart"/>
      <w:r w:rsidR="00C51564" w:rsidRPr="00974CAE">
        <w:rPr>
          <w:i/>
          <w:iCs/>
        </w:rPr>
        <w:t>sila</w:t>
      </w:r>
      <w:proofErr w:type="spellEnd"/>
      <w:r w:rsidR="00C51564" w:rsidRPr="00974CAE">
        <w:rPr>
          <w:i/>
          <w:iCs/>
        </w:rPr>
        <w:t xml:space="preserve">, </w:t>
      </w:r>
      <w:r w:rsidRPr="00974CAE">
        <w:t>C-434/12</w:t>
      </w:r>
      <w:r w:rsidR="001B4D41" w:rsidRPr="00974CAE">
        <w:t xml:space="preserve">, </w:t>
      </w:r>
      <w:r w:rsidR="00BB2B74" w:rsidRPr="00974CAE">
        <w:t xml:space="preserve">43 </w:t>
      </w:r>
      <w:r w:rsidR="00C51564" w:rsidRPr="00974CAE">
        <w:t xml:space="preserve">bei 48 </w:t>
      </w:r>
      <w:r w:rsidR="00BB2B74" w:rsidRPr="00974CAE">
        <w:t>punkt</w:t>
      </w:r>
      <w:r w:rsidR="00C51564" w:rsidRPr="00974CAE">
        <w:t>us</w:t>
      </w:r>
      <w:r w:rsidRPr="00974CAE">
        <w:t>).</w:t>
      </w:r>
      <w:r w:rsidR="00682E25" w:rsidRPr="00974CAE">
        <w:t xml:space="preserve"> </w:t>
      </w:r>
      <w:r w:rsidR="005C62B7">
        <w:t xml:space="preserve">Teisingumo Teismo praktikoje </w:t>
      </w:r>
      <w:r w:rsidR="005C62B7" w:rsidRPr="00972D4E">
        <w:t xml:space="preserve">„&lt;...&gt; </w:t>
      </w:r>
      <w:r w:rsidR="005C62B7" w:rsidRPr="00972D4E">
        <w:rPr>
          <w:i/>
        </w:rPr>
        <w:t xml:space="preserve">Reglamento Nr. 65/2011 4 straipsnio 8 dalis aiškinama taip, kad ja </w:t>
      </w:r>
      <w:r w:rsidR="005C62B7" w:rsidRPr="005C62B7">
        <w:rPr>
          <w:b/>
          <w:i/>
        </w:rPr>
        <w:t>draudžiama atmesti prašymą</w:t>
      </w:r>
      <w:r w:rsidR="005C62B7" w:rsidRPr="00972D4E">
        <w:rPr>
          <w:i/>
        </w:rPr>
        <w:t xml:space="preserve"> dėl paramos mokėjimo &lt;...&gt; vien todėl, kad investicinis projektas, kuriam prašoma skirti paramą pagal tą schemą, funkciniu požiūriu yra nesavarankiškas arba kad paraiškas dėl tokios paramos pateikusius asmenis sieja teisinis ryšys, neatsižvelgus į kitus objektyvius konkrečios bylos elementus“</w:t>
      </w:r>
      <w:r w:rsidR="005C62B7">
        <w:t xml:space="preserve">, Tuo tarpu </w:t>
      </w:r>
      <w:r w:rsidR="000E1BE7" w:rsidRPr="00974CAE">
        <w:t xml:space="preserve">Bendrojo Teismo sprendimo 87 punkte teigiama, kad „&lt;...&gt; </w:t>
      </w:r>
      <w:r w:rsidR="000E1BE7" w:rsidRPr="00974CAE">
        <w:rPr>
          <w:rFonts w:eastAsiaTheme="minorHAnsi"/>
          <w:i/>
          <w:color w:val="000000"/>
        </w:rPr>
        <w:t xml:space="preserve">paramos paraiška turi būti atmesta, jeigu paaiškėja, kad jos prašantis asmuo dirbtinai sukūrė sąlygas, </w:t>
      </w:r>
      <w:r w:rsidR="000E1BE7" w:rsidRPr="00974CAE">
        <w:rPr>
          <w:rFonts w:eastAsiaTheme="minorHAnsi"/>
          <w:i/>
          <w:color w:val="000000"/>
        </w:rPr>
        <w:lastRenderedPageBreak/>
        <w:t>būtinas norint pasinaudoti šia parama</w:t>
      </w:r>
      <w:r w:rsidR="000E1BE7" w:rsidRPr="00974CAE">
        <w:rPr>
          <w:rFonts w:eastAsiaTheme="minorHAnsi"/>
          <w:color w:val="000000"/>
        </w:rPr>
        <w:t xml:space="preserve"> &lt;...&gt;“, </w:t>
      </w:r>
      <w:r w:rsidR="001B4D41" w:rsidRPr="00974CAE">
        <w:rPr>
          <w:rFonts w:eastAsiaTheme="minorHAnsi"/>
          <w:color w:val="000000"/>
        </w:rPr>
        <w:t>o</w:t>
      </w:r>
      <w:r w:rsidR="000E1BE7" w:rsidRPr="00974CAE">
        <w:t xml:space="preserve"> 81-95 punktuose </w:t>
      </w:r>
      <w:r w:rsidR="001B4D41" w:rsidRPr="00974CAE">
        <w:t>nurodoma</w:t>
      </w:r>
      <w:r w:rsidR="000E1BE7" w:rsidRPr="00974CAE">
        <w:t>, kad užtenka bet kokių veiksmų derinimo požymių</w:t>
      </w:r>
      <w:r w:rsidR="001B4D41" w:rsidRPr="00974CAE">
        <w:t>. Taigi, anot Bendrojo Teismo</w:t>
      </w:r>
      <w:r w:rsidR="00C51564" w:rsidRPr="00974CAE">
        <w:t>,</w:t>
      </w:r>
      <w:r w:rsidR="001B4D41" w:rsidRPr="00974CAE">
        <w:t xml:space="preserve"> nereikia nustatyti objektyvių dirbtinių sąlygų požymių.</w:t>
      </w:r>
    </w:p>
    <w:p w14:paraId="0ECA57D1" w14:textId="76DB3569" w:rsidR="00F342A1" w:rsidRPr="00974CAE" w:rsidRDefault="00E46192" w:rsidP="00AC2947">
      <w:pPr>
        <w:pStyle w:val="prastasiniatinklio"/>
        <w:spacing w:before="0" w:beforeAutospacing="0" w:after="0" w:afterAutospacing="0" w:line="360" w:lineRule="auto"/>
        <w:ind w:firstLine="851"/>
        <w:contextualSpacing/>
        <w:jc w:val="both"/>
      </w:pPr>
      <w:r w:rsidRPr="00974CAE">
        <w:t>Bendrojo Teismo sprendim</w:t>
      </w:r>
      <w:r w:rsidR="00F342A1" w:rsidRPr="00974CAE">
        <w:t xml:space="preserve">o </w:t>
      </w:r>
      <w:r w:rsidRPr="00974CAE">
        <w:t xml:space="preserve">89 punkte nurodyta, kad </w:t>
      </w:r>
      <w:r w:rsidR="002F5578">
        <w:t xml:space="preserve">iš esmės rizikos stebėsena buvo neefektyvi, kadangi </w:t>
      </w:r>
      <w:r w:rsidR="009B3BFB">
        <w:t xml:space="preserve"> </w:t>
      </w:r>
      <w:r w:rsidRPr="00974CAE">
        <w:t xml:space="preserve">„&lt;...&gt; </w:t>
      </w:r>
      <w:r w:rsidRPr="00974CAE">
        <w:rPr>
          <w:i/>
        </w:rPr>
        <w:t xml:space="preserve">buvo atsisakyta finansuoti kompetentingų institucijų rizikingais pripažintus projektus tik </w:t>
      </w:r>
      <w:r w:rsidR="00F342A1" w:rsidRPr="00974CAE">
        <w:rPr>
          <w:i/>
        </w:rPr>
        <w:t>p</w:t>
      </w:r>
      <w:r w:rsidRPr="00974CAE">
        <w:rPr>
          <w:i/>
        </w:rPr>
        <w:t>ateikus Komisijos atlikto audito išvadas</w:t>
      </w:r>
      <w:r w:rsidRPr="00974CAE">
        <w:t xml:space="preserve">“, o </w:t>
      </w:r>
      <w:r w:rsidR="005D6655" w:rsidRPr="00974CAE">
        <w:t>9</w:t>
      </w:r>
      <w:r w:rsidR="005D6655">
        <w:t>0</w:t>
      </w:r>
      <w:r w:rsidR="005D6655" w:rsidRPr="00974CAE">
        <w:t xml:space="preserve"> </w:t>
      </w:r>
      <w:r w:rsidRPr="00974CAE">
        <w:t>punkte teigiama, kad buvo atsisakyta finansuoti</w:t>
      </w:r>
      <w:r w:rsidR="004E1083">
        <w:t xml:space="preserve"> du audito metu tirtus </w:t>
      </w:r>
      <w:r w:rsidR="008C15DA">
        <w:t>projektus</w:t>
      </w:r>
      <w:r w:rsidR="00AC2947">
        <w:t>.</w:t>
      </w:r>
      <w:r w:rsidRPr="00974CAE">
        <w:t xml:space="preserve"> </w:t>
      </w:r>
      <w:r w:rsidR="00F342A1" w:rsidRPr="00974CAE">
        <w:t>Šios Bendrojo Teismo išvados neatitinka byloje esančių faktinių aplinkybių.</w:t>
      </w:r>
      <w:r w:rsidR="00923E62" w:rsidRPr="00974CAE">
        <w:t xml:space="preserve"> </w:t>
      </w:r>
      <w:r w:rsidR="008C15DA">
        <w:t xml:space="preserve">Iš tiesų, </w:t>
      </w:r>
      <w:r w:rsidR="00570720">
        <w:t xml:space="preserve">buvo atsisakyta finansuoti </w:t>
      </w:r>
      <w:r w:rsidR="00E96902">
        <w:t xml:space="preserve">projektus </w:t>
      </w:r>
      <w:r w:rsidR="00570720">
        <w:t xml:space="preserve">tik </w:t>
      </w:r>
      <w:r w:rsidR="00E96902">
        <w:t xml:space="preserve">vienu </w:t>
      </w:r>
      <w:r w:rsidR="00570720">
        <w:t xml:space="preserve">iš audito metu tirtų </w:t>
      </w:r>
      <w:r w:rsidR="00E96902">
        <w:t>atvejų</w:t>
      </w:r>
      <w:r w:rsidR="00824907">
        <w:t>.</w:t>
      </w:r>
      <w:r w:rsidR="008C15DA">
        <w:t xml:space="preserve"> </w:t>
      </w:r>
      <w:r w:rsidR="005C62B7">
        <w:t>Pirmu</w:t>
      </w:r>
      <w:r w:rsidR="00E96902">
        <w:t>oju</w:t>
      </w:r>
      <w:r w:rsidR="005C62B7">
        <w:t xml:space="preserve"> atveju iš tikrųjų buvo</w:t>
      </w:r>
      <w:r w:rsidR="008C15DA">
        <w:t xml:space="preserve"> įtari</w:t>
      </w:r>
      <w:r w:rsidR="005C62B7">
        <w:t>mai dėl</w:t>
      </w:r>
      <w:r w:rsidR="008C15DA">
        <w:t xml:space="preserve"> dirbtin</w:t>
      </w:r>
      <w:r w:rsidR="005C62B7">
        <w:t>ių</w:t>
      </w:r>
      <w:r w:rsidR="008C15DA">
        <w:t xml:space="preserve"> sąly</w:t>
      </w:r>
      <w:r w:rsidR="005C62B7">
        <w:t>gų</w:t>
      </w:r>
      <w:r w:rsidR="00824907">
        <w:t>,</w:t>
      </w:r>
      <w:r w:rsidR="005C62B7">
        <w:t xml:space="preserve"> todėl</w:t>
      </w:r>
      <w:r w:rsidR="00E96902">
        <w:t>, be kita ko,</w:t>
      </w:r>
      <w:r w:rsidR="00824907">
        <w:t xml:space="preserve"> buvo kreiptasi į </w:t>
      </w:r>
      <w:r w:rsidR="00824907" w:rsidRPr="00974CAE">
        <w:t>ikiteisminio tyrimo institucijas</w:t>
      </w:r>
      <w:r w:rsidR="00824907">
        <w:t xml:space="preserve"> ir byloje nurodyta</w:t>
      </w:r>
      <w:r w:rsidR="00824907" w:rsidRPr="00974CAE">
        <w:t>, kad t</w:t>
      </w:r>
      <w:r w:rsidR="00824907">
        <w:t xml:space="preserve">okie veiksmai </w:t>
      </w:r>
      <w:r w:rsidR="00824907" w:rsidRPr="00974CAE">
        <w:t>yra rizikos projektų stebėsenos dalis</w:t>
      </w:r>
      <w:r w:rsidR="00E96902">
        <w:t xml:space="preserve">, o sutartys  dėl aštuonių projektų finansavimo nutrauktos po išsamaus tyrimo. </w:t>
      </w:r>
      <w:r w:rsidR="00824907">
        <w:t xml:space="preserve">Antruoju atveju </w:t>
      </w:r>
      <w:r w:rsidR="00322C26">
        <w:t xml:space="preserve">dirbtinės sąlygos, kurias </w:t>
      </w:r>
      <w:r w:rsidR="00824907">
        <w:t xml:space="preserve">iš pradžių </w:t>
      </w:r>
      <w:r w:rsidR="00322C26">
        <w:t xml:space="preserve">įtarė </w:t>
      </w:r>
      <w:r w:rsidR="00824907">
        <w:t>ir</w:t>
      </w:r>
      <w:r w:rsidR="00322C26">
        <w:t xml:space="preserve"> Lietuvos institucijos, </w:t>
      </w:r>
      <w:r w:rsidR="00824907">
        <w:t>ir</w:t>
      </w:r>
      <w:r w:rsidR="00322C26">
        <w:t xml:space="preserve"> </w:t>
      </w:r>
      <w:r w:rsidR="00824907">
        <w:t>Komisija</w:t>
      </w:r>
      <w:r w:rsidR="00244F29">
        <w:t>,</w:t>
      </w:r>
      <w:r w:rsidR="00322C26">
        <w:t xml:space="preserve"> </w:t>
      </w:r>
      <w:r w:rsidR="00244F29">
        <w:t xml:space="preserve">po išsamaus nagrinėjimo </w:t>
      </w:r>
      <w:r w:rsidR="00322C26">
        <w:t>nepasitvirtino</w:t>
      </w:r>
      <w:r w:rsidR="00E96902">
        <w:t>,</w:t>
      </w:r>
      <w:r w:rsidR="00322C26">
        <w:t xml:space="preserve"> </w:t>
      </w:r>
      <w:r w:rsidR="00244F29">
        <w:t>o</w:t>
      </w:r>
      <w:r w:rsidR="00322C26">
        <w:t xml:space="preserve"> šį faktą </w:t>
      </w:r>
      <w:r w:rsidR="00824907">
        <w:t>Komisija</w:t>
      </w:r>
      <w:r w:rsidR="00322C26">
        <w:t xml:space="preserve"> </w:t>
      </w:r>
      <w:r w:rsidR="00824907">
        <w:t xml:space="preserve">pripažino bei </w:t>
      </w:r>
      <w:r w:rsidR="00322C26">
        <w:t xml:space="preserve">patvirtino savo </w:t>
      </w:r>
      <w:r w:rsidR="00824907">
        <w:t xml:space="preserve">galutinėje </w:t>
      </w:r>
      <w:r w:rsidR="00322C26">
        <w:t>išvadoje</w:t>
      </w:r>
      <w:r w:rsidR="00824907">
        <w:t>.</w:t>
      </w:r>
      <w:r w:rsidR="00E44753" w:rsidRPr="00974CAE">
        <w:t xml:space="preserve"> </w:t>
      </w:r>
      <w:r w:rsidR="00C51564" w:rsidRPr="00974CAE">
        <w:t>Taigi, Bendrasis Teismas iškraipė Lietuvos Respublikos pateiktus įrodymus</w:t>
      </w:r>
      <w:r w:rsidR="00753D7D">
        <w:t xml:space="preserve"> ir byloje esančias faktines aplinkybes</w:t>
      </w:r>
      <w:r w:rsidR="00C51564" w:rsidRPr="00974CAE">
        <w:t xml:space="preserve">. </w:t>
      </w:r>
    </w:p>
    <w:p w14:paraId="0397A8DF" w14:textId="583C8555" w:rsidR="0082260A" w:rsidRPr="00974CAE" w:rsidRDefault="00C4388B" w:rsidP="00E50185">
      <w:pPr>
        <w:pStyle w:val="prastasiniatinklio"/>
        <w:spacing w:before="0" w:beforeAutospacing="0" w:after="0" w:afterAutospacing="0" w:line="360" w:lineRule="auto"/>
        <w:ind w:firstLine="851"/>
        <w:contextualSpacing/>
        <w:jc w:val="both"/>
      </w:pPr>
      <w:r w:rsidRPr="00974CAE">
        <w:t>Bendrojo Teismo sprendim</w:t>
      </w:r>
      <w:r w:rsidR="00F342A1" w:rsidRPr="00974CAE">
        <w:t>o</w:t>
      </w:r>
      <w:r w:rsidRPr="00974CAE">
        <w:t xml:space="preserve"> 92-93 punktai</w:t>
      </w:r>
      <w:r w:rsidR="00F342A1" w:rsidRPr="00974CAE">
        <w:t xml:space="preserve"> </w:t>
      </w:r>
      <w:r w:rsidRPr="00974CAE">
        <w:t xml:space="preserve">yra </w:t>
      </w:r>
      <w:r w:rsidR="00F342A1" w:rsidRPr="00974CAE">
        <w:t>nemotyvuoti</w:t>
      </w:r>
      <w:r w:rsidRPr="00974CAE">
        <w:t>, nes nepateikiami jokie Sąjungos teisės aktai ar teisminė praktika, kuri</w:t>
      </w:r>
      <w:r w:rsidR="00244F29">
        <w:t>u</w:t>
      </w:r>
      <w:r w:rsidRPr="00974CAE">
        <w:t>o</w:t>
      </w:r>
      <w:r w:rsidR="00F342A1" w:rsidRPr="00974CAE">
        <w:t>se</w:t>
      </w:r>
      <w:r w:rsidRPr="00974CAE">
        <w:t xml:space="preserve"> būtų detalizuojamas </w:t>
      </w:r>
      <w:r w:rsidR="00F342A1" w:rsidRPr="00974CAE">
        <w:t xml:space="preserve">dirbtinių sąlygų nustatymo (tyrimo) </w:t>
      </w:r>
      <w:r w:rsidRPr="00974CAE">
        <w:t xml:space="preserve">laiko kriterijus. </w:t>
      </w:r>
    </w:p>
    <w:p w14:paraId="6C363279" w14:textId="77777777" w:rsidR="00E44753" w:rsidRPr="00974CAE" w:rsidRDefault="000A3343" w:rsidP="00E44753">
      <w:pPr>
        <w:pStyle w:val="prastasiniatinklio"/>
        <w:spacing w:before="0" w:beforeAutospacing="0" w:after="0" w:afterAutospacing="0" w:line="360" w:lineRule="auto"/>
        <w:ind w:firstLine="851"/>
        <w:contextualSpacing/>
        <w:jc w:val="both"/>
      </w:pPr>
      <w:r w:rsidRPr="00974CAE">
        <w:t>Be to, į</w:t>
      </w:r>
      <w:r w:rsidR="00F7592C" w:rsidRPr="00974CAE">
        <w:t xml:space="preserve">vertinus Bendrojo Teismo sprendimo 88-92 punktuose išdėstytas aplinkybes, </w:t>
      </w:r>
      <w:r w:rsidR="00F342A1" w:rsidRPr="00974CAE">
        <w:t>matyti</w:t>
      </w:r>
      <w:r w:rsidR="00F7592C" w:rsidRPr="00974CAE">
        <w:t>, kad 91 punktas prieštarauja 88 punktui</w:t>
      </w:r>
      <w:r w:rsidR="0052515B" w:rsidRPr="00974CAE">
        <w:t>. Sprendimo 91 punkte teigiama, kad Lietuva nepateikė jokių įrodymų, kad užtikrino veiksmingą projektų stebėseną. Tačiau tuo pačiu 88 punkte pažymima, kad</w:t>
      </w:r>
      <w:r w:rsidR="00F7592C" w:rsidRPr="00974CAE">
        <w:t xml:space="preserve"> Lietuvos valdžios institucijos nurodė, kad kai vertinant paraišką nebūdavo pakankamai pagrindo ją atmesti, bet būdavo dirbtinių sąlygų požymių, kompetentingos institucijos projektus priskirdavo prie rizikos projektų ir jiems taikydavo papildomas stebėsenos priemones</w:t>
      </w:r>
      <w:r w:rsidR="00F311C0" w:rsidRPr="00974CAE">
        <w:t>.</w:t>
      </w:r>
      <w:r w:rsidR="00F7592C" w:rsidRPr="00974CAE">
        <w:t xml:space="preserve"> </w:t>
      </w:r>
      <w:r w:rsidR="00F311C0" w:rsidRPr="00974CAE">
        <w:t>T</w:t>
      </w:r>
      <w:r w:rsidR="00F7592C" w:rsidRPr="00974CAE">
        <w:t>aigi nėra pagrįsta teigti, kad Lietuvos Respublika nepateikė įrodymų dėl veiksmingos rizikos projektų stebėsenos.</w:t>
      </w:r>
      <w:r w:rsidRPr="00974CAE">
        <w:t xml:space="preserve"> </w:t>
      </w:r>
    </w:p>
    <w:p w14:paraId="763B4663" w14:textId="77777777" w:rsidR="00F342A1" w:rsidRPr="00974CAE" w:rsidRDefault="00F342A1" w:rsidP="00F342A1">
      <w:pPr>
        <w:pStyle w:val="prastasiniatinklio"/>
        <w:spacing w:before="0" w:beforeAutospacing="0" w:after="0" w:afterAutospacing="0" w:line="360" w:lineRule="auto"/>
        <w:contextualSpacing/>
        <w:jc w:val="both"/>
      </w:pPr>
    </w:p>
    <w:p w14:paraId="5B083CAC" w14:textId="77777777" w:rsidR="00F342A1" w:rsidRPr="00974CAE" w:rsidRDefault="00066C5B" w:rsidP="003B6419">
      <w:pPr>
        <w:pStyle w:val="prastasiniatinklio"/>
        <w:spacing w:before="0" w:beforeAutospacing="0" w:line="360" w:lineRule="auto"/>
        <w:contextualSpacing/>
        <w:jc w:val="both"/>
        <w:rPr>
          <w:i/>
          <w:iCs/>
        </w:rPr>
      </w:pPr>
      <w:r w:rsidRPr="00974CAE">
        <w:rPr>
          <w:i/>
          <w:iCs/>
        </w:rPr>
        <w:t xml:space="preserve">3. </w:t>
      </w:r>
      <w:r w:rsidR="003B6419" w:rsidRPr="00974CAE">
        <w:rPr>
          <w:i/>
          <w:iCs/>
        </w:rPr>
        <w:t>D</w:t>
      </w:r>
      <w:r w:rsidR="00F342A1" w:rsidRPr="00974CAE">
        <w:rPr>
          <w:i/>
          <w:iCs/>
        </w:rPr>
        <w:t>ėl patikrinimų vietoje kokybės kriterijų (175-194 punktai)</w:t>
      </w:r>
    </w:p>
    <w:p w14:paraId="660C844C" w14:textId="529CECF0" w:rsidR="00D24CB8" w:rsidRPr="00974CAE" w:rsidRDefault="00D24CB8" w:rsidP="00D24CB8">
      <w:pPr>
        <w:ind w:left="0" w:firstLine="851"/>
        <w:rPr>
          <w:rFonts w:ascii="Times New Roman" w:hAnsi="Times New Roman"/>
          <w:color w:val="000000" w:themeColor="text1"/>
          <w:sz w:val="24"/>
          <w:szCs w:val="24"/>
          <w:lang w:val="lt-LT"/>
        </w:rPr>
      </w:pPr>
      <w:r w:rsidRPr="00974CAE">
        <w:rPr>
          <w:rFonts w:ascii="Times New Roman" w:hAnsi="Times New Roman"/>
          <w:sz w:val="24"/>
          <w:szCs w:val="24"/>
          <w:lang w:val="lt-LT"/>
        </w:rPr>
        <w:t xml:space="preserve">Šiuo klausimu Bendrasis Teismas nusprendė, kad </w:t>
      </w:r>
      <w:r w:rsidRPr="00974CAE">
        <w:rPr>
          <w:rFonts w:ascii="Times New Roman" w:eastAsia="Times New Roman" w:hAnsi="Times New Roman"/>
          <w:color w:val="000000"/>
          <w:sz w:val="24"/>
          <w:szCs w:val="24"/>
          <w:lang w:val="lt-LT" w:eastAsia="en-GB"/>
        </w:rPr>
        <w:t>Komisija pagrįstai pritaikė Lietuvai finansinę pataisą ir nusprendė,</w:t>
      </w:r>
      <w:r w:rsidRPr="00974CAE">
        <w:rPr>
          <w:rFonts w:ascii="Times New Roman" w:hAnsi="Times New Roman"/>
          <w:color w:val="000000" w:themeColor="text1"/>
          <w:sz w:val="24"/>
          <w:szCs w:val="24"/>
          <w:lang w:val="lt-LT"/>
        </w:rPr>
        <w:t xml:space="preserve"> </w:t>
      </w:r>
      <w:r w:rsidRPr="00974CAE">
        <w:rPr>
          <w:rFonts w:ascii="Times New Roman" w:hAnsi="Times New Roman"/>
          <w:color w:val="000000"/>
          <w:sz w:val="24"/>
          <w:szCs w:val="24"/>
          <w:lang w:val="lt-LT"/>
        </w:rPr>
        <w:t xml:space="preserve">jog Lietuvos institucijų atlikti patikrinimai vietoje neatitinka Reglamento Nr. 65/2011 26 straipsnio 1 dalies d punkto ir 2 dalies, nes neapėmė visų 2007–2013 m. </w:t>
      </w:r>
      <w:r w:rsidR="00E96902" w:rsidRPr="00974CAE">
        <w:rPr>
          <w:rFonts w:ascii="Times New Roman" w:hAnsi="Times New Roman"/>
          <w:color w:val="000000"/>
          <w:sz w:val="24"/>
          <w:szCs w:val="24"/>
          <w:lang w:val="lt-LT"/>
        </w:rPr>
        <w:t>program</w:t>
      </w:r>
      <w:r w:rsidR="00E96902">
        <w:rPr>
          <w:rFonts w:ascii="Times New Roman" w:hAnsi="Times New Roman"/>
          <w:color w:val="000000"/>
          <w:sz w:val="24"/>
          <w:szCs w:val="24"/>
          <w:lang w:val="lt-LT"/>
        </w:rPr>
        <w:t>inio</w:t>
      </w:r>
      <w:r w:rsidR="00E96902" w:rsidRPr="00974CAE">
        <w:rPr>
          <w:rFonts w:ascii="Times New Roman" w:hAnsi="Times New Roman"/>
          <w:color w:val="000000"/>
          <w:sz w:val="24"/>
          <w:szCs w:val="24"/>
          <w:lang w:val="lt-LT"/>
        </w:rPr>
        <w:t xml:space="preserve"> </w:t>
      </w:r>
      <w:r w:rsidRPr="00974CAE">
        <w:rPr>
          <w:rFonts w:ascii="Times New Roman" w:hAnsi="Times New Roman"/>
          <w:color w:val="000000"/>
          <w:sz w:val="24"/>
          <w:szCs w:val="24"/>
          <w:lang w:val="lt-LT"/>
        </w:rPr>
        <w:t>laikotarpio paramos gavėjo įsipareigojimų ir pareigų</w:t>
      </w:r>
      <w:r w:rsidR="00974CAE" w:rsidRPr="00974CAE">
        <w:rPr>
          <w:rFonts w:ascii="Times New Roman" w:hAnsi="Times New Roman"/>
          <w:color w:val="000000"/>
          <w:sz w:val="24"/>
          <w:szCs w:val="24"/>
          <w:lang w:val="lt-LT"/>
        </w:rPr>
        <w:t xml:space="preserve"> (be kita ko, viešųjų pirkimų </w:t>
      </w:r>
      <w:r w:rsidR="00974CAE" w:rsidRPr="00974CAE">
        <w:rPr>
          <w:rFonts w:ascii="Times New Roman" w:hAnsi="Times New Roman"/>
          <w:color w:val="000000"/>
          <w:sz w:val="24"/>
          <w:szCs w:val="24"/>
          <w:lang w:val="lt-LT"/>
        </w:rPr>
        <w:lastRenderedPageBreak/>
        <w:t>suderinamum</w:t>
      </w:r>
      <w:r w:rsidR="00974CAE">
        <w:rPr>
          <w:rFonts w:ascii="Times New Roman" w:hAnsi="Times New Roman"/>
          <w:color w:val="000000"/>
          <w:sz w:val="24"/>
          <w:szCs w:val="24"/>
          <w:lang w:val="lt-LT"/>
        </w:rPr>
        <w:t>o</w:t>
      </w:r>
      <w:r w:rsidR="00974CAE" w:rsidRPr="00974CAE">
        <w:rPr>
          <w:rFonts w:ascii="Times New Roman" w:hAnsi="Times New Roman"/>
          <w:color w:val="000000"/>
          <w:sz w:val="24"/>
          <w:szCs w:val="24"/>
          <w:lang w:val="lt-LT"/>
        </w:rPr>
        <w:t xml:space="preserve"> su nustatytomis procedūromis)</w:t>
      </w:r>
      <w:r w:rsidRPr="00974CAE">
        <w:rPr>
          <w:rFonts w:ascii="Times New Roman" w:hAnsi="Times New Roman"/>
          <w:color w:val="000000"/>
          <w:sz w:val="24"/>
          <w:szCs w:val="24"/>
          <w:lang w:val="lt-LT"/>
        </w:rPr>
        <w:t>, kurie galėjo būti patikrinti per apsilankymą.</w:t>
      </w:r>
      <w:r w:rsidRPr="00974CAE">
        <w:rPr>
          <w:rStyle w:val="apple-converted-space"/>
          <w:rFonts w:ascii="Arial" w:hAnsi="Arial" w:cs="Arial"/>
          <w:color w:val="000000"/>
          <w:sz w:val="18"/>
          <w:szCs w:val="18"/>
          <w:lang w:val="lt-LT"/>
        </w:rPr>
        <w:t> </w:t>
      </w:r>
      <w:r w:rsidR="00AC7C3E" w:rsidRPr="00974CAE">
        <w:rPr>
          <w:rFonts w:ascii="Times New Roman" w:eastAsia="Times New Roman" w:hAnsi="Times New Roman"/>
          <w:color w:val="000000"/>
          <w:sz w:val="24"/>
          <w:szCs w:val="24"/>
          <w:lang w:val="lt-LT" w:eastAsia="en-GB"/>
        </w:rPr>
        <w:t>Apeliaciniame skunde su tuo reikėtų nesutikti.</w:t>
      </w:r>
    </w:p>
    <w:p w14:paraId="093C5472" w14:textId="77777777" w:rsidR="002373A7" w:rsidRPr="00974CAE" w:rsidRDefault="00D24CB8" w:rsidP="00D24CB8">
      <w:pPr>
        <w:ind w:left="0" w:firstLine="851"/>
        <w:rPr>
          <w:rFonts w:ascii="Times New Roman" w:hAnsi="Times New Roman"/>
          <w:sz w:val="24"/>
          <w:szCs w:val="24"/>
          <w:lang w:val="lt-LT"/>
        </w:rPr>
      </w:pPr>
      <w:r w:rsidRPr="00974CAE">
        <w:rPr>
          <w:rFonts w:ascii="Times New Roman" w:hAnsi="Times New Roman"/>
          <w:color w:val="000000" w:themeColor="text1"/>
          <w:sz w:val="24"/>
          <w:szCs w:val="24"/>
          <w:lang w:val="lt-LT"/>
        </w:rPr>
        <w:t xml:space="preserve"> </w:t>
      </w:r>
      <w:r w:rsidR="003E0FCE" w:rsidRPr="00974CAE">
        <w:rPr>
          <w:rFonts w:ascii="Times New Roman" w:hAnsi="Times New Roman"/>
          <w:color w:val="000000" w:themeColor="text1"/>
          <w:sz w:val="24"/>
          <w:szCs w:val="24"/>
          <w:lang w:val="lt-LT"/>
        </w:rPr>
        <w:t>Bendrojo Teismo sprendim</w:t>
      </w:r>
      <w:r w:rsidR="002373A7" w:rsidRPr="00974CAE">
        <w:rPr>
          <w:rFonts w:ascii="Times New Roman" w:hAnsi="Times New Roman"/>
          <w:color w:val="000000" w:themeColor="text1"/>
          <w:sz w:val="24"/>
          <w:szCs w:val="24"/>
          <w:lang w:val="lt-LT"/>
        </w:rPr>
        <w:t>o</w:t>
      </w:r>
      <w:r w:rsidR="008037C3" w:rsidRPr="00974CAE">
        <w:rPr>
          <w:rFonts w:ascii="Times New Roman" w:hAnsi="Times New Roman"/>
          <w:color w:val="000000" w:themeColor="text1"/>
          <w:sz w:val="24"/>
          <w:szCs w:val="24"/>
          <w:lang w:val="lt-LT"/>
        </w:rPr>
        <w:t xml:space="preserve"> 178</w:t>
      </w:r>
      <w:r w:rsidR="002373A7" w:rsidRPr="00974CAE">
        <w:rPr>
          <w:rFonts w:ascii="Times New Roman" w:hAnsi="Times New Roman"/>
          <w:color w:val="000000" w:themeColor="text1"/>
          <w:sz w:val="24"/>
          <w:szCs w:val="24"/>
          <w:lang w:val="lt-LT"/>
        </w:rPr>
        <w:t>-</w:t>
      </w:r>
      <w:r w:rsidR="008037C3" w:rsidRPr="00974CAE">
        <w:rPr>
          <w:rFonts w:ascii="Times New Roman" w:hAnsi="Times New Roman"/>
          <w:color w:val="000000" w:themeColor="text1"/>
          <w:sz w:val="24"/>
          <w:szCs w:val="24"/>
          <w:lang w:val="lt-LT"/>
        </w:rPr>
        <w:t xml:space="preserve">188 punktuose iš esmės </w:t>
      </w:r>
      <w:r w:rsidR="002373A7" w:rsidRPr="00974CAE">
        <w:rPr>
          <w:rFonts w:ascii="Times New Roman" w:hAnsi="Times New Roman"/>
          <w:color w:val="000000" w:themeColor="text1"/>
          <w:sz w:val="24"/>
          <w:szCs w:val="24"/>
          <w:lang w:val="lt-LT"/>
        </w:rPr>
        <w:t>nurodoma</w:t>
      </w:r>
      <w:r w:rsidR="008037C3" w:rsidRPr="00974CAE">
        <w:rPr>
          <w:rFonts w:ascii="Times New Roman" w:hAnsi="Times New Roman"/>
          <w:color w:val="000000" w:themeColor="text1"/>
          <w:sz w:val="24"/>
          <w:szCs w:val="24"/>
          <w:lang w:val="lt-LT"/>
        </w:rPr>
        <w:t xml:space="preserve">, kad per patikrinimą vietoje yra būtina atlikti dalį </w:t>
      </w:r>
      <w:r w:rsidR="00B41C9E" w:rsidRPr="00974CAE">
        <w:rPr>
          <w:rFonts w:ascii="Times New Roman" w:hAnsi="Times New Roman"/>
          <w:sz w:val="24"/>
          <w:szCs w:val="24"/>
          <w:lang w:val="lt-LT"/>
        </w:rPr>
        <w:t xml:space="preserve">administracinio patikrinimo veiksmų. </w:t>
      </w:r>
      <w:r w:rsidR="002373A7" w:rsidRPr="00974CAE">
        <w:rPr>
          <w:rFonts w:ascii="Times New Roman" w:hAnsi="Times New Roman"/>
          <w:sz w:val="24"/>
          <w:szCs w:val="24"/>
          <w:lang w:val="lt-LT"/>
        </w:rPr>
        <w:t>T</w:t>
      </w:r>
      <w:r w:rsidR="00B41C9E" w:rsidRPr="00974CAE">
        <w:rPr>
          <w:rFonts w:ascii="Times New Roman" w:hAnsi="Times New Roman"/>
          <w:sz w:val="24"/>
          <w:szCs w:val="24"/>
          <w:lang w:val="lt-LT"/>
        </w:rPr>
        <w:t xml:space="preserve">ai yra teisės aiškinimo klaida, kadangi </w:t>
      </w:r>
      <w:r w:rsidR="002373A7" w:rsidRPr="00974CAE">
        <w:rPr>
          <w:rFonts w:ascii="Times New Roman" w:hAnsi="Times New Roman"/>
          <w:sz w:val="24"/>
          <w:szCs w:val="24"/>
          <w:lang w:val="lt-LT"/>
        </w:rPr>
        <w:t>Bendrasis Teismas nepagrįstai išplečia</w:t>
      </w:r>
      <w:r w:rsidR="003E0FCE" w:rsidRPr="00974CAE">
        <w:rPr>
          <w:rFonts w:ascii="Times New Roman" w:hAnsi="Times New Roman"/>
          <w:sz w:val="24"/>
          <w:szCs w:val="24"/>
          <w:lang w:val="lt-LT"/>
        </w:rPr>
        <w:t xml:space="preserve"> Reglamento Nr. 65/2011 26 straipsn</w:t>
      </w:r>
      <w:r w:rsidR="002373A7" w:rsidRPr="00974CAE">
        <w:rPr>
          <w:rFonts w:ascii="Times New Roman" w:hAnsi="Times New Roman"/>
          <w:sz w:val="24"/>
          <w:szCs w:val="24"/>
          <w:lang w:val="lt-LT"/>
        </w:rPr>
        <w:t xml:space="preserve">į, reikalaudamas, </w:t>
      </w:r>
      <w:r w:rsidR="003E0FCE" w:rsidRPr="00974CAE">
        <w:rPr>
          <w:rFonts w:ascii="Times New Roman" w:hAnsi="Times New Roman"/>
          <w:sz w:val="24"/>
          <w:szCs w:val="24"/>
          <w:lang w:val="lt-LT"/>
        </w:rPr>
        <w:t>kad Lietuva per patikrinimus vietoje tikrint</w:t>
      </w:r>
      <w:r w:rsidR="002373A7" w:rsidRPr="00974CAE">
        <w:rPr>
          <w:rFonts w:ascii="Times New Roman" w:hAnsi="Times New Roman"/>
          <w:sz w:val="24"/>
          <w:szCs w:val="24"/>
          <w:lang w:val="lt-LT"/>
        </w:rPr>
        <w:t>ų</w:t>
      </w:r>
      <w:r w:rsidR="00066C5B" w:rsidRPr="00974CAE">
        <w:rPr>
          <w:rFonts w:ascii="Times New Roman" w:hAnsi="Times New Roman"/>
          <w:sz w:val="24"/>
          <w:szCs w:val="24"/>
          <w:lang w:val="lt-LT"/>
        </w:rPr>
        <w:t>,</w:t>
      </w:r>
      <w:r w:rsidR="003E0FCE" w:rsidRPr="00974CAE">
        <w:rPr>
          <w:rFonts w:ascii="Times New Roman" w:hAnsi="Times New Roman"/>
          <w:sz w:val="24"/>
          <w:szCs w:val="24"/>
          <w:lang w:val="lt-LT"/>
        </w:rPr>
        <w:t xml:space="preserve"> ar pareiškėjai </w:t>
      </w:r>
      <w:r w:rsidR="003E0FCE" w:rsidRPr="00974CAE">
        <w:rPr>
          <w:rFonts w:ascii="Times New Roman" w:hAnsi="Times New Roman"/>
          <w:i/>
          <w:sz w:val="24"/>
          <w:szCs w:val="24"/>
          <w:lang w:val="lt-LT"/>
        </w:rPr>
        <w:t>„&lt;…&gt; laikėsi taisyklių, susijusių su viešųjų pirkimų konkursais &lt;…&gt;</w:t>
      </w:r>
      <w:r w:rsidR="003E0FCE" w:rsidRPr="00974CAE">
        <w:rPr>
          <w:rFonts w:ascii="Times New Roman" w:hAnsi="Times New Roman"/>
          <w:sz w:val="24"/>
          <w:szCs w:val="24"/>
          <w:lang w:val="lt-LT"/>
        </w:rPr>
        <w:t xml:space="preserve">” </w:t>
      </w:r>
      <w:r w:rsidR="002373A7" w:rsidRPr="00974CAE">
        <w:rPr>
          <w:rFonts w:ascii="Times New Roman" w:hAnsi="Times New Roman"/>
          <w:sz w:val="24"/>
          <w:szCs w:val="24"/>
          <w:lang w:val="lt-LT"/>
        </w:rPr>
        <w:t xml:space="preserve">. </w:t>
      </w:r>
      <w:r w:rsidR="002373A7" w:rsidRPr="00974CAE">
        <w:rPr>
          <w:rFonts w:ascii="Times New Roman" w:hAnsi="Times New Roman"/>
          <w:color w:val="000000" w:themeColor="text1"/>
          <w:sz w:val="24"/>
          <w:szCs w:val="24"/>
          <w:lang w:val="lt-LT"/>
        </w:rPr>
        <w:t>Reikėtų atskirti</w:t>
      </w:r>
      <w:r w:rsidR="003E0FCE" w:rsidRPr="00974CAE">
        <w:rPr>
          <w:rFonts w:ascii="Times New Roman" w:hAnsi="Times New Roman"/>
          <w:color w:val="000000" w:themeColor="text1"/>
          <w:sz w:val="24"/>
          <w:szCs w:val="24"/>
          <w:lang w:val="lt-LT"/>
        </w:rPr>
        <w:t xml:space="preserve"> </w:t>
      </w:r>
      <w:r w:rsidR="003E0FCE" w:rsidRPr="00974CAE">
        <w:rPr>
          <w:rFonts w:ascii="Times New Roman" w:hAnsi="Times New Roman"/>
          <w:sz w:val="24"/>
          <w:szCs w:val="24"/>
          <w:lang w:val="lt-LT"/>
        </w:rPr>
        <w:t>viešojo pirkimo sutarčių</w:t>
      </w:r>
      <w:r w:rsidR="003E0FCE" w:rsidRPr="00974CAE">
        <w:rPr>
          <w:rFonts w:ascii="Times New Roman" w:hAnsi="Times New Roman"/>
          <w:b/>
          <w:sz w:val="24"/>
          <w:szCs w:val="24"/>
          <w:lang w:val="lt-LT"/>
        </w:rPr>
        <w:t xml:space="preserve"> </w:t>
      </w:r>
      <w:r w:rsidR="003E0FCE" w:rsidRPr="00974CAE">
        <w:rPr>
          <w:rFonts w:ascii="Times New Roman" w:hAnsi="Times New Roman"/>
          <w:bCs/>
          <w:sz w:val="24"/>
          <w:szCs w:val="24"/>
          <w:lang w:val="lt-LT"/>
        </w:rPr>
        <w:t>sudarymo</w:t>
      </w:r>
      <w:r w:rsidR="003E0FCE" w:rsidRPr="00974CAE">
        <w:rPr>
          <w:rFonts w:ascii="Times New Roman" w:hAnsi="Times New Roman"/>
          <w:b/>
          <w:sz w:val="24"/>
          <w:szCs w:val="24"/>
          <w:lang w:val="lt-LT"/>
        </w:rPr>
        <w:t xml:space="preserve"> </w:t>
      </w:r>
      <w:r w:rsidR="003E0FCE" w:rsidRPr="00974CAE">
        <w:rPr>
          <w:rFonts w:ascii="Times New Roman" w:hAnsi="Times New Roman"/>
          <w:sz w:val="24"/>
          <w:szCs w:val="24"/>
          <w:lang w:val="lt-LT"/>
        </w:rPr>
        <w:t xml:space="preserve">taisyklių </w:t>
      </w:r>
      <w:r w:rsidR="002373A7" w:rsidRPr="00974CAE">
        <w:rPr>
          <w:rFonts w:ascii="Times New Roman" w:hAnsi="Times New Roman"/>
          <w:sz w:val="24"/>
          <w:szCs w:val="24"/>
          <w:lang w:val="lt-LT"/>
        </w:rPr>
        <w:t>laikymąsi</w:t>
      </w:r>
      <w:r w:rsidR="003E0FCE" w:rsidRPr="00974CAE">
        <w:rPr>
          <w:rFonts w:ascii="Times New Roman" w:hAnsi="Times New Roman"/>
          <w:sz w:val="24"/>
          <w:szCs w:val="24"/>
          <w:lang w:val="lt-LT"/>
        </w:rPr>
        <w:t xml:space="preserve"> (Reglamento Nr. 65/2011 26 straipsnis) ir taisykl</w:t>
      </w:r>
      <w:r w:rsidR="002373A7" w:rsidRPr="00974CAE">
        <w:rPr>
          <w:rFonts w:ascii="Times New Roman" w:hAnsi="Times New Roman"/>
          <w:sz w:val="24"/>
          <w:szCs w:val="24"/>
          <w:lang w:val="lt-LT"/>
        </w:rPr>
        <w:t>es</w:t>
      </w:r>
      <w:r w:rsidR="003E0FCE" w:rsidRPr="00974CAE">
        <w:rPr>
          <w:rFonts w:ascii="Times New Roman" w:hAnsi="Times New Roman"/>
          <w:sz w:val="24"/>
          <w:szCs w:val="24"/>
          <w:lang w:val="lt-LT"/>
        </w:rPr>
        <w:t>, susijusi</w:t>
      </w:r>
      <w:r w:rsidR="002373A7" w:rsidRPr="00974CAE">
        <w:rPr>
          <w:rFonts w:ascii="Times New Roman" w:hAnsi="Times New Roman"/>
          <w:sz w:val="24"/>
          <w:szCs w:val="24"/>
          <w:lang w:val="lt-LT"/>
        </w:rPr>
        <w:t>as</w:t>
      </w:r>
      <w:r w:rsidR="003E0FCE" w:rsidRPr="00974CAE">
        <w:rPr>
          <w:rFonts w:ascii="Times New Roman" w:hAnsi="Times New Roman"/>
          <w:sz w:val="24"/>
          <w:szCs w:val="24"/>
          <w:lang w:val="lt-LT"/>
        </w:rPr>
        <w:t xml:space="preserve"> su </w:t>
      </w:r>
      <w:r w:rsidR="00CD6B35" w:rsidRPr="00974CAE">
        <w:rPr>
          <w:rFonts w:ascii="Times New Roman" w:hAnsi="Times New Roman"/>
          <w:sz w:val="24"/>
          <w:szCs w:val="24"/>
          <w:lang w:val="lt-LT"/>
        </w:rPr>
        <w:t>viešaisiais</w:t>
      </w:r>
      <w:r w:rsidR="003E0FCE" w:rsidRPr="00974CAE">
        <w:rPr>
          <w:rFonts w:ascii="Times New Roman" w:hAnsi="Times New Roman"/>
          <w:sz w:val="24"/>
          <w:szCs w:val="24"/>
          <w:lang w:val="lt-LT"/>
        </w:rPr>
        <w:t xml:space="preserve"> pirkim</w:t>
      </w:r>
      <w:r w:rsidR="00CD6B35" w:rsidRPr="00974CAE">
        <w:rPr>
          <w:rFonts w:ascii="Times New Roman" w:hAnsi="Times New Roman"/>
          <w:sz w:val="24"/>
          <w:szCs w:val="24"/>
          <w:lang w:val="lt-LT"/>
        </w:rPr>
        <w:t>ais</w:t>
      </w:r>
      <w:r w:rsidR="003E0FCE" w:rsidRPr="00974CAE">
        <w:rPr>
          <w:rFonts w:ascii="Times New Roman" w:hAnsi="Times New Roman"/>
          <w:sz w:val="24"/>
          <w:szCs w:val="24"/>
          <w:lang w:val="lt-LT"/>
        </w:rPr>
        <w:t xml:space="preserve"> (</w:t>
      </w:r>
      <w:r w:rsidR="003E0FCE" w:rsidRPr="00974CAE">
        <w:rPr>
          <w:rFonts w:ascii="Times New Roman" w:hAnsi="Times New Roman"/>
          <w:color w:val="000000" w:themeColor="text1"/>
          <w:sz w:val="24"/>
          <w:szCs w:val="24"/>
          <w:lang w:val="lt-LT"/>
        </w:rPr>
        <w:t xml:space="preserve">sprendimo 185 punktas). </w:t>
      </w:r>
      <w:r w:rsidR="003E0FCE" w:rsidRPr="00974CAE">
        <w:rPr>
          <w:rFonts w:ascii="Times New Roman" w:hAnsi="Times New Roman"/>
          <w:sz w:val="24"/>
          <w:szCs w:val="24"/>
          <w:lang w:val="lt-LT"/>
        </w:rPr>
        <w:t xml:space="preserve">Reglamento Nr. 65/2011 26 straipsnyje kalbama apie sutarties sudarymą, o ne apie </w:t>
      </w:r>
      <w:r w:rsidR="00676BCC" w:rsidRPr="00974CAE">
        <w:rPr>
          <w:rFonts w:ascii="Times New Roman" w:hAnsi="Times New Roman"/>
          <w:sz w:val="24"/>
          <w:szCs w:val="24"/>
          <w:lang w:val="lt-LT"/>
        </w:rPr>
        <w:t>patį konkurso procesą</w:t>
      </w:r>
      <w:r w:rsidR="002373A7" w:rsidRPr="00974CAE">
        <w:rPr>
          <w:rFonts w:ascii="Times New Roman" w:hAnsi="Times New Roman"/>
          <w:sz w:val="24"/>
          <w:szCs w:val="24"/>
          <w:lang w:val="lt-LT"/>
        </w:rPr>
        <w:t>.</w:t>
      </w:r>
      <w:r w:rsidR="00676BCC" w:rsidRPr="00974CAE">
        <w:rPr>
          <w:rFonts w:ascii="Times New Roman" w:hAnsi="Times New Roman"/>
          <w:sz w:val="24"/>
          <w:szCs w:val="24"/>
          <w:lang w:val="lt-LT"/>
        </w:rPr>
        <w:t xml:space="preserve"> </w:t>
      </w:r>
      <w:r w:rsidR="002373A7" w:rsidRPr="00974CAE">
        <w:rPr>
          <w:rFonts w:ascii="Times New Roman" w:hAnsi="Times New Roman"/>
          <w:sz w:val="24"/>
          <w:szCs w:val="24"/>
          <w:lang w:val="lt-LT"/>
        </w:rPr>
        <w:t>A</w:t>
      </w:r>
      <w:r w:rsidR="00676BCC" w:rsidRPr="00974CAE">
        <w:rPr>
          <w:rFonts w:ascii="Times New Roman" w:hAnsi="Times New Roman"/>
          <w:sz w:val="24"/>
          <w:szCs w:val="24"/>
          <w:lang w:val="lt-LT"/>
        </w:rPr>
        <w:t xml:space="preserve">tliekant patikrinimą vietoje </w:t>
      </w:r>
      <w:r w:rsidR="00014822" w:rsidRPr="00974CAE">
        <w:rPr>
          <w:rFonts w:ascii="Times New Roman" w:hAnsi="Times New Roman"/>
          <w:sz w:val="24"/>
          <w:szCs w:val="24"/>
          <w:lang w:val="lt-LT"/>
        </w:rPr>
        <w:t>nereikia</w:t>
      </w:r>
      <w:r w:rsidR="00676BCC" w:rsidRPr="00974CAE">
        <w:rPr>
          <w:rFonts w:ascii="Times New Roman" w:hAnsi="Times New Roman"/>
          <w:sz w:val="24"/>
          <w:szCs w:val="24"/>
          <w:lang w:val="lt-LT"/>
        </w:rPr>
        <w:t xml:space="preserve"> tikrinti pirkimo </w:t>
      </w:r>
      <w:r w:rsidR="00066C5B" w:rsidRPr="00974CAE">
        <w:rPr>
          <w:rFonts w:ascii="Times New Roman" w:hAnsi="Times New Roman"/>
          <w:sz w:val="24"/>
          <w:szCs w:val="24"/>
          <w:lang w:val="lt-LT"/>
        </w:rPr>
        <w:t>procedūros</w:t>
      </w:r>
      <w:r w:rsidR="00676BCC" w:rsidRPr="00974CAE">
        <w:rPr>
          <w:rFonts w:ascii="Times New Roman" w:hAnsi="Times New Roman"/>
          <w:sz w:val="24"/>
          <w:szCs w:val="24"/>
          <w:lang w:val="lt-LT"/>
        </w:rPr>
        <w:t>,</w:t>
      </w:r>
      <w:r w:rsidR="00014822" w:rsidRPr="00974CAE">
        <w:rPr>
          <w:rFonts w:ascii="Times New Roman" w:hAnsi="Times New Roman"/>
          <w:sz w:val="24"/>
          <w:szCs w:val="24"/>
          <w:lang w:val="lt-LT"/>
        </w:rPr>
        <w:t xml:space="preserve"> kadangi šio patikrinimo tikslas yra kitas</w:t>
      </w:r>
      <w:r w:rsidR="00252183">
        <w:rPr>
          <w:rFonts w:ascii="Times New Roman" w:hAnsi="Times New Roman"/>
          <w:sz w:val="24"/>
          <w:szCs w:val="24"/>
          <w:lang w:val="lt-LT"/>
        </w:rPr>
        <w:t xml:space="preserve"> -</w:t>
      </w:r>
      <w:r w:rsidR="00014822" w:rsidRPr="00974CAE">
        <w:rPr>
          <w:rFonts w:ascii="Times New Roman" w:hAnsi="Times New Roman"/>
          <w:sz w:val="24"/>
          <w:szCs w:val="24"/>
          <w:lang w:val="lt-LT"/>
        </w:rPr>
        <w:t xml:space="preserve"> įvertinti</w:t>
      </w:r>
      <w:r w:rsidR="00252183">
        <w:rPr>
          <w:rFonts w:ascii="Times New Roman" w:hAnsi="Times New Roman"/>
          <w:sz w:val="24"/>
          <w:szCs w:val="24"/>
          <w:lang w:val="lt-LT"/>
        </w:rPr>
        <w:t>, ar</w:t>
      </w:r>
      <w:r w:rsidR="00014822" w:rsidRPr="00974CAE">
        <w:rPr>
          <w:rFonts w:ascii="Times New Roman" w:hAnsi="Times New Roman"/>
          <w:sz w:val="24"/>
          <w:szCs w:val="24"/>
          <w:lang w:val="lt-LT"/>
        </w:rPr>
        <w:t xml:space="preserve"> pirkimo dokumentai atitinka </w:t>
      </w:r>
      <w:r w:rsidR="00252183">
        <w:rPr>
          <w:rFonts w:ascii="Times New Roman" w:hAnsi="Times New Roman"/>
          <w:sz w:val="24"/>
          <w:szCs w:val="24"/>
          <w:lang w:val="lt-LT"/>
        </w:rPr>
        <w:t xml:space="preserve">faktus, kurie nustatomi </w:t>
      </w:r>
      <w:r w:rsidR="00014822" w:rsidRPr="00974CAE">
        <w:rPr>
          <w:rFonts w:ascii="Times New Roman" w:hAnsi="Times New Roman"/>
          <w:sz w:val="24"/>
          <w:szCs w:val="24"/>
          <w:lang w:val="lt-LT"/>
        </w:rPr>
        <w:t>atliek</w:t>
      </w:r>
      <w:r w:rsidR="00252183">
        <w:rPr>
          <w:rFonts w:ascii="Times New Roman" w:hAnsi="Times New Roman"/>
          <w:sz w:val="24"/>
          <w:szCs w:val="24"/>
          <w:lang w:val="lt-LT"/>
        </w:rPr>
        <w:t>ant</w:t>
      </w:r>
      <w:r w:rsidR="00014822" w:rsidRPr="00974CAE">
        <w:rPr>
          <w:rFonts w:ascii="Times New Roman" w:hAnsi="Times New Roman"/>
          <w:sz w:val="24"/>
          <w:szCs w:val="24"/>
          <w:lang w:val="lt-LT"/>
        </w:rPr>
        <w:t xml:space="preserve"> patikrinimus vietoje.</w:t>
      </w:r>
      <w:r w:rsidR="00676BCC" w:rsidRPr="00974CAE">
        <w:rPr>
          <w:rFonts w:ascii="Times New Roman" w:hAnsi="Times New Roman"/>
          <w:sz w:val="24"/>
          <w:szCs w:val="24"/>
          <w:lang w:val="lt-LT"/>
        </w:rPr>
        <w:t xml:space="preserve"> </w:t>
      </w:r>
    </w:p>
    <w:p w14:paraId="6A803E0D" w14:textId="77777777" w:rsidR="009707F1" w:rsidRPr="00974CAE" w:rsidRDefault="00AD2096" w:rsidP="00E50185">
      <w:pPr>
        <w:ind w:left="0" w:firstLine="851"/>
        <w:rPr>
          <w:rFonts w:ascii="Times New Roman" w:hAnsi="Times New Roman"/>
          <w:sz w:val="24"/>
          <w:szCs w:val="24"/>
          <w:lang w:val="lt-LT"/>
        </w:rPr>
      </w:pPr>
      <w:r w:rsidRPr="00974CAE">
        <w:rPr>
          <w:rFonts w:ascii="Times New Roman" w:hAnsi="Times New Roman"/>
          <w:sz w:val="24"/>
          <w:szCs w:val="24"/>
          <w:lang w:val="lt-LT"/>
        </w:rPr>
        <w:t xml:space="preserve">Bendrasis Teismas sprendime nenurodo, kokia yra </w:t>
      </w:r>
      <w:r w:rsidR="00066C5B" w:rsidRPr="00974CAE">
        <w:rPr>
          <w:rFonts w:ascii="Times New Roman" w:hAnsi="Times New Roman"/>
          <w:sz w:val="24"/>
          <w:szCs w:val="24"/>
          <w:lang w:val="lt-LT"/>
        </w:rPr>
        <w:t xml:space="preserve">formalaus dokumento patikrinimo </w:t>
      </w:r>
      <w:r w:rsidRPr="00974CAE">
        <w:rPr>
          <w:rFonts w:ascii="Times New Roman" w:hAnsi="Times New Roman"/>
          <w:sz w:val="24"/>
          <w:szCs w:val="24"/>
          <w:lang w:val="lt-LT"/>
        </w:rPr>
        <w:t xml:space="preserve">nauda, nes visa esmė yra dokumentų turinyje. Pirkimų dokumentų turinio (ar kaina pagrįsta, ar laiku buvo apmokėta sąskaita ir pan.) analizė yra aiškiai administracinio patikrinimo dalis, todėl Bendrasis Teismas plečiamai aiškina teises aktų nuostatas. </w:t>
      </w:r>
      <w:r w:rsidR="007560DC" w:rsidRPr="00974CAE">
        <w:rPr>
          <w:rFonts w:ascii="Times New Roman" w:hAnsi="Times New Roman"/>
          <w:sz w:val="24"/>
          <w:szCs w:val="24"/>
          <w:lang w:val="lt-LT"/>
        </w:rPr>
        <w:t xml:space="preserve">Taigi </w:t>
      </w:r>
      <w:r w:rsidRPr="00974CAE">
        <w:rPr>
          <w:rFonts w:ascii="Times New Roman" w:hAnsi="Times New Roman"/>
          <w:sz w:val="24"/>
          <w:szCs w:val="24"/>
          <w:lang w:val="lt-LT"/>
        </w:rPr>
        <w:t>Bendrojo Teismo sprendimo</w:t>
      </w:r>
      <w:r w:rsidR="00CD6B35" w:rsidRPr="00974CAE">
        <w:rPr>
          <w:rFonts w:ascii="Times New Roman" w:hAnsi="Times New Roman"/>
          <w:sz w:val="24"/>
          <w:szCs w:val="24"/>
          <w:lang w:val="lt-LT"/>
        </w:rPr>
        <w:t xml:space="preserve"> </w:t>
      </w:r>
      <w:r w:rsidR="00184BC7" w:rsidRPr="00974CAE">
        <w:rPr>
          <w:rFonts w:ascii="Times New Roman" w:hAnsi="Times New Roman"/>
          <w:sz w:val="24"/>
          <w:szCs w:val="24"/>
          <w:lang w:val="lt-LT"/>
        </w:rPr>
        <w:t>185 punkt</w:t>
      </w:r>
      <w:r w:rsidR="002373A7" w:rsidRPr="00974CAE">
        <w:rPr>
          <w:rFonts w:ascii="Times New Roman" w:hAnsi="Times New Roman"/>
          <w:sz w:val="24"/>
          <w:szCs w:val="24"/>
          <w:lang w:val="lt-LT"/>
        </w:rPr>
        <w:t>e pateiktas išaiškinimas yra</w:t>
      </w:r>
      <w:r w:rsidR="00184BC7" w:rsidRPr="00974CAE">
        <w:rPr>
          <w:rFonts w:ascii="Times New Roman" w:hAnsi="Times New Roman"/>
          <w:sz w:val="24"/>
          <w:szCs w:val="24"/>
          <w:lang w:val="lt-LT"/>
        </w:rPr>
        <w:t xml:space="preserve"> </w:t>
      </w:r>
      <w:r w:rsidR="002373A7" w:rsidRPr="00974CAE">
        <w:rPr>
          <w:rFonts w:ascii="Times New Roman" w:hAnsi="Times New Roman"/>
          <w:sz w:val="24"/>
          <w:szCs w:val="24"/>
          <w:lang w:val="lt-LT"/>
        </w:rPr>
        <w:t>suprantamas kaip reikalavimų</w:t>
      </w:r>
      <w:r w:rsidR="00184BC7" w:rsidRPr="00974CAE">
        <w:rPr>
          <w:rFonts w:ascii="Times New Roman" w:hAnsi="Times New Roman"/>
          <w:sz w:val="24"/>
          <w:szCs w:val="24"/>
          <w:lang w:val="lt-LT"/>
        </w:rPr>
        <w:t xml:space="preserve"> dubliavimas. </w:t>
      </w:r>
    </w:p>
    <w:p w14:paraId="54D9721B" w14:textId="77777777" w:rsidR="009707F1" w:rsidRPr="00974CAE" w:rsidRDefault="007560DC" w:rsidP="00E50185">
      <w:pPr>
        <w:ind w:left="0" w:firstLine="851"/>
        <w:rPr>
          <w:rFonts w:ascii="Times New Roman" w:hAnsi="Times New Roman"/>
          <w:sz w:val="24"/>
          <w:szCs w:val="24"/>
          <w:lang w:val="lt-LT"/>
        </w:rPr>
      </w:pPr>
      <w:r w:rsidRPr="00974CAE">
        <w:rPr>
          <w:rFonts w:ascii="Times New Roman" w:hAnsi="Times New Roman"/>
          <w:sz w:val="24"/>
          <w:szCs w:val="24"/>
          <w:lang w:val="lt-LT"/>
        </w:rPr>
        <w:t xml:space="preserve">Taip pat </w:t>
      </w:r>
      <w:r w:rsidR="00266A42" w:rsidRPr="00974CAE">
        <w:rPr>
          <w:rFonts w:ascii="Times New Roman" w:hAnsi="Times New Roman"/>
          <w:sz w:val="24"/>
          <w:szCs w:val="24"/>
          <w:lang w:val="lt-LT"/>
        </w:rPr>
        <w:t xml:space="preserve">Bendrasis Teismas </w:t>
      </w:r>
      <w:r w:rsidRPr="00974CAE">
        <w:rPr>
          <w:rFonts w:ascii="Times New Roman" w:hAnsi="Times New Roman"/>
          <w:sz w:val="24"/>
          <w:szCs w:val="24"/>
          <w:lang w:val="lt-LT"/>
        </w:rPr>
        <w:t xml:space="preserve">iškraipė </w:t>
      </w:r>
      <w:r w:rsidR="003B6419" w:rsidRPr="00974CAE">
        <w:rPr>
          <w:rFonts w:ascii="Times New Roman" w:hAnsi="Times New Roman"/>
          <w:sz w:val="24"/>
          <w:szCs w:val="24"/>
          <w:lang w:val="lt-LT"/>
        </w:rPr>
        <w:t>kai kuriuos</w:t>
      </w:r>
      <w:r w:rsidR="00266A42" w:rsidRPr="00974CAE">
        <w:rPr>
          <w:rFonts w:ascii="Times New Roman" w:hAnsi="Times New Roman"/>
          <w:sz w:val="24"/>
          <w:szCs w:val="24"/>
          <w:lang w:val="lt-LT"/>
        </w:rPr>
        <w:t xml:space="preserve"> įrodymus</w:t>
      </w:r>
      <w:r w:rsidR="003B6419" w:rsidRPr="00974CAE">
        <w:rPr>
          <w:rFonts w:ascii="Times New Roman" w:hAnsi="Times New Roman"/>
          <w:sz w:val="24"/>
          <w:szCs w:val="24"/>
          <w:lang w:val="lt-LT"/>
        </w:rPr>
        <w:t>. S</w:t>
      </w:r>
      <w:r w:rsidR="009707F1" w:rsidRPr="00974CAE">
        <w:rPr>
          <w:rFonts w:ascii="Times New Roman" w:hAnsi="Times New Roman"/>
          <w:sz w:val="24"/>
          <w:szCs w:val="24"/>
          <w:lang w:val="lt-LT"/>
        </w:rPr>
        <w:t>prendimo 181 punkt</w:t>
      </w:r>
      <w:r w:rsidR="003B6419" w:rsidRPr="00974CAE">
        <w:rPr>
          <w:rFonts w:ascii="Times New Roman" w:hAnsi="Times New Roman"/>
          <w:sz w:val="24"/>
          <w:szCs w:val="24"/>
          <w:lang w:val="lt-LT"/>
        </w:rPr>
        <w:t>e teigiama, kad</w:t>
      </w:r>
      <w:r w:rsidR="009707F1" w:rsidRPr="00974CAE">
        <w:rPr>
          <w:rFonts w:ascii="Times New Roman" w:hAnsi="Times New Roman"/>
          <w:sz w:val="24"/>
          <w:szCs w:val="24"/>
          <w:lang w:val="lt-LT"/>
        </w:rPr>
        <w:t xml:space="preserve"> „&lt;...&gt; </w:t>
      </w:r>
      <w:r w:rsidR="009707F1" w:rsidRPr="00974CAE">
        <w:rPr>
          <w:rFonts w:ascii="Times New Roman" w:hAnsi="Times New Roman"/>
          <w:i/>
          <w:sz w:val="24"/>
          <w:szCs w:val="24"/>
          <w:lang w:val="lt-LT"/>
        </w:rPr>
        <w:t>kaip atsiliepime į ieškinį pažymi Komisija, iš suvestinės ataskaitos matyti, kad per patikrinimus vietoje nepatikrinta, ar sudarytos viešojo pirkimo sutartys atitiko taikytinas procedūras”</w:t>
      </w:r>
      <w:r w:rsidR="009707F1" w:rsidRPr="00974CAE">
        <w:rPr>
          <w:rFonts w:ascii="Times New Roman" w:hAnsi="Times New Roman"/>
          <w:sz w:val="24"/>
          <w:szCs w:val="24"/>
          <w:lang w:val="lt-LT"/>
        </w:rPr>
        <w:t xml:space="preserve">.  </w:t>
      </w:r>
      <w:r w:rsidRPr="00974CAE">
        <w:rPr>
          <w:rFonts w:ascii="Times New Roman" w:hAnsi="Times New Roman"/>
          <w:sz w:val="24"/>
          <w:szCs w:val="24"/>
          <w:lang w:val="lt-LT"/>
        </w:rPr>
        <w:t>Tačiau</w:t>
      </w:r>
      <w:r w:rsidR="009707F1" w:rsidRPr="00974CAE">
        <w:rPr>
          <w:rFonts w:ascii="Times New Roman" w:hAnsi="Times New Roman"/>
          <w:sz w:val="24"/>
          <w:szCs w:val="24"/>
          <w:lang w:val="lt-LT"/>
        </w:rPr>
        <w:t xml:space="preserve"> Komisija tokių teiginių nėra pateikusi</w:t>
      </w:r>
      <w:r w:rsidR="003B6419" w:rsidRPr="00974CAE">
        <w:rPr>
          <w:rFonts w:ascii="Times New Roman" w:hAnsi="Times New Roman"/>
          <w:sz w:val="24"/>
          <w:szCs w:val="24"/>
          <w:lang w:val="lt-LT"/>
        </w:rPr>
        <w:t>.</w:t>
      </w:r>
    </w:p>
    <w:p w14:paraId="34FB598A" w14:textId="77777777" w:rsidR="00A87EA1" w:rsidRPr="00974CAE" w:rsidRDefault="007560DC" w:rsidP="007560DC">
      <w:pPr>
        <w:spacing w:after="100" w:afterAutospacing="1"/>
        <w:ind w:left="0" w:firstLine="851"/>
        <w:rPr>
          <w:rFonts w:ascii="Times New Roman" w:eastAsiaTheme="minorHAnsi" w:hAnsi="Times New Roman"/>
          <w:bCs/>
          <w:color w:val="000000"/>
          <w:sz w:val="24"/>
          <w:szCs w:val="24"/>
          <w:lang w:val="lt-LT"/>
        </w:rPr>
      </w:pPr>
      <w:r w:rsidRPr="00974CAE">
        <w:rPr>
          <w:rFonts w:ascii="Times New Roman" w:hAnsi="Times New Roman"/>
          <w:color w:val="000000" w:themeColor="text1"/>
          <w:sz w:val="24"/>
          <w:szCs w:val="24"/>
          <w:lang w:val="lt-LT"/>
        </w:rPr>
        <w:t xml:space="preserve">Be to, </w:t>
      </w:r>
      <w:r w:rsidR="00A87EA1" w:rsidRPr="00974CAE">
        <w:rPr>
          <w:rFonts w:ascii="Times New Roman" w:hAnsi="Times New Roman"/>
          <w:color w:val="000000" w:themeColor="text1"/>
          <w:sz w:val="24"/>
          <w:szCs w:val="24"/>
          <w:lang w:val="lt-LT"/>
        </w:rPr>
        <w:t>Bendrasis Teismas</w:t>
      </w:r>
      <w:r w:rsidR="003B6419" w:rsidRPr="00974CAE">
        <w:rPr>
          <w:rFonts w:ascii="Times New Roman" w:hAnsi="Times New Roman"/>
          <w:color w:val="000000" w:themeColor="text1"/>
          <w:sz w:val="24"/>
          <w:szCs w:val="24"/>
          <w:lang w:val="lt-LT"/>
        </w:rPr>
        <w:t>,</w:t>
      </w:r>
      <w:r w:rsidR="00A87EA1" w:rsidRPr="00974CAE">
        <w:rPr>
          <w:rFonts w:ascii="Times New Roman" w:hAnsi="Times New Roman"/>
          <w:color w:val="000000" w:themeColor="text1"/>
          <w:sz w:val="24"/>
          <w:szCs w:val="24"/>
          <w:lang w:val="lt-LT"/>
        </w:rPr>
        <w:t xml:space="preserve"> aiškindamas Reglament</w:t>
      </w:r>
      <w:r w:rsidR="007400CC" w:rsidRPr="00974CAE">
        <w:rPr>
          <w:rFonts w:ascii="Times New Roman" w:hAnsi="Times New Roman"/>
          <w:color w:val="000000" w:themeColor="text1"/>
          <w:sz w:val="24"/>
          <w:szCs w:val="24"/>
          <w:lang w:val="lt-LT"/>
        </w:rPr>
        <w:t>o</w:t>
      </w:r>
      <w:r w:rsidR="00A87EA1" w:rsidRPr="00974CAE">
        <w:rPr>
          <w:rFonts w:ascii="Times New Roman" w:hAnsi="Times New Roman"/>
          <w:color w:val="000000" w:themeColor="text1"/>
          <w:sz w:val="24"/>
          <w:szCs w:val="24"/>
          <w:lang w:val="lt-LT"/>
        </w:rPr>
        <w:t xml:space="preserve"> Nr. 65/2011</w:t>
      </w:r>
      <w:r w:rsidR="007400CC" w:rsidRPr="00974CAE">
        <w:rPr>
          <w:rFonts w:ascii="Times New Roman" w:hAnsi="Times New Roman"/>
          <w:color w:val="000000" w:themeColor="text1"/>
          <w:sz w:val="24"/>
          <w:szCs w:val="24"/>
          <w:lang w:val="lt-LT"/>
        </w:rPr>
        <w:t xml:space="preserve"> 26 straipsnio 2 punkt</w:t>
      </w:r>
      <w:r w:rsidR="003B6419" w:rsidRPr="00974CAE">
        <w:rPr>
          <w:rFonts w:ascii="Times New Roman" w:hAnsi="Times New Roman"/>
          <w:color w:val="000000" w:themeColor="text1"/>
          <w:sz w:val="24"/>
          <w:szCs w:val="24"/>
          <w:lang w:val="lt-LT"/>
        </w:rPr>
        <w:t xml:space="preserve">ą </w:t>
      </w:r>
      <w:r w:rsidR="00A87EA1" w:rsidRPr="00974CAE">
        <w:rPr>
          <w:rFonts w:ascii="Times New Roman" w:hAnsi="Times New Roman"/>
          <w:color w:val="000000" w:themeColor="text1"/>
          <w:sz w:val="24"/>
          <w:szCs w:val="24"/>
          <w:lang w:val="lt-LT"/>
        </w:rPr>
        <w:t xml:space="preserve">ir </w:t>
      </w:r>
      <w:r w:rsidRPr="00974CAE">
        <w:rPr>
          <w:rFonts w:ascii="Times New Roman" w:eastAsiaTheme="minorHAnsi" w:hAnsi="Times New Roman"/>
          <w:color w:val="000000"/>
          <w:sz w:val="24"/>
          <w:szCs w:val="24"/>
          <w:lang w:val="lt-LT"/>
        </w:rPr>
        <w:t>2017 </w:t>
      </w:r>
      <w:r w:rsidR="00A87EA1" w:rsidRPr="00974CAE">
        <w:rPr>
          <w:rFonts w:ascii="Times New Roman" w:eastAsiaTheme="minorHAnsi" w:hAnsi="Times New Roman"/>
          <w:color w:val="000000"/>
          <w:sz w:val="24"/>
          <w:szCs w:val="24"/>
          <w:lang w:val="lt-LT"/>
        </w:rPr>
        <w:t>m. liepos 10 d. Komisijos įgyvendinimo reglament</w:t>
      </w:r>
      <w:r w:rsidR="007400CC" w:rsidRPr="00974CAE">
        <w:rPr>
          <w:rFonts w:ascii="Times New Roman" w:eastAsiaTheme="minorHAnsi" w:hAnsi="Times New Roman"/>
          <w:color w:val="000000"/>
          <w:sz w:val="24"/>
          <w:szCs w:val="24"/>
          <w:lang w:val="lt-LT"/>
        </w:rPr>
        <w:t>o</w:t>
      </w:r>
      <w:r w:rsidR="00A87EA1" w:rsidRPr="00974CAE">
        <w:rPr>
          <w:rFonts w:ascii="Times New Roman" w:eastAsiaTheme="minorHAnsi" w:hAnsi="Times New Roman"/>
          <w:color w:val="000000"/>
          <w:sz w:val="24"/>
          <w:szCs w:val="24"/>
          <w:lang w:val="lt-LT"/>
        </w:rPr>
        <w:t xml:space="preserve"> (ES) 2017/1242</w:t>
      </w:r>
      <w:r w:rsidR="007400CC" w:rsidRPr="00974CAE">
        <w:rPr>
          <w:rFonts w:ascii="Times New Roman" w:eastAsiaTheme="minorHAnsi" w:hAnsi="Times New Roman"/>
          <w:color w:val="000000"/>
          <w:sz w:val="24"/>
          <w:szCs w:val="24"/>
          <w:lang w:val="lt-LT"/>
        </w:rPr>
        <w:t xml:space="preserve"> 51 straipsn</w:t>
      </w:r>
      <w:r w:rsidR="003B6419" w:rsidRPr="00974CAE">
        <w:rPr>
          <w:rFonts w:ascii="Times New Roman" w:eastAsiaTheme="minorHAnsi" w:hAnsi="Times New Roman"/>
          <w:color w:val="000000"/>
          <w:sz w:val="24"/>
          <w:szCs w:val="24"/>
          <w:lang w:val="lt-LT"/>
        </w:rPr>
        <w:t>į</w:t>
      </w:r>
      <w:r w:rsidR="00A87EA1" w:rsidRPr="00974CAE">
        <w:rPr>
          <w:rFonts w:ascii="Times New Roman" w:eastAsiaTheme="minorHAnsi" w:hAnsi="Times New Roman"/>
          <w:color w:val="000000"/>
          <w:sz w:val="24"/>
          <w:szCs w:val="24"/>
          <w:lang w:val="lt-LT"/>
        </w:rPr>
        <w:t xml:space="preserve"> galimai padarė teisės klaidą. </w:t>
      </w:r>
      <w:r w:rsidR="00836AAB" w:rsidRPr="00974CAE">
        <w:rPr>
          <w:rFonts w:ascii="Times New Roman" w:eastAsiaTheme="minorHAnsi" w:hAnsi="Times New Roman"/>
          <w:color w:val="000000"/>
          <w:sz w:val="24"/>
          <w:szCs w:val="24"/>
          <w:lang w:val="lt-LT"/>
        </w:rPr>
        <w:t xml:space="preserve">Bendrasis Teismas sprendimo 192 punkte </w:t>
      </w:r>
      <w:r w:rsidR="003B6419" w:rsidRPr="00974CAE">
        <w:rPr>
          <w:rFonts w:ascii="Times New Roman" w:eastAsiaTheme="minorHAnsi" w:hAnsi="Times New Roman"/>
          <w:color w:val="000000"/>
          <w:sz w:val="24"/>
          <w:szCs w:val="24"/>
          <w:lang w:val="lt-LT"/>
        </w:rPr>
        <w:t>nurodė, kad negalima remtis Įgyvendinimo reglamentu</w:t>
      </w:r>
      <w:r w:rsidRPr="00974CAE">
        <w:rPr>
          <w:rFonts w:ascii="Times New Roman" w:eastAsiaTheme="minorHAnsi" w:hAnsi="Times New Roman"/>
          <w:color w:val="000000"/>
          <w:sz w:val="24"/>
          <w:szCs w:val="24"/>
          <w:lang w:val="lt-LT"/>
        </w:rPr>
        <w:t xml:space="preserve"> (ES)</w:t>
      </w:r>
      <w:r w:rsidR="003B6419" w:rsidRPr="00974CAE">
        <w:rPr>
          <w:rFonts w:ascii="Times New Roman" w:eastAsiaTheme="minorHAnsi" w:hAnsi="Times New Roman"/>
          <w:color w:val="000000"/>
          <w:sz w:val="24"/>
          <w:szCs w:val="24"/>
          <w:lang w:val="lt-LT"/>
        </w:rPr>
        <w:t xml:space="preserve"> 2017/1242</w:t>
      </w:r>
      <w:r w:rsidRPr="00974CAE">
        <w:rPr>
          <w:rFonts w:ascii="Times New Roman" w:eastAsiaTheme="minorHAnsi" w:hAnsi="Times New Roman"/>
          <w:color w:val="000000"/>
          <w:sz w:val="24"/>
          <w:szCs w:val="24"/>
          <w:lang w:val="lt-LT"/>
        </w:rPr>
        <w:t>, nes kai klostėsi pagrindinės bylos aplinkybės, šis reglamentas negaliojo</w:t>
      </w:r>
      <w:r w:rsidR="00836AAB" w:rsidRPr="00974CAE">
        <w:rPr>
          <w:rFonts w:ascii="Times New Roman" w:eastAsiaTheme="minorHAnsi" w:hAnsi="Times New Roman"/>
          <w:color w:val="000000"/>
          <w:sz w:val="24"/>
          <w:szCs w:val="24"/>
          <w:lang w:val="lt-LT"/>
        </w:rPr>
        <w:t>. Vis dėlto, pati Komisija atsiliepim</w:t>
      </w:r>
      <w:r w:rsidR="003B6419" w:rsidRPr="00974CAE">
        <w:rPr>
          <w:rFonts w:ascii="Times New Roman" w:eastAsiaTheme="minorHAnsi" w:hAnsi="Times New Roman"/>
          <w:color w:val="000000"/>
          <w:sz w:val="24"/>
          <w:szCs w:val="24"/>
          <w:lang w:val="lt-LT"/>
        </w:rPr>
        <w:t>o</w:t>
      </w:r>
      <w:r w:rsidR="00836AAB" w:rsidRPr="00974CAE">
        <w:rPr>
          <w:rFonts w:ascii="Times New Roman" w:eastAsiaTheme="minorHAnsi" w:hAnsi="Times New Roman"/>
          <w:color w:val="000000"/>
          <w:sz w:val="24"/>
          <w:szCs w:val="24"/>
          <w:lang w:val="lt-LT"/>
        </w:rPr>
        <w:t xml:space="preserve"> į Lietuvos ieškinį 92 punkte nurodė, </w:t>
      </w:r>
      <w:r w:rsidR="00836AAB" w:rsidRPr="00974CAE">
        <w:rPr>
          <w:rFonts w:ascii="Times New Roman" w:hAnsi="Times New Roman"/>
          <w:sz w:val="24"/>
          <w:szCs w:val="24"/>
          <w:lang w:val="lt-LT"/>
        </w:rPr>
        <w:t xml:space="preserve">kad lyginant </w:t>
      </w:r>
      <w:r w:rsidR="00836AAB" w:rsidRPr="00974CAE">
        <w:rPr>
          <w:rFonts w:ascii="Times New Roman" w:hAnsi="Times New Roman"/>
          <w:color w:val="000000" w:themeColor="text1"/>
          <w:sz w:val="24"/>
          <w:szCs w:val="24"/>
          <w:lang w:val="lt-LT"/>
        </w:rPr>
        <w:t xml:space="preserve">Reglamentą Nr. 65/2011 ir </w:t>
      </w:r>
      <w:r w:rsidR="00836AAB" w:rsidRPr="00974CAE">
        <w:rPr>
          <w:rFonts w:ascii="Times New Roman" w:eastAsiaTheme="minorHAnsi" w:hAnsi="Times New Roman"/>
          <w:color w:val="000000"/>
          <w:sz w:val="24"/>
          <w:szCs w:val="24"/>
          <w:lang w:val="lt-LT"/>
        </w:rPr>
        <w:t xml:space="preserve">Įgyvendinimo reglamentą </w:t>
      </w:r>
      <w:r w:rsidRPr="00974CAE">
        <w:rPr>
          <w:rFonts w:ascii="Times New Roman" w:eastAsiaTheme="minorHAnsi" w:hAnsi="Times New Roman"/>
          <w:color w:val="000000"/>
          <w:sz w:val="24"/>
          <w:szCs w:val="24"/>
          <w:lang w:val="lt-LT"/>
        </w:rPr>
        <w:t xml:space="preserve">(ES) </w:t>
      </w:r>
      <w:r w:rsidR="00836AAB" w:rsidRPr="00974CAE">
        <w:rPr>
          <w:rFonts w:ascii="Times New Roman" w:eastAsiaTheme="minorHAnsi" w:hAnsi="Times New Roman"/>
          <w:color w:val="000000"/>
          <w:sz w:val="24"/>
          <w:szCs w:val="24"/>
          <w:lang w:val="lt-LT"/>
        </w:rPr>
        <w:t>2017/1242</w:t>
      </w:r>
      <w:r w:rsidR="004827ED" w:rsidRPr="00974CAE">
        <w:rPr>
          <w:rFonts w:ascii="Times New Roman" w:eastAsiaTheme="minorHAnsi" w:hAnsi="Times New Roman"/>
          <w:color w:val="000000"/>
          <w:sz w:val="24"/>
          <w:szCs w:val="24"/>
          <w:lang w:val="lt-LT"/>
        </w:rPr>
        <w:t xml:space="preserve"> esminių pakeitimų turinio prasme nebuvo bei </w:t>
      </w:r>
      <w:r w:rsidR="004827ED" w:rsidRPr="00974CAE">
        <w:rPr>
          <w:rFonts w:ascii="Times New Roman" w:eastAsiaTheme="minorHAnsi" w:hAnsi="Times New Roman"/>
          <w:bCs/>
          <w:color w:val="000000"/>
          <w:sz w:val="24"/>
          <w:szCs w:val="24"/>
          <w:lang w:val="lt-LT"/>
        </w:rPr>
        <w:t xml:space="preserve">pabrėžė, kad nėra poreikio patikrinimo vietoje metu </w:t>
      </w:r>
      <w:r w:rsidR="007400CC" w:rsidRPr="00974CAE">
        <w:rPr>
          <w:rFonts w:ascii="Times New Roman" w:eastAsiaTheme="minorHAnsi" w:hAnsi="Times New Roman"/>
          <w:bCs/>
          <w:color w:val="000000"/>
          <w:sz w:val="24"/>
          <w:szCs w:val="24"/>
          <w:lang w:val="lt-LT"/>
        </w:rPr>
        <w:t>per</w:t>
      </w:r>
      <w:r w:rsidR="004827ED" w:rsidRPr="00974CAE">
        <w:rPr>
          <w:rFonts w:ascii="Times New Roman" w:eastAsiaTheme="minorHAnsi" w:hAnsi="Times New Roman"/>
          <w:bCs/>
          <w:color w:val="000000"/>
          <w:sz w:val="24"/>
          <w:szCs w:val="24"/>
          <w:lang w:val="lt-LT"/>
        </w:rPr>
        <w:t xml:space="preserve">tikrinti administracinio patikrinimo metu </w:t>
      </w:r>
      <w:r w:rsidR="007400CC" w:rsidRPr="00974CAE">
        <w:rPr>
          <w:rFonts w:ascii="Times New Roman" w:eastAsiaTheme="minorHAnsi" w:hAnsi="Times New Roman"/>
          <w:bCs/>
          <w:color w:val="000000"/>
          <w:sz w:val="24"/>
          <w:szCs w:val="24"/>
          <w:lang w:val="lt-LT"/>
        </w:rPr>
        <w:t xml:space="preserve">jau </w:t>
      </w:r>
      <w:r w:rsidR="004827ED" w:rsidRPr="00974CAE">
        <w:rPr>
          <w:rFonts w:ascii="Times New Roman" w:eastAsiaTheme="minorHAnsi" w:hAnsi="Times New Roman"/>
          <w:bCs/>
          <w:color w:val="000000"/>
          <w:sz w:val="24"/>
          <w:szCs w:val="24"/>
          <w:lang w:val="lt-LT"/>
        </w:rPr>
        <w:t>patikrintą informaciją bei veiksmus.</w:t>
      </w:r>
      <w:r w:rsidRPr="00974CAE">
        <w:rPr>
          <w:rFonts w:ascii="Times New Roman" w:eastAsiaTheme="minorHAnsi" w:hAnsi="Times New Roman"/>
          <w:bCs/>
          <w:color w:val="000000"/>
          <w:sz w:val="24"/>
          <w:szCs w:val="24"/>
          <w:lang w:val="lt-LT"/>
        </w:rPr>
        <w:t xml:space="preserve"> </w:t>
      </w:r>
      <w:r w:rsidR="00014822" w:rsidRPr="00974CAE">
        <w:rPr>
          <w:rFonts w:ascii="Times New Roman" w:eastAsiaTheme="minorHAnsi" w:hAnsi="Times New Roman"/>
          <w:bCs/>
          <w:color w:val="000000"/>
          <w:sz w:val="24"/>
          <w:szCs w:val="24"/>
          <w:lang w:val="lt-LT"/>
        </w:rPr>
        <w:t>Tai reiškia, kad aiškinant šiuos Sąjungos teisės aktus reikėjo atsižvelgti į tai, kad</w:t>
      </w:r>
      <w:r w:rsidR="003B6419" w:rsidRPr="00974CAE">
        <w:rPr>
          <w:rFonts w:ascii="Times New Roman" w:eastAsiaTheme="minorHAnsi" w:hAnsi="Times New Roman"/>
          <w:bCs/>
          <w:color w:val="000000"/>
          <w:sz w:val="24"/>
          <w:szCs w:val="24"/>
          <w:lang w:val="lt-LT"/>
        </w:rPr>
        <w:t xml:space="preserve"> Komisijos, kaip teisės aktų leidėjo</w:t>
      </w:r>
      <w:r w:rsidR="00014822" w:rsidRPr="00974CAE">
        <w:rPr>
          <w:rFonts w:ascii="Times New Roman" w:eastAsiaTheme="minorHAnsi" w:hAnsi="Times New Roman"/>
          <w:bCs/>
          <w:color w:val="000000"/>
          <w:sz w:val="24"/>
          <w:szCs w:val="24"/>
          <w:lang w:val="lt-LT"/>
        </w:rPr>
        <w:t xml:space="preserve"> </w:t>
      </w:r>
      <w:r w:rsidR="004F2CB7" w:rsidRPr="00974CAE">
        <w:rPr>
          <w:rFonts w:ascii="Times New Roman" w:eastAsiaTheme="minorHAnsi" w:hAnsi="Times New Roman"/>
          <w:bCs/>
          <w:color w:val="000000"/>
          <w:sz w:val="24"/>
          <w:szCs w:val="24"/>
          <w:lang w:val="lt-LT"/>
        </w:rPr>
        <w:t>pozicij</w:t>
      </w:r>
      <w:r w:rsidR="00014822" w:rsidRPr="00974CAE">
        <w:rPr>
          <w:rFonts w:ascii="Times New Roman" w:eastAsiaTheme="minorHAnsi" w:hAnsi="Times New Roman"/>
          <w:bCs/>
          <w:color w:val="000000"/>
          <w:sz w:val="24"/>
          <w:szCs w:val="24"/>
          <w:lang w:val="lt-LT"/>
        </w:rPr>
        <w:t xml:space="preserve">a, priėmus </w:t>
      </w:r>
      <w:r w:rsidR="00014822" w:rsidRPr="00974CAE">
        <w:rPr>
          <w:rFonts w:ascii="Times New Roman" w:eastAsiaTheme="minorHAnsi" w:hAnsi="Times New Roman"/>
          <w:color w:val="000000"/>
          <w:sz w:val="24"/>
          <w:szCs w:val="24"/>
          <w:lang w:val="lt-LT"/>
        </w:rPr>
        <w:t xml:space="preserve">Reglamentą (ES) 2017/1242 nepasikeitė, tiesiog Reglamente (ES) 2017/1242 ji buvo aiškiau išdėstyta. Atsižvelgiant į tai, Reglamentas (ES) 2017/1242 yra svarbus </w:t>
      </w:r>
      <w:r w:rsidR="00014822" w:rsidRPr="00974CAE">
        <w:rPr>
          <w:rFonts w:ascii="Times New Roman" w:hAnsi="Times New Roman"/>
          <w:color w:val="000000" w:themeColor="text1"/>
          <w:sz w:val="24"/>
          <w:szCs w:val="24"/>
          <w:lang w:val="lt-LT"/>
        </w:rPr>
        <w:t>Reglamento Nr. 65/2011</w:t>
      </w:r>
      <w:r w:rsidR="00014822" w:rsidRPr="00974CAE">
        <w:rPr>
          <w:rFonts w:ascii="Times New Roman" w:eastAsiaTheme="minorHAnsi" w:hAnsi="Times New Roman"/>
          <w:color w:val="000000"/>
          <w:sz w:val="24"/>
          <w:szCs w:val="24"/>
          <w:lang w:val="lt-LT"/>
        </w:rPr>
        <w:t xml:space="preserve"> aiškinimo šaltinis.</w:t>
      </w:r>
    </w:p>
    <w:p w14:paraId="29A6D3E8" w14:textId="77777777" w:rsidR="003B6419" w:rsidRPr="00974CAE" w:rsidRDefault="001361BF" w:rsidP="003B6419">
      <w:pPr>
        <w:spacing w:after="100" w:afterAutospacing="1"/>
        <w:rPr>
          <w:rFonts w:ascii="Times New Roman" w:eastAsiaTheme="minorHAnsi" w:hAnsi="Times New Roman"/>
          <w:i/>
          <w:iCs/>
          <w:color w:val="000000"/>
          <w:sz w:val="24"/>
          <w:szCs w:val="24"/>
          <w:lang w:val="lt-LT"/>
        </w:rPr>
      </w:pPr>
      <w:r w:rsidRPr="00974CAE">
        <w:rPr>
          <w:rFonts w:ascii="Times New Roman" w:hAnsi="Times New Roman"/>
          <w:i/>
          <w:iCs/>
          <w:sz w:val="24"/>
          <w:szCs w:val="24"/>
          <w:lang w:val="lt-LT"/>
        </w:rPr>
        <w:lastRenderedPageBreak/>
        <w:t xml:space="preserve">4. </w:t>
      </w:r>
      <w:r w:rsidR="003B6419" w:rsidRPr="00974CAE">
        <w:rPr>
          <w:rFonts w:ascii="Times New Roman" w:hAnsi="Times New Roman"/>
          <w:i/>
          <w:iCs/>
          <w:sz w:val="24"/>
          <w:szCs w:val="24"/>
          <w:lang w:val="lt-LT"/>
        </w:rPr>
        <w:t>Dėl projektų išlaidų patikrinimų nepakankamumo (195-212 punktai)</w:t>
      </w:r>
    </w:p>
    <w:p w14:paraId="001C3DC8" w14:textId="77777777" w:rsidR="00D24CB8" w:rsidRPr="00974CAE" w:rsidRDefault="00D24CB8" w:rsidP="00AD7DF5">
      <w:pPr>
        <w:ind w:left="0" w:firstLine="851"/>
        <w:rPr>
          <w:rFonts w:ascii="Times New Roman" w:eastAsia="Times New Roman" w:hAnsi="Times New Roman"/>
          <w:sz w:val="24"/>
          <w:szCs w:val="24"/>
          <w:lang w:val="lt-LT" w:eastAsia="en-GB"/>
        </w:rPr>
      </w:pPr>
      <w:r w:rsidRPr="00974CAE">
        <w:rPr>
          <w:rFonts w:ascii="Times New Roman" w:hAnsi="Times New Roman"/>
          <w:sz w:val="24"/>
          <w:szCs w:val="24"/>
          <w:lang w:val="lt-LT"/>
        </w:rPr>
        <w:t xml:space="preserve">Šiuo klausimu Bendrasis Teismas nusprendė, kad </w:t>
      </w:r>
      <w:r w:rsidRPr="00974CAE">
        <w:rPr>
          <w:rFonts w:ascii="Times New Roman" w:eastAsia="Times New Roman" w:hAnsi="Times New Roman"/>
          <w:color w:val="000000"/>
          <w:sz w:val="24"/>
          <w:szCs w:val="24"/>
          <w:lang w:val="lt-LT" w:eastAsia="en-GB"/>
        </w:rPr>
        <w:t>Komisija pagrįstai pritaikė Lietuvai finansinę pataisą ir nusprendė,</w:t>
      </w:r>
      <w:r w:rsidRPr="00974CAE">
        <w:rPr>
          <w:rFonts w:ascii="Times New Roman" w:hAnsi="Times New Roman"/>
          <w:color w:val="000000" w:themeColor="text1"/>
          <w:sz w:val="24"/>
          <w:szCs w:val="24"/>
          <w:lang w:val="lt-LT"/>
        </w:rPr>
        <w:t xml:space="preserve"> </w:t>
      </w:r>
      <w:r w:rsidRPr="00974CAE">
        <w:rPr>
          <w:rFonts w:ascii="Times New Roman" w:hAnsi="Times New Roman"/>
          <w:color w:val="000000"/>
          <w:sz w:val="24"/>
          <w:szCs w:val="24"/>
          <w:lang w:val="lt-LT"/>
        </w:rPr>
        <w:t xml:space="preserve">jog </w:t>
      </w:r>
      <w:r w:rsidRPr="00974CAE">
        <w:rPr>
          <w:rFonts w:ascii="Times New Roman" w:eastAsia="Times New Roman" w:hAnsi="Times New Roman"/>
          <w:color w:val="000000"/>
          <w:sz w:val="24"/>
          <w:szCs w:val="24"/>
          <w:lang w:val="lt-LT" w:eastAsia="en-GB"/>
        </w:rPr>
        <w:t xml:space="preserve">kai kurios prekės, įsigytos įgyvendinant iš EŽŪFKP finansuojamą projektą, buvo naudojamos kitiems nei projekto tikslams, </w:t>
      </w:r>
      <w:r w:rsidR="00AD7DF5" w:rsidRPr="00974CAE">
        <w:rPr>
          <w:rFonts w:ascii="Times New Roman" w:eastAsia="Times New Roman" w:hAnsi="Times New Roman"/>
          <w:color w:val="000000"/>
          <w:sz w:val="24"/>
          <w:szCs w:val="24"/>
          <w:lang w:val="lt-LT" w:eastAsia="en-GB"/>
        </w:rPr>
        <w:t>todėl šios</w:t>
      </w:r>
      <w:r w:rsidRPr="00974CAE">
        <w:rPr>
          <w:rFonts w:ascii="Times New Roman" w:eastAsia="Times New Roman" w:hAnsi="Times New Roman"/>
          <w:color w:val="000000"/>
          <w:sz w:val="24"/>
          <w:szCs w:val="24"/>
          <w:lang w:val="lt-LT" w:eastAsia="en-GB"/>
        </w:rPr>
        <w:t xml:space="preserve"> išlaidos</w:t>
      </w:r>
      <w:r w:rsidR="00AD7DF5" w:rsidRPr="00974CAE">
        <w:rPr>
          <w:rFonts w:ascii="Times New Roman" w:eastAsia="Times New Roman" w:hAnsi="Times New Roman"/>
          <w:color w:val="000000"/>
          <w:sz w:val="24"/>
          <w:szCs w:val="24"/>
          <w:lang w:val="lt-LT" w:eastAsia="en-GB"/>
        </w:rPr>
        <w:t xml:space="preserve"> </w:t>
      </w:r>
      <w:r w:rsidRPr="00974CAE">
        <w:rPr>
          <w:rFonts w:ascii="Times New Roman" w:eastAsia="Times New Roman" w:hAnsi="Times New Roman"/>
          <w:color w:val="000000"/>
          <w:sz w:val="24"/>
          <w:szCs w:val="24"/>
          <w:lang w:val="lt-LT" w:eastAsia="en-GB"/>
        </w:rPr>
        <w:t xml:space="preserve">yra netinkamos finansuoti. </w:t>
      </w:r>
      <w:r w:rsidR="00AD7DF5" w:rsidRPr="00974CAE">
        <w:rPr>
          <w:rFonts w:ascii="Times New Roman" w:eastAsia="Times New Roman" w:hAnsi="Times New Roman"/>
          <w:color w:val="000000"/>
          <w:sz w:val="24"/>
          <w:szCs w:val="24"/>
          <w:lang w:val="lt-LT" w:eastAsia="en-GB"/>
        </w:rPr>
        <w:t>Tokių išlaidų atsiradimas laikomas</w:t>
      </w:r>
      <w:r w:rsidRPr="00974CAE">
        <w:rPr>
          <w:rFonts w:ascii="Times New Roman" w:eastAsia="Times New Roman" w:hAnsi="Times New Roman"/>
          <w:color w:val="000000"/>
          <w:sz w:val="24"/>
          <w:szCs w:val="24"/>
          <w:lang w:val="lt-LT" w:eastAsia="en-GB"/>
        </w:rPr>
        <w:t xml:space="preserve"> kontrolės trūkum</w:t>
      </w:r>
      <w:r w:rsidR="00AD7DF5" w:rsidRPr="00974CAE">
        <w:rPr>
          <w:rFonts w:ascii="Times New Roman" w:eastAsia="Times New Roman" w:hAnsi="Times New Roman"/>
          <w:color w:val="000000"/>
          <w:sz w:val="24"/>
          <w:szCs w:val="24"/>
          <w:lang w:val="lt-LT" w:eastAsia="en-GB"/>
        </w:rPr>
        <w:t>u</w:t>
      </w:r>
      <w:r w:rsidRPr="00974CAE">
        <w:rPr>
          <w:rFonts w:ascii="Times New Roman" w:eastAsia="Times New Roman" w:hAnsi="Times New Roman"/>
          <w:color w:val="000000"/>
          <w:sz w:val="24"/>
          <w:szCs w:val="24"/>
          <w:lang w:val="lt-LT" w:eastAsia="en-GB"/>
        </w:rPr>
        <w:t>.</w:t>
      </w:r>
      <w:r w:rsidR="00AC7C3E" w:rsidRPr="00974CAE">
        <w:rPr>
          <w:rFonts w:ascii="Times New Roman" w:eastAsia="Times New Roman" w:hAnsi="Times New Roman"/>
          <w:color w:val="000000"/>
          <w:sz w:val="24"/>
          <w:szCs w:val="24"/>
          <w:lang w:val="lt-LT" w:eastAsia="en-GB"/>
        </w:rPr>
        <w:t xml:space="preserve"> Apeliaciniame skunde su tuo reikėtų nesutikti.</w:t>
      </w:r>
    </w:p>
    <w:p w14:paraId="567AD49B" w14:textId="1FF39687" w:rsidR="00FB2A5D" w:rsidRPr="00974CAE" w:rsidRDefault="00FB2A5D" w:rsidP="00F4096B">
      <w:pPr>
        <w:ind w:left="0" w:firstLine="851"/>
        <w:rPr>
          <w:rFonts w:ascii="Times New Roman" w:hAnsi="Times New Roman"/>
          <w:color w:val="000000" w:themeColor="text1"/>
          <w:sz w:val="24"/>
          <w:szCs w:val="24"/>
          <w:lang w:val="lt-LT"/>
        </w:rPr>
      </w:pPr>
      <w:r w:rsidRPr="00974CAE">
        <w:rPr>
          <w:rFonts w:ascii="Times New Roman" w:hAnsi="Times New Roman"/>
          <w:color w:val="000000" w:themeColor="text1"/>
          <w:sz w:val="24"/>
          <w:szCs w:val="24"/>
          <w:lang w:val="lt-LT"/>
        </w:rPr>
        <w:t>Bendr</w:t>
      </w:r>
      <w:r w:rsidR="00F4096B" w:rsidRPr="00974CAE">
        <w:rPr>
          <w:rFonts w:ascii="Times New Roman" w:hAnsi="Times New Roman"/>
          <w:color w:val="000000" w:themeColor="text1"/>
          <w:sz w:val="24"/>
          <w:szCs w:val="24"/>
          <w:lang w:val="lt-LT"/>
        </w:rPr>
        <w:t>ojo</w:t>
      </w:r>
      <w:r w:rsidRPr="00974CAE">
        <w:rPr>
          <w:rFonts w:ascii="Times New Roman" w:hAnsi="Times New Roman"/>
          <w:color w:val="000000" w:themeColor="text1"/>
          <w:sz w:val="24"/>
          <w:szCs w:val="24"/>
          <w:lang w:val="lt-LT"/>
        </w:rPr>
        <w:t xml:space="preserve"> Teism</w:t>
      </w:r>
      <w:r w:rsidR="00F4096B" w:rsidRPr="00974CAE">
        <w:rPr>
          <w:rFonts w:ascii="Times New Roman" w:hAnsi="Times New Roman"/>
          <w:color w:val="000000" w:themeColor="text1"/>
          <w:sz w:val="24"/>
          <w:szCs w:val="24"/>
          <w:lang w:val="lt-LT"/>
        </w:rPr>
        <w:t>o</w:t>
      </w:r>
      <w:r w:rsidRPr="00974CAE">
        <w:rPr>
          <w:rFonts w:ascii="Times New Roman" w:hAnsi="Times New Roman"/>
          <w:color w:val="000000" w:themeColor="text1"/>
          <w:sz w:val="24"/>
          <w:szCs w:val="24"/>
          <w:lang w:val="lt-LT"/>
        </w:rPr>
        <w:t xml:space="preserve"> sprendime pritar</w:t>
      </w:r>
      <w:r w:rsidR="00F4096B" w:rsidRPr="00974CAE">
        <w:rPr>
          <w:rFonts w:ascii="Times New Roman" w:hAnsi="Times New Roman"/>
          <w:color w:val="000000" w:themeColor="text1"/>
          <w:sz w:val="24"/>
          <w:szCs w:val="24"/>
          <w:lang w:val="lt-LT"/>
        </w:rPr>
        <w:t>ta</w:t>
      </w:r>
      <w:r w:rsidRPr="00974CAE">
        <w:rPr>
          <w:rFonts w:ascii="Times New Roman" w:hAnsi="Times New Roman"/>
          <w:color w:val="000000" w:themeColor="text1"/>
          <w:sz w:val="24"/>
          <w:szCs w:val="24"/>
          <w:lang w:val="lt-LT"/>
        </w:rPr>
        <w:t xml:space="preserve"> Komisijos teiginiui, kad projektui nupirkta įranga paraleliai negali būti naudojama kitiems, nei projekte numatyta, tikslams. </w:t>
      </w:r>
      <w:r w:rsidR="00525A3A">
        <w:rPr>
          <w:rFonts w:ascii="Times New Roman" w:hAnsi="Times New Roman"/>
          <w:color w:val="000000" w:themeColor="text1"/>
          <w:sz w:val="24"/>
          <w:szCs w:val="24"/>
          <w:lang w:val="lt-LT"/>
        </w:rPr>
        <w:t>P</w:t>
      </w:r>
      <w:r w:rsidRPr="00974CAE">
        <w:rPr>
          <w:rFonts w:ascii="Times New Roman" w:hAnsi="Times New Roman"/>
          <w:color w:val="000000" w:themeColor="text1"/>
          <w:sz w:val="24"/>
          <w:szCs w:val="24"/>
          <w:lang w:val="lt-LT"/>
        </w:rPr>
        <w:t xml:space="preserve">ažymėtina, kad nagrinėjamu atveju byloje nebuvo jokių objektyvių įrodymų, patvirtinančių faktą, jog projektui nupirkta įranga buvo naudojama kitiems, nei projekte numatyta, tikslams. Priešingai, Lietuva pateikė įrodymus, patvirtinančius, kad buvo nustatyta </w:t>
      </w:r>
      <w:r w:rsidRPr="00974CAE">
        <w:rPr>
          <w:rFonts w:ascii="Times New Roman" w:hAnsi="Times New Roman"/>
          <w:bCs/>
          <w:color w:val="000000" w:themeColor="text1"/>
          <w:sz w:val="24"/>
          <w:szCs w:val="24"/>
          <w:lang w:val="lt-LT"/>
        </w:rPr>
        <w:t>speciali procedūra</w:t>
      </w:r>
      <w:r w:rsidRPr="00974CAE">
        <w:rPr>
          <w:rFonts w:ascii="Times New Roman" w:hAnsi="Times New Roman"/>
          <w:color w:val="000000" w:themeColor="text1"/>
          <w:sz w:val="24"/>
          <w:szCs w:val="24"/>
          <w:lang w:val="lt-LT"/>
        </w:rPr>
        <w:t xml:space="preserve">, užtikrinanti, jog už paramą įsigyta įranga būtų naudojama </w:t>
      </w:r>
      <w:r w:rsidRPr="00974CAE">
        <w:rPr>
          <w:rFonts w:ascii="Times New Roman" w:hAnsi="Times New Roman"/>
          <w:bCs/>
          <w:color w:val="000000" w:themeColor="text1"/>
          <w:sz w:val="24"/>
          <w:szCs w:val="24"/>
          <w:lang w:val="lt-LT"/>
        </w:rPr>
        <w:t>išimtinai tik su projektu susijusioms reikmėms</w:t>
      </w:r>
      <w:r w:rsidR="00F4096B" w:rsidRPr="00974CAE">
        <w:rPr>
          <w:rFonts w:ascii="Times New Roman" w:hAnsi="Times New Roman"/>
          <w:color w:val="000000" w:themeColor="text1"/>
          <w:sz w:val="24"/>
          <w:szCs w:val="24"/>
          <w:lang w:val="lt-LT"/>
        </w:rPr>
        <w:t xml:space="preserve">. Todėl </w:t>
      </w:r>
      <w:r w:rsidRPr="00974CAE">
        <w:rPr>
          <w:rFonts w:ascii="Times New Roman" w:hAnsi="Times New Roman"/>
          <w:color w:val="000000" w:themeColor="text1"/>
          <w:sz w:val="24"/>
          <w:szCs w:val="24"/>
          <w:lang w:val="lt-LT"/>
        </w:rPr>
        <w:t xml:space="preserve">Bendrasis Teismas netinkamai </w:t>
      </w:r>
      <w:r w:rsidR="00F4096B" w:rsidRPr="00974CAE">
        <w:rPr>
          <w:rFonts w:ascii="Times New Roman" w:hAnsi="Times New Roman"/>
          <w:color w:val="000000" w:themeColor="text1"/>
          <w:sz w:val="24"/>
          <w:szCs w:val="24"/>
          <w:lang w:val="lt-LT"/>
        </w:rPr>
        <w:t>į</w:t>
      </w:r>
      <w:r w:rsidRPr="00974CAE">
        <w:rPr>
          <w:rFonts w:ascii="Times New Roman" w:hAnsi="Times New Roman"/>
          <w:color w:val="000000" w:themeColor="text1"/>
          <w:sz w:val="24"/>
          <w:szCs w:val="24"/>
          <w:lang w:val="lt-LT"/>
        </w:rPr>
        <w:t xml:space="preserve">vertino byloje esančius įrodymus bei </w:t>
      </w:r>
      <w:r w:rsidR="00F4096B" w:rsidRPr="00974CAE">
        <w:rPr>
          <w:rFonts w:ascii="Times New Roman" w:hAnsi="Times New Roman"/>
          <w:color w:val="000000" w:themeColor="text1"/>
          <w:sz w:val="24"/>
          <w:szCs w:val="24"/>
          <w:lang w:val="lt-LT"/>
        </w:rPr>
        <w:t>nepatikrino</w:t>
      </w:r>
      <w:r w:rsidRPr="00974CAE">
        <w:rPr>
          <w:rFonts w:ascii="Times New Roman" w:hAnsi="Times New Roman"/>
          <w:color w:val="000000" w:themeColor="text1"/>
          <w:sz w:val="24"/>
          <w:szCs w:val="24"/>
          <w:lang w:val="lt-LT"/>
        </w:rPr>
        <w:t xml:space="preserve"> Komisijos prielaid</w:t>
      </w:r>
      <w:r w:rsidR="00F4096B" w:rsidRPr="00974CAE">
        <w:rPr>
          <w:rFonts w:ascii="Times New Roman" w:hAnsi="Times New Roman"/>
          <w:color w:val="000000" w:themeColor="text1"/>
          <w:sz w:val="24"/>
          <w:szCs w:val="24"/>
          <w:lang w:val="lt-LT"/>
        </w:rPr>
        <w:t>os</w:t>
      </w:r>
      <w:r w:rsidRPr="00974CAE">
        <w:rPr>
          <w:rFonts w:ascii="Times New Roman" w:hAnsi="Times New Roman"/>
          <w:color w:val="000000" w:themeColor="text1"/>
          <w:sz w:val="24"/>
          <w:szCs w:val="24"/>
          <w:lang w:val="lt-LT"/>
        </w:rPr>
        <w:t xml:space="preserve">, kad egzistuoja </w:t>
      </w:r>
      <w:r w:rsidR="00054D3C" w:rsidRPr="00974CAE">
        <w:rPr>
          <w:rFonts w:ascii="Times New Roman" w:hAnsi="Times New Roman"/>
          <w:color w:val="000000" w:themeColor="text1"/>
          <w:sz w:val="24"/>
          <w:szCs w:val="24"/>
          <w:lang w:val="lt-LT"/>
        </w:rPr>
        <w:t xml:space="preserve">galimybė </w:t>
      </w:r>
      <w:r w:rsidRPr="00974CAE">
        <w:rPr>
          <w:rFonts w:ascii="Times New Roman" w:hAnsi="Times New Roman"/>
          <w:color w:val="000000" w:themeColor="text1"/>
          <w:sz w:val="24"/>
          <w:szCs w:val="24"/>
          <w:lang w:val="lt-LT"/>
        </w:rPr>
        <w:t>naudotis</w:t>
      </w:r>
      <w:r w:rsidR="00054D3C" w:rsidRPr="00974CAE">
        <w:rPr>
          <w:rFonts w:ascii="Times New Roman" w:hAnsi="Times New Roman"/>
          <w:color w:val="000000" w:themeColor="text1"/>
          <w:sz w:val="24"/>
          <w:szCs w:val="24"/>
          <w:lang w:val="lt-LT"/>
        </w:rPr>
        <w:t xml:space="preserve"> įranga</w:t>
      </w:r>
      <w:r w:rsidRPr="00974CAE">
        <w:rPr>
          <w:rFonts w:ascii="Times New Roman" w:hAnsi="Times New Roman"/>
          <w:color w:val="000000" w:themeColor="text1"/>
          <w:sz w:val="24"/>
          <w:szCs w:val="24"/>
          <w:lang w:val="lt-LT"/>
        </w:rPr>
        <w:t xml:space="preserve"> ne projekto tikslais</w:t>
      </w:r>
      <w:r w:rsidR="00054D3C" w:rsidRPr="00974CAE">
        <w:rPr>
          <w:rFonts w:ascii="Times New Roman" w:hAnsi="Times New Roman"/>
          <w:color w:val="000000" w:themeColor="text1"/>
          <w:sz w:val="24"/>
          <w:szCs w:val="24"/>
          <w:lang w:val="lt-LT"/>
        </w:rPr>
        <w:t>, pagrįstumo.</w:t>
      </w:r>
    </w:p>
    <w:p w14:paraId="413B2BEE" w14:textId="77777777" w:rsidR="00FB2A5D" w:rsidRPr="00974CAE" w:rsidRDefault="00FB2A5D" w:rsidP="00E50185">
      <w:pPr>
        <w:ind w:left="0" w:firstLine="851"/>
        <w:rPr>
          <w:rFonts w:ascii="Times New Roman" w:hAnsi="Times New Roman"/>
          <w:color w:val="000000" w:themeColor="text1"/>
          <w:sz w:val="24"/>
          <w:szCs w:val="24"/>
          <w:lang w:val="lt-LT"/>
        </w:rPr>
      </w:pPr>
      <w:r w:rsidRPr="00974CAE">
        <w:rPr>
          <w:rFonts w:ascii="Times New Roman" w:hAnsi="Times New Roman"/>
          <w:color w:val="000000" w:themeColor="text1"/>
          <w:sz w:val="24"/>
          <w:szCs w:val="24"/>
          <w:lang w:val="lt-LT"/>
        </w:rPr>
        <w:t>Bendr</w:t>
      </w:r>
      <w:r w:rsidR="00054D3C" w:rsidRPr="00974CAE">
        <w:rPr>
          <w:rFonts w:ascii="Times New Roman" w:hAnsi="Times New Roman"/>
          <w:color w:val="000000" w:themeColor="text1"/>
          <w:sz w:val="24"/>
          <w:szCs w:val="24"/>
          <w:lang w:val="lt-LT"/>
        </w:rPr>
        <w:t>asis</w:t>
      </w:r>
      <w:r w:rsidRPr="00974CAE">
        <w:rPr>
          <w:rFonts w:ascii="Times New Roman" w:hAnsi="Times New Roman"/>
          <w:color w:val="000000" w:themeColor="text1"/>
          <w:sz w:val="24"/>
          <w:szCs w:val="24"/>
          <w:lang w:val="lt-LT"/>
        </w:rPr>
        <w:t xml:space="preserve"> Teism</w:t>
      </w:r>
      <w:r w:rsidR="00054D3C" w:rsidRPr="00974CAE">
        <w:rPr>
          <w:rFonts w:ascii="Times New Roman" w:hAnsi="Times New Roman"/>
          <w:color w:val="000000" w:themeColor="text1"/>
          <w:sz w:val="24"/>
          <w:szCs w:val="24"/>
          <w:lang w:val="lt-LT"/>
        </w:rPr>
        <w:t xml:space="preserve">as netinkamai rėmėsi </w:t>
      </w:r>
      <w:r w:rsidRPr="00974CAE">
        <w:rPr>
          <w:rFonts w:ascii="Times New Roman" w:hAnsi="Times New Roman"/>
          <w:color w:val="000000" w:themeColor="text1"/>
          <w:sz w:val="24"/>
          <w:szCs w:val="24"/>
          <w:lang w:val="lt-LT"/>
        </w:rPr>
        <w:t>Lietuv</w:t>
      </w:r>
      <w:r w:rsidR="00054D3C" w:rsidRPr="00974CAE">
        <w:rPr>
          <w:rFonts w:ascii="Times New Roman" w:hAnsi="Times New Roman"/>
          <w:color w:val="000000" w:themeColor="text1"/>
          <w:sz w:val="24"/>
          <w:szCs w:val="24"/>
          <w:lang w:val="lt-LT"/>
        </w:rPr>
        <w:t>os argumentais</w:t>
      </w:r>
      <w:r w:rsidR="001361BF" w:rsidRPr="00974CAE">
        <w:rPr>
          <w:rFonts w:ascii="Times New Roman" w:hAnsi="Times New Roman"/>
          <w:color w:val="000000" w:themeColor="text1"/>
          <w:sz w:val="24"/>
          <w:szCs w:val="24"/>
          <w:lang w:val="lt-LT"/>
        </w:rPr>
        <w:t xml:space="preserve"> ir</w:t>
      </w:r>
      <w:r w:rsidR="00054D3C" w:rsidRPr="00974CAE">
        <w:rPr>
          <w:rFonts w:ascii="Times New Roman" w:hAnsi="Times New Roman"/>
          <w:color w:val="000000" w:themeColor="text1"/>
          <w:sz w:val="24"/>
          <w:szCs w:val="24"/>
          <w:lang w:val="lt-LT"/>
        </w:rPr>
        <w:t xml:space="preserve"> j</w:t>
      </w:r>
      <w:r w:rsidR="001361BF" w:rsidRPr="00974CAE">
        <w:rPr>
          <w:rFonts w:ascii="Times New Roman" w:hAnsi="Times New Roman"/>
          <w:color w:val="000000" w:themeColor="text1"/>
          <w:sz w:val="24"/>
          <w:szCs w:val="24"/>
          <w:lang w:val="lt-LT"/>
        </w:rPr>
        <w:t>u</w:t>
      </w:r>
      <w:r w:rsidR="00054D3C" w:rsidRPr="00974CAE">
        <w:rPr>
          <w:rFonts w:ascii="Times New Roman" w:hAnsi="Times New Roman"/>
          <w:color w:val="000000" w:themeColor="text1"/>
          <w:sz w:val="24"/>
          <w:szCs w:val="24"/>
          <w:lang w:val="lt-LT"/>
        </w:rPr>
        <w:t xml:space="preserve">os </w:t>
      </w:r>
      <w:r w:rsidR="001361BF" w:rsidRPr="00974CAE">
        <w:rPr>
          <w:rFonts w:ascii="Times New Roman" w:hAnsi="Times New Roman"/>
          <w:color w:val="000000" w:themeColor="text1"/>
          <w:sz w:val="24"/>
          <w:szCs w:val="24"/>
          <w:lang w:val="lt-LT"/>
        </w:rPr>
        <w:t>iškraipė</w:t>
      </w:r>
      <w:r w:rsidR="00054D3C" w:rsidRPr="00974CAE">
        <w:rPr>
          <w:rFonts w:ascii="Times New Roman" w:hAnsi="Times New Roman"/>
          <w:color w:val="000000" w:themeColor="text1"/>
          <w:sz w:val="24"/>
          <w:szCs w:val="24"/>
          <w:lang w:val="lt-LT"/>
        </w:rPr>
        <w:t>. Tai, kad ieškinyje buvo nurodyta, jog</w:t>
      </w:r>
      <w:r w:rsidRPr="00974CAE">
        <w:rPr>
          <w:rFonts w:ascii="Times New Roman" w:hAnsi="Times New Roman"/>
          <w:color w:val="000000" w:themeColor="text1"/>
          <w:sz w:val="24"/>
          <w:szCs w:val="24"/>
          <w:lang w:val="lt-LT"/>
        </w:rPr>
        <w:t xml:space="preserve"> „ &lt;...&gt; </w:t>
      </w:r>
      <w:r w:rsidRPr="00974CAE">
        <w:rPr>
          <w:rFonts w:ascii="Times New Roman" w:hAnsi="Times New Roman"/>
          <w:i/>
          <w:color w:val="000000" w:themeColor="text1"/>
          <w:sz w:val="24"/>
          <w:szCs w:val="24"/>
          <w:lang w:val="lt-LT"/>
        </w:rPr>
        <w:t>nėra jokios akivaizdžios žalos Fondams</w:t>
      </w:r>
      <w:r w:rsidRPr="00974CAE">
        <w:rPr>
          <w:rFonts w:ascii="Times New Roman" w:hAnsi="Times New Roman"/>
          <w:color w:val="000000" w:themeColor="text1"/>
          <w:sz w:val="24"/>
          <w:szCs w:val="24"/>
          <w:lang w:val="lt-LT"/>
        </w:rPr>
        <w:t xml:space="preserve"> &lt;...&gt; “ (ieškinio 165 p.) turėtų būti suprantama taip, jog byloje nebuvo jokių įrodymų patvirtinančių pažeidimo faktą, t. y. įrangos naudojimą kitiems nei projekto tikslams</w:t>
      </w:r>
      <w:r w:rsidR="00054D3C" w:rsidRPr="00974CAE">
        <w:rPr>
          <w:rFonts w:ascii="Times New Roman" w:hAnsi="Times New Roman"/>
          <w:color w:val="000000" w:themeColor="text1"/>
          <w:sz w:val="24"/>
          <w:szCs w:val="24"/>
          <w:lang w:val="lt-LT"/>
        </w:rPr>
        <w:t xml:space="preserve">. </w:t>
      </w:r>
      <w:r w:rsidRPr="00974CAE">
        <w:rPr>
          <w:rFonts w:ascii="Times New Roman" w:hAnsi="Times New Roman"/>
          <w:color w:val="000000" w:themeColor="text1"/>
          <w:sz w:val="24"/>
          <w:szCs w:val="24"/>
          <w:lang w:val="lt-LT"/>
        </w:rPr>
        <w:t>Be to, Bendrasis Teismas taip pat iškraipė bylos aplinkybes teigdamas, kad „</w:t>
      </w:r>
      <w:r w:rsidRPr="00974CAE">
        <w:rPr>
          <w:rFonts w:ascii="Times New Roman" w:hAnsi="Times New Roman"/>
          <w:i/>
          <w:color w:val="000000" w:themeColor="text1"/>
          <w:sz w:val="24"/>
          <w:szCs w:val="24"/>
          <w:lang w:val="lt-LT"/>
        </w:rPr>
        <w:t>Lietuva aiškiai neginčija šios Auditų Rūmų išvados</w:t>
      </w:r>
      <w:r w:rsidRPr="00974CAE">
        <w:rPr>
          <w:rFonts w:ascii="Times New Roman" w:hAnsi="Times New Roman"/>
          <w:color w:val="000000" w:themeColor="text1"/>
          <w:sz w:val="24"/>
          <w:szCs w:val="24"/>
          <w:lang w:val="lt-LT"/>
        </w:rPr>
        <w:t>“ (</w:t>
      </w:r>
      <w:r w:rsidR="00CD6B35" w:rsidRPr="00974CAE">
        <w:rPr>
          <w:rFonts w:ascii="Times New Roman" w:hAnsi="Times New Roman"/>
          <w:color w:val="000000" w:themeColor="text1"/>
          <w:sz w:val="24"/>
          <w:szCs w:val="24"/>
          <w:lang w:val="lt-LT"/>
        </w:rPr>
        <w:t>s</w:t>
      </w:r>
      <w:r w:rsidR="00054D3C" w:rsidRPr="00974CAE">
        <w:rPr>
          <w:rFonts w:ascii="Times New Roman" w:hAnsi="Times New Roman"/>
          <w:color w:val="000000" w:themeColor="text1"/>
          <w:sz w:val="24"/>
          <w:szCs w:val="24"/>
          <w:lang w:val="lt-LT"/>
        </w:rPr>
        <w:t xml:space="preserve">prendimo </w:t>
      </w:r>
      <w:r w:rsidRPr="00974CAE">
        <w:rPr>
          <w:rFonts w:ascii="Times New Roman" w:hAnsi="Times New Roman"/>
          <w:color w:val="000000" w:themeColor="text1"/>
          <w:sz w:val="24"/>
          <w:szCs w:val="24"/>
          <w:lang w:val="lt-LT"/>
        </w:rPr>
        <w:t>205 punktas), kadangi Lietuva pateikė įrodymus bei paaiškinimus, akivaizdžiai paneigiančius minėtos išvados pagrįstumą.</w:t>
      </w:r>
    </w:p>
    <w:p w14:paraId="161127B9" w14:textId="77777777" w:rsidR="00241F9B" w:rsidRPr="00974CAE" w:rsidRDefault="00241F9B" w:rsidP="00054D3C">
      <w:pPr>
        <w:rPr>
          <w:rFonts w:ascii="Times New Roman" w:hAnsi="Times New Roman"/>
          <w:color w:val="000000" w:themeColor="text1"/>
          <w:sz w:val="24"/>
          <w:szCs w:val="24"/>
          <w:lang w:val="lt-LT"/>
        </w:rPr>
      </w:pPr>
    </w:p>
    <w:p w14:paraId="2B2DAB04" w14:textId="77777777" w:rsidR="00054D3C" w:rsidRPr="00974CAE" w:rsidRDefault="00054D3C" w:rsidP="00054D3C">
      <w:pPr>
        <w:spacing w:after="100" w:afterAutospacing="1"/>
        <w:ind w:left="357" w:hanging="357"/>
        <w:rPr>
          <w:rFonts w:ascii="Times New Roman" w:hAnsi="Times New Roman"/>
          <w:b/>
          <w:bCs/>
          <w:color w:val="000000" w:themeColor="text1"/>
          <w:sz w:val="24"/>
          <w:szCs w:val="24"/>
          <w:lang w:val="lt-LT"/>
        </w:rPr>
      </w:pPr>
      <w:r w:rsidRPr="00974CAE">
        <w:rPr>
          <w:rFonts w:ascii="Times New Roman" w:hAnsi="Times New Roman"/>
          <w:b/>
          <w:bCs/>
          <w:color w:val="000000" w:themeColor="text1"/>
          <w:sz w:val="24"/>
          <w:szCs w:val="24"/>
          <w:lang w:val="lt-LT"/>
        </w:rPr>
        <w:t>Lietuvos Respublikos apeliacinio skundo reikalavimai</w:t>
      </w:r>
    </w:p>
    <w:p w14:paraId="120684E2" w14:textId="77777777" w:rsidR="00241F9B" w:rsidRPr="00974CAE" w:rsidRDefault="00054D3C" w:rsidP="000B1283">
      <w:pPr>
        <w:ind w:left="0" w:firstLine="851"/>
        <w:rPr>
          <w:rFonts w:ascii="Times New Roman" w:hAnsi="Times New Roman"/>
          <w:sz w:val="24"/>
          <w:szCs w:val="24"/>
          <w:lang w:val="lt-LT" w:eastAsia="lt-LT"/>
        </w:rPr>
      </w:pPr>
      <w:r w:rsidRPr="00974CAE">
        <w:rPr>
          <w:rFonts w:ascii="Times New Roman" w:hAnsi="Times New Roman"/>
          <w:sz w:val="24"/>
          <w:szCs w:val="24"/>
          <w:lang w:val="lt-LT" w:eastAsia="lt-LT"/>
        </w:rPr>
        <w:t xml:space="preserve">Europos Sąjungos Teisingumo Teismo bus prašoma </w:t>
      </w:r>
      <w:r w:rsidR="000B1283" w:rsidRPr="00974CAE">
        <w:rPr>
          <w:rFonts w:ascii="Times New Roman" w:hAnsi="Times New Roman"/>
          <w:sz w:val="24"/>
          <w:szCs w:val="24"/>
          <w:lang w:val="lt-LT" w:eastAsia="lt-LT"/>
        </w:rPr>
        <w:t xml:space="preserve">iš dalies </w:t>
      </w:r>
      <w:r w:rsidRPr="00974CAE">
        <w:rPr>
          <w:rFonts w:ascii="Times New Roman" w:hAnsi="Times New Roman"/>
          <w:sz w:val="24"/>
          <w:szCs w:val="24"/>
          <w:lang w:val="lt-LT" w:eastAsia="lt-LT"/>
        </w:rPr>
        <w:t xml:space="preserve">panaikinti </w:t>
      </w:r>
      <w:r w:rsidR="000B1283" w:rsidRPr="00974CAE">
        <w:rPr>
          <w:rFonts w:ascii="Times New Roman" w:hAnsi="Times New Roman"/>
          <w:sz w:val="24"/>
          <w:szCs w:val="24"/>
          <w:lang w:val="lt-LT" w:eastAsia="lt-LT"/>
        </w:rPr>
        <w:t xml:space="preserve">arba pakeisti </w:t>
      </w:r>
      <w:r w:rsidRPr="00974CAE">
        <w:rPr>
          <w:rFonts w:ascii="Times New Roman" w:hAnsi="Times New Roman"/>
          <w:sz w:val="24"/>
          <w:szCs w:val="24"/>
          <w:lang w:val="lt-LT"/>
        </w:rPr>
        <w:t xml:space="preserve">2020 m. sausio 22 d. Bendrojo Teismo sprendimą byloje </w:t>
      </w:r>
      <w:r w:rsidRPr="00974CAE">
        <w:rPr>
          <w:rFonts w:ascii="Times New Roman" w:hAnsi="Times New Roman"/>
          <w:bCs/>
          <w:sz w:val="24"/>
          <w:szCs w:val="24"/>
          <w:lang w:val="lt-LT"/>
        </w:rPr>
        <w:t>T-19/18</w:t>
      </w:r>
      <w:r w:rsidR="000B1283" w:rsidRPr="00974CAE">
        <w:rPr>
          <w:rFonts w:ascii="Times New Roman" w:hAnsi="Times New Roman"/>
          <w:bCs/>
          <w:sz w:val="24"/>
          <w:szCs w:val="24"/>
          <w:lang w:val="lt-LT"/>
        </w:rPr>
        <w:t xml:space="preserve"> tiek, kiek juo nepatenkinti pirmoje instancijoje pateikti reikalavimai dėl</w:t>
      </w:r>
      <w:r w:rsidR="001361BF" w:rsidRPr="00974CAE">
        <w:rPr>
          <w:rFonts w:ascii="Times New Roman" w:hAnsi="Times New Roman"/>
          <w:bCs/>
          <w:sz w:val="24"/>
          <w:szCs w:val="24"/>
          <w:lang w:val="lt-LT"/>
        </w:rPr>
        <w:t>:</w:t>
      </w:r>
      <w:r w:rsidR="000B1283" w:rsidRPr="00974CAE">
        <w:rPr>
          <w:rFonts w:ascii="Times New Roman" w:hAnsi="Times New Roman"/>
          <w:bCs/>
          <w:sz w:val="24"/>
          <w:szCs w:val="24"/>
          <w:lang w:val="lt-LT"/>
        </w:rPr>
        <w:t xml:space="preserve"> </w:t>
      </w:r>
      <w:r w:rsidR="000B1283" w:rsidRPr="00974CAE">
        <w:rPr>
          <w:rFonts w:ascii="Times New Roman" w:hAnsi="Times New Roman"/>
          <w:sz w:val="24"/>
          <w:szCs w:val="24"/>
          <w:lang w:val="lt-LT"/>
        </w:rPr>
        <w:t>1) kriterijų, taikomų siekiant nustatyti, ar pareiškėjai turėjo MVĮ statusą (61-80 punktai);  2) rizikos projektų stebėsenos veiksmingumo (81-95 punktai); 3) patikrinimų vietoje kokybės kriterijų (175-194 punktai); 4) projektų išlaidų patikrinimų nepakankamumo (195-212 punktai).</w:t>
      </w:r>
    </w:p>
    <w:p w14:paraId="1F249012" w14:textId="77777777" w:rsidR="00CD6B35" w:rsidRPr="00974CAE" w:rsidRDefault="00CD6B35" w:rsidP="00E50185">
      <w:pPr>
        <w:ind w:left="0" w:firstLine="851"/>
        <w:rPr>
          <w:rFonts w:ascii="Times New Roman" w:hAnsi="Times New Roman"/>
          <w:color w:val="000000" w:themeColor="text1"/>
          <w:sz w:val="24"/>
          <w:szCs w:val="24"/>
          <w:lang w:val="lt-LT"/>
        </w:rPr>
      </w:pPr>
    </w:p>
    <w:p w14:paraId="58B7BE55" w14:textId="77777777" w:rsidR="004C6CA1" w:rsidRPr="00974CAE" w:rsidRDefault="00BE36C0" w:rsidP="00BC3134">
      <w:pPr>
        <w:pStyle w:val="prastasiniatinklio"/>
        <w:spacing w:before="0" w:beforeAutospacing="0" w:after="240" w:afterAutospacing="0" w:line="360" w:lineRule="auto"/>
        <w:contextualSpacing/>
        <w:rPr>
          <w:b/>
        </w:rPr>
      </w:pPr>
      <w:r w:rsidRPr="00974CAE">
        <w:rPr>
          <w:b/>
        </w:rPr>
        <w:t xml:space="preserve">Lietuvos Respublikos pozicijos </w:t>
      </w:r>
      <w:r w:rsidR="003768AA" w:rsidRPr="00974CAE">
        <w:rPr>
          <w:b/>
        </w:rPr>
        <w:t xml:space="preserve">derinimas </w:t>
      </w:r>
    </w:p>
    <w:p w14:paraId="1C0D9AC6" w14:textId="77777777" w:rsidR="00BC3134" w:rsidRDefault="00BC3134" w:rsidP="00BC3134">
      <w:pPr>
        <w:pStyle w:val="prastasiniatinklio"/>
        <w:spacing w:before="240" w:beforeAutospacing="0" w:after="0" w:afterAutospacing="0" w:line="360" w:lineRule="auto"/>
        <w:ind w:firstLine="851"/>
        <w:contextualSpacing/>
        <w:jc w:val="both"/>
      </w:pPr>
    </w:p>
    <w:p w14:paraId="50F753E1" w14:textId="77777777" w:rsidR="000B1283" w:rsidRPr="00974CAE" w:rsidRDefault="003768AA" w:rsidP="00BC3134">
      <w:pPr>
        <w:pStyle w:val="prastasiniatinklio"/>
        <w:spacing w:before="240" w:beforeAutospacing="0" w:after="0" w:afterAutospacing="0" w:line="360" w:lineRule="auto"/>
        <w:ind w:firstLine="851"/>
        <w:contextualSpacing/>
        <w:jc w:val="both"/>
      </w:pPr>
      <w:r w:rsidRPr="00974CAE">
        <w:lastRenderedPageBreak/>
        <w:t xml:space="preserve">Lietuvos Respublikos pozicija </w:t>
      </w:r>
      <w:r w:rsidR="000B1283" w:rsidRPr="00974CAE">
        <w:t xml:space="preserve">dėl apeliacinio skundo </w:t>
      </w:r>
      <w:r w:rsidRPr="00974CAE">
        <w:t xml:space="preserve">buvo aptarta </w:t>
      </w:r>
      <w:r w:rsidR="000B1283" w:rsidRPr="00974CAE">
        <w:t xml:space="preserve"> per konsultacijas, vykusias </w:t>
      </w:r>
      <w:r w:rsidRPr="00974CAE">
        <w:t>20</w:t>
      </w:r>
      <w:r w:rsidR="0080335C" w:rsidRPr="00974CAE">
        <w:t>20</w:t>
      </w:r>
      <w:r w:rsidRPr="00974CAE">
        <w:t xml:space="preserve"> m. </w:t>
      </w:r>
      <w:r w:rsidR="0080335C" w:rsidRPr="00974CAE">
        <w:t>vasario 6</w:t>
      </w:r>
      <w:r w:rsidRPr="00974CAE">
        <w:t xml:space="preserve"> d. </w:t>
      </w:r>
      <w:r w:rsidR="0080335C" w:rsidRPr="00974CAE">
        <w:t xml:space="preserve">ir 2020 m. vasario 14 d. Lietuvos Respublikos žemės ūkio ministerijoje. </w:t>
      </w:r>
    </w:p>
    <w:p w14:paraId="3B59B030" w14:textId="77777777" w:rsidR="000B1283" w:rsidRPr="00974CAE" w:rsidRDefault="000B1283" w:rsidP="00E50185">
      <w:pPr>
        <w:pStyle w:val="prastasiniatinklio"/>
        <w:spacing w:before="0" w:beforeAutospacing="0" w:after="0" w:afterAutospacing="0" w:line="360" w:lineRule="auto"/>
        <w:ind w:firstLine="851"/>
        <w:contextualSpacing/>
        <w:jc w:val="both"/>
      </w:pPr>
    </w:p>
    <w:p w14:paraId="7AC8E5EB" w14:textId="77777777" w:rsidR="000B1283" w:rsidRPr="00974CAE" w:rsidRDefault="000B1283" w:rsidP="000B1283">
      <w:pPr>
        <w:pStyle w:val="prastasiniatinklio"/>
        <w:spacing w:before="0" w:beforeAutospacing="0" w:after="0" w:afterAutospacing="0" w:line="360" w:lineRule="auto"/>
        <w:contextualSpacing/>
        <w:jc w:val="both"/>
        <w:rPr>
          <w:b/>
        </w:rPr>
      </w:pPr>
      <w:r w:rsidRPr="00974CAE">
        <w:rPr>
          <w:b/>
        </w:rPr>
        <w:t xml:space="preserve">Lietuvos Respublikos pozicijos rengėjai </w:t>
      </w:r>
    </w:p>
    <w:p w14:paraId="08296954" w14:textId="77777777" w:rsidR="000B1283" w:rsidRPr="00974CAE" w:rsidRDefault="000B1283" w:rsidP="000B1283">
      <w:pPr>
        <w:pStyle w:val="prastasiniatinklio"/>
        <w:spacing w:before="0" w:beforeAutospacing="0" w:after="0" w:afterAutospacing="0" w:line="360" w:lineRule="auto"/>
        <w:contextualSpacing/>
        <w:jc w:val="both"/>
      </w:pPr>
    </w:p>
    <w:p w14:paraId="37BA5FDB" w14:textId="2AA9B7C9" w:rsidR="0050529A" w:rsidRPr="00974CAE" w:rsidRDefault="000B1283" w:rsidP="000B1283">
      <w:pPr>
        <w:tabs>
          <w:tab w:val="left" w:pos="0"/>
        </w:tabs>
        <w:ind w:left="0" w:firstLine="0"/>
        <w:rPr>
          <w:rFonts w:ascii="Times New Roman" w:hAnsi="Times New Roman"/>
          <w:sz w:val="24"/>
          <w:szCs w:val="24"/>
          <w:lang w:val="lt-LT"/>
        </w:rPr>
      </w:pPr>
      <w:r w:rsidRPr="00974CAE">
        <w:rPr>
          <w:rFonts w:ascii="Times New Roman" w:hAnsi="Times New Roman"/>
          <w:sz w:val="24"/>
          <w:szCs w:val="24"/>
          <w:lang w:val="lt-LT"/>
        </w:rPr>
        <w:tab/>
        <w:t xml:space="preserve">Lietuvos Respublikos teisingumo ministerijos Europos teisės departamento Atstovavimo ES teismuose skyriaus vyresnysis patarėjas </w:t>
      </w:r>
      <w:proofErr w:type="spellStart"/>
      <w:r w:rsidRPr="00974CAE">
        <w:rPr>
          <w:rFonts w:ascii="Times New Roman" w:hAnsi="Times New Roman"/>
          <w:sz w:val="24"/>
          <w:szCs w:val="24"/>
          <w:lang w:val="lt-LT"/>
        </w:rPr>
        <w:t>Ričard</w:t>
      </w:r>
      <w:proofErr w:type="spellEnd"/>
      <w:r w:rsidRPr="00974CAE">
        <w:rPr>
          <w:rFonts w:ascii="Times New Roman" w:hAnsi="Times New Roman"/>
          <w:sz w:val="24"/>
          <w:szCs w:val="24"/>
          <w:lang w:val="lt-LT"/>
        </w:rPr>
        <w:t> </w:t>
      </w:r>
      <w:proofErr w:type="spellStart"/>
      <w:r w:rsidRPr="00974CAE">
        <w:rPr>
          <w:rFonts w:ascii="Times New Roman" w:hAnsi="Times New Roman"/>
          <w:sz w:val="24"/>
          <w:szCs w:val="24"/>
          <w:lang w:val="lt-LT"/>
        </w:rPr>
        <w:t>Dzikovič</w:t>
      </w:r>
      <w:proofErr w:type="spellEnd"/>
      <w:r w:rsidRPr="00974CAE">
        <w:rPr>
          <w:rFonts w:ascii="Times New Roman" w:hAnsi="Times New Roman"/>
          <w:sz w:val="24"/>
          <w:szCs w:val="24"/>
          <w:lang w:val="lt-LT"/>
        </w:rPr>
        <w:t xml:space="preserve"> (tel. </w:t>
      </w:r>
      <w:r w:rsidRPr="00974CAE">
        <w:rPr>
          <w:rFonts w:ascii="Times New Roman" w:hAnsi="Times New Roman"/>
          <w:color w:val="000000"/>
          <w:sz w:val="24"/>
          <w:szCs w:val="24"/>
          <w:lang w:val="lt-LT"/>
        </w:rPr>
        <w:t>8 5 266 2939</w:t>
      </w:r>
      <w:r w:rsidRPr="00974CAE">
        <w:rPr>
          <w:rFonts w:ascii="Times New Roman" w:hAnsi="Times New Roman"/>
          <w:sz w:val="24"/>
          <w:szCs w:val="24"/>
          <w:lang w:val="lt-LT"/>
        </w:rPr>
        <w:t xml:space="preserve">, el. paštas </w:t>
      </w:r>
      <w:hyperlink r:id="rId11" w:history="1">
        <w:r w:rsidRPr="00974CAE">
          <w:rPr>
            <w:rStyle w:val="Hipersaitas"/>
            <w:rFonts w:ascii="Times New Roman" w:hAnsi="Times New Roman"/>
            <w:sz w:val="24"/>
            <w:szCs w:val="24"/>
            <w:lang w:val="lt-LT"/>
          </w:rPr>
          <w:t>r.dzikovic@tm.lt</w:t>
        </w:r>
      </w:hyperlink>
      <w:r w:rsidRPr="00974CAE">
        <w:rPr>
          <w:rFonts w:ascii="Times New Roman" w:hAnsi="Times New Roman"/>
          <w:sz w:val="24"/>
          <w:szCs w:val="24"/>
          <w:lang w:val="lt-LT"/>
        </w:rPr>
        <w:t xml:space="preserve">), </w:t>
      </w:r>
      <w:r w:rsidR="00EB6C8C" w:rsidRPr="00974CAE">
        <w:rPr>
          <w:rFonts w:ascii="Times New Roman" w:hAnsi="Times New Roman"/>
          <w:sz w:val="24"/>
          <w:szCs w:val="24"/>
          <w:lang w:val="lt-LT"/>
        </w:rPr>
        <w:t xml:space="preserve">Lietuvos Respublikos teisingumo ministerijos Atitikties Europos Sąjungos teisei skyriaus vedėja Viktorija Vasiliauskienė (tel. 8 5 266 2852, el. paštas </w:t>
      </w:r>
      <w:hyperlink r:id="rId12" w:history="1">
        <w:r w:rsidR="00EB6C8C" w:rsidRPr="00974CAE">
          <w:rPr>
            <w:rStyle w:val="Hipersaitas"/>
            <w:rFonts w:ascii="Times New Roman" w:hAnsi="Times New Roman"/>
            <w:sz w:val="24"/>
            <w:szCs w:val="24"/>
            <w:lang w:val="lt-LT"/>
          </w:rPr>
          <w:t>v.vasiliauskiene@tm.lt</w:t>
        </w:r>
      </w:hyperlink>
      <w:r w:rsidR="00EB6C8C" w:rsidRPr="00974CAE">
        <w:rPr>
          <w:rFonts w:ascii="Times New Roman" w:hAnsi="Times New Roman"/>
          <w:sz w:val="24"/>
          <w:szCs w:val="24"/>
          <w:lang w:val="lt-LT"/>
        </w:rPr>
        <w:t xml:space="preserve">), </w:t>
      </w:r>
      <w:r w:rsidR="0050529A" w:rsidRPr="00974CAE">
        <w:rPr>
          <w:rFonts w:ascii="Times New Roman" w:hAnsi="Times New Roman"/>
          <w:sz w:val="24"/>
          <w:szCs w:val="24"/>
          <w:lang w:val="lt-LT"/>
        </w:rPr>
        <w:t xml:space="preserve">Nacionalinės mokėjimo agentūros prie Žemės ūkio ministerijos Teisės departamento Atstovavimo skyriaus vyriausioji specialistė </w:t>
      </w:r>
      <w:proofErr w:type="spellStart"/>
      <w:r w:rsidR="0050529A" w:rsidRPr="00974CAE">
        <w:rPr>
          <w:rFonts w:ascii="Times New Roman" w:hAnsi="Times New Roman"/>
          <w:sz w:val="24"/>
          <w:szCs w:val="24"/>
          <w:lang w:val="lt-LT"/>
        </w:rPr>
        <w:t>Ayda</w:t>
      </w:r>
      <w:proofErr w:type="spellEnd"/>
      <w:r w:rsidR="0050529A" w:rsidRPr="00974CAE">
        <w:rPr>
          <w:rFonts w:ascii="Times New Roman" w:hAnsi="Times New Roman"/>
          <w:sz w:val="24"/>
          <w:szCs w:val="24"/>
          <w:lang w:val="lt-LT"/>
        </w:rPr>
        <w:t xml:space="preserve"> Černiauskaitė (tel. Nr. 8 5 250 0364, el. paštas </w:t>
      </w:r>
      <w:hyperlink r:id="rId13" w:history="1">
        <w:r w:rsidR="0050529A" w:rsidRPr="00974CAE">
          <w:rPr>
            <w:rStyle w:val="Hipersaitas"/>
            <w:rFonts w:ascii="Times New Roman" w:hAnsi="Times New Roman"/>
            <w:sz w:val="24"/>
            <w:szCs w:val="24"/>
            <w:lang w:val="lt-LT"/>
          </w:rPr>
          <w:t>ayda.cerniauskaite@nma.lt</w:t>
        </w:r>
      </w:hyperlink>
      <w:r w:rsidR="0050529A" w:rsidRPr="00974CAE">
        <w:rPr>
          <w:rFonts w:ascii="Times New Roman" w:hAnsi="Times New Roman"/>
          <w:sz w:val="24"/>
          <w:szCs w:val="24"/>
          <w:lang w:val="lt-LT"/>
        </w:rPr>
        <w:t>)</w:t>
      </w:r>
      <w:r w:rsidRPr="00974CAE">
        <w:rPr>
          <w:rFonts w:ascii="Times New Roman" w:hAnsi="Times New Roman"/>
          <w:sz w:val="24"/>
          <w:szCs w:val="24"/>
          <w:lang w:val="lt-LT"/>
        </w:rPr>
        <w:t>,</w:t>
      </w:r>
      <w:r w:rsidR="002F761A">
        <w:rPr>
          <w:rFonts w:ascii="Times New Roman" w:hAnsi="Times New Roman"/>
          <w:sz w:val="24"/>
          <w:szCs w:val="24"/>
          <w:lang w:val="lt-LT"/>
        </w:rPr>
        <w:t xml:space="preserve"> </w:t>
      </w:r>
      <w:r w:rsidR="002F761A" w:rsidRPr="002F761A">
        <w:rPr>
          <w:rFonts w:ascii="Times New Roman" w:hAnsi="Times New Roman"/>
          <w:sz w:val="24"/>
          <w:szCs w:val="24"/>
          <w:lang w:val="lt-LT"/>
        </w:rPr>
        <w:t>Lietuvos Respublikos žemės ūkio ministerijos</w:t>
      </w:r>
      <w:r w:rsidR="002F761A">
        <w:rPr>
          <w:rFonts w:ascii="Times New Roman" w:hAnsi="Times New Roman"/>
          <w:sz w:val="24"/>
          <w:szCs w:val="24"/>
          <w:lang w:val="lt-LT"/>
        </w:rPr>
        <w:t xml:space="preserve"> 3-iojo Europos Sąjungos paramos skyriaus </w:t>
      </w:r>
      <w:r w:rsidR="00B372C9">
        <w:rPr>
          <w:rFonts w:ascii="Times New Roman" w:hAnsi="Times New Roman"/>
          <w:sz w:val="24"/>
          <w:szCs w:val="24"/>
          <w:lang w:val="lt-LT"/>
        </w:rPr>
        <w:t>patarėjas</w:t>
      </w:r>
      <w:r w:rsidR="002F761A">
        <w:rPr>
          <w:rFonts w:ascii="Times New Roman" w:hAnsi="Times New Roman"/>
          <w:sz w:val="24"/>
          <w:szCs w:val="24"/>
          <w:lang w:val="lt-LT"/>
        </w:rPr>
        <w:t xml:space="preserve"> Tomas Lozoraitis (tel. 8 5</w:t>
      </w:r>
      <w:r w:rsidR="003D22A0">
        <w:rPr>
          <w:rFonts w:ascii="Times New Roman" w:hAnsi="Times New Roman"/>
          <w:sz w:val="24"/>
          <w:szCs w:val="24"/>
          <w:lang w:val="lt-LT"/>
        </w:rPr>
        <w:t> </w:t>
      </w:r>
      <w:r w:rsidR="002F761A">
        <w:rPr>
          <w:rFonts w:ascii="Times New Roman" w:hAnsi="Times New Roman"/>
          <w:sz w:val="24"/>
          <w:szCs w:val="24"/>
          <w:lang w:val="lt-LT"/>
        </w:rPr>
        <w:t>239</w:t>
      </w:r>
      <w:r w:rsidR="003D22A0">
        <w:rPr>
          <w:rFonts w:ascii="Times New Roman" w:hAnsi="Times New Roman"/>
          <w:sz w:val="24"/>
          <w:szCs w:val="24"/>
          <w:lang w:val="lt-LT"/>
        </w:rPr>
        <w:t xml:space="preserve"> 1268</w:t>
      </w:r>
      <w:r w:rsidR="002F761A">
        <w:rPr>
          <w:rFonts w:ascii="Times New Roman" w:hAnsi="Times New Roman"/>
          <w:sz w:val="24"/>
          <w:szCs w:val="24"/>
          <w:lang w:val="lt-LT"/>
        </w:rPr>
        <w:t>,</w:t>
      </w:r>
      <w:r w:rsidR="003D22A0">
        <w:rPr>
          <w:rFonts w:ascii="Times New Roman" w:hAnsi="Times New Roman"/>
          <w:sz w:val="24"/>
          <w:szCs w:val="24"/>
          <w:lang w:val="lt-LT"/>
        </w:rPr>
        <w:t xml:space="preserve"> el. paštas </w:t>
      </w:r>
      <w:hyperlink r:id="rId14" w:history="1">
        <w:r w:rsidR="003C4B79" w:rsidRPr="00F66AFD">
          <w:rPr>
            <w:rStyle w:val="Hipersaitas"/>
            <w:rFonts w:ascii="Times New Roman" w:hAnsi="Times New Roman"/>
            <w:sz w:val="24"/>
            <w:szCs w:val="24"/>
            <w:lang w:val="lt-LT"/>
          </w:rPr>
          <w:t>tomas.lozoraitis@zum.lt</w:t>
        </w:r>
      </w:hyperlink>
      <w:r w:rsidR="003D22A0">
        <w:rPr>
          <w:rFonts w:ascii="Times New Roman" w:hAnsi="Times New Roman"/>
          <w:sz w:val="24"/>
          <w:szCs w:val="24"/>
          <w:lang w:val="lt-LT"/>
        </w:rPr>
        <w:t>),</w:t>
      </w:r>
      <w:r w:rsidRPr="00974CAE">
        <w:rPr>
          <w:rFonts w:ascii="Times New Roman" w:hAnsi="Times New Roman"/>
          <w:sz w:val="24"/>
          <w:szCs w:val="24"/>
          <w:lang w:val="lt-LT"/>
        </w:rPr>
        <w:t xml:space="preserve"> </w:t>
      </w:r>
      <w:r w:rsidR="005F5AFF" w:rsidRPr="00974CAE">
        <w:rPr>
          <w:rFonts w:ascii="Times New Roman" w:hAnsi="Times New Roman"/>
          <w:sz w:val="24"/>
          <w:szCs w:val="24"/>
          <w:lang w:val="lt-LT"/>
        </w:rPr>
        <w:t xml:space="preserve">Lietuvos Respublikos žemės ūkio ministerijos </w:t>
      </w:r>
      <w:r w:rsidR="0050529A" w:rsidRPr="00974CAE">
        <w:rPr>
          <w:rFonts w:ascii="Times New Roman" w:hAnsi="Times New Roman"/>
          <w:sz w:val="24"/>
          <w:szCs w:val="24"/>
          <w:lang w:val="lt-LT"/>
        </w:rPr>
        <w:t>Teisėkūros ir atstovavimo skyriaus vyriausi</w:t>
      </w:r>
      <w:r w:rsidR="002F761A">
        <w:rPr>
          <w:rFonts w:ascii="Times New Roman" w:hAnsi="Times New Roman"/>
          <w:sz w:val="24"/>
          <w:szCs w:val="24"/>
          <w:lang w:val="lt-LT"/>
        </w:rPr>
        <w:t>oji</w:t>
      </w:r>
      <w:r w:rsidR="0050529A" w:rsidRPr="00974CAE">
        <w:rPr>
          <w:rFonts w:ascii="Times New Roman" w:hAnsi="Times New Roman"/>
          <w:sz w:val="24"/>
          <w:szCs w:val="24"/>
          <w:lang w:val="lt-LT"/>
        </w:rPr>
        <w:t xml:space="preserve"> specialist</w:t>
      </w:r>
      <w:r w:rsidR="002F761A">
        <w:rPr>
          <w:rFonts w:ascii="Times New Roman" w:hAnsi="Times New Roman"/>
          <w:sz w:val="24"/>
          <w:szCs w:val="24"/>
          <w:lang w:val="lt-LT"/>
        </w:rPr>
        <w:t>ė</w:t>
      </w:r>
      <w:r w:rsidR="0050529A" w:rsidRPr="00974CAE">
        <w:rPr>
          <w:rFonts w:ascii="Times New Roman" w:hAnsi="Times New Roman"/>
          <w:sz w:val="24"/>
          <w:szCs w:val="24"/>
          <w:lang w:val="lt-LT"/>
        </w:rPr>
        <w:t xml:space="preserve"> Kristina Šimkut</w:t>
      </w:r>
      <w:r w:rsidR="002F761A">
        <w:rPr>
          <w:rFonts w:ascii="Times New Roman" w:hAnsi="Times New Roman"/>
          <w:sz w:val="24"/>
          <w:szCs w:val="24"/>
          <w:lang w:val="lt-LT"/>
        </w:rPr>
        <w:t>ė</w:t>
      </w:r>
      <w:r w:rsidR="0050529A" w:rsidRPr="00974CAE">
        <w:rPr>
          <w:rFonts w:ascii="Times New Roman" w:hAnsi="Times New Roman"/>
          <w:sz w:val="24"/>
          <w:szCs w:val="24"/>
          <w:lang w:val="lt-LT"/>
        </w:rPr>
        <w:t xml:space="preserve"> (tel. Nr. 8 680 44306, el. paštas </w:t>
      </w:r>
      <w:hyperlink r:id="rId15" w:history="1">
        <w:r w:rsidR="0050529A" w:rsidRPr="00974CAE">
          <w:rPr>
            <w:rStyle w:val="Hipersaitas"/>
            <w:rFonts w:ascii="Times New Roman" w:hAnsi="Times New Roman"/>
            <w:sz w:val="24"/>
            <w:szCs w:val="24"/>
            <w:lang w:val="lt-LT"/>
          </w:rPr>
          <w:t>kristina.simkute@zum.lt</w:t>
        </w:r>
      </w:hyperlink>
      <w:r w:rsidR="0050529A" w:rsidRPr="00974CAE">
        <w:rPr>
          <w:rFonts w:ascii="Times New Roman" w:hAnsi="Times New Roman"/>
          <w:sz w:val="24"/>
          <w:szCs w:val="24"/>
          <w:lang w:val="lt-LT"/>
        </w:rPr>
        <w:t>).</w:t>
      </w:r>
    </w:p>
    <w:p w14:paraId="03FC3213" w14:textId="77777777" w:rsidR="00237B8D" w:rsidRPr="00974CAE" w:rsidRDefault="00237B8D" w:rsidP="00E50185">
      <w:pPr>
        <w:pStyle w:val="prastasiniatinklio"/>
        <w:spacing w:before="0" w:beforeAutospacing="0" w:after="0" w:afterAutospacing="0" w:line="360" w:lineRule="auto"/>
        <w:ind w:firstLine="1276"/>
        <w:contextualSpacing/>
        <w:jc w:val="both"/>
      </w:pPr>
    </w:p>
    <w:p w14:paraId="7D19AA63" w14:textId="77777777" w:rsidR="000B1283" w:rsidRPr="00974CAE" w:rsidRDefault="000B1283" w:rsidP="000B1283">
      <w:pPr>
        <w:tabs>
          <w:tab w:val="left" w:pos="0"/>
        </w:tabs>
        <w:ind w:left="0" w:firstLine="0"/>
        <w:rPr>
          <w:rFonts w:ascii="Times New Roman" w:hAnsi="Times New Roman"/>
          <w:sz w:val="24"/>
          <w:szCs w:val="24"/>
          <w:lang w:val="lt-LT"/>
        </w:rPr>
      </w:pPr>
      <w:r w:rsidRPr="00974CAE">
        <w:rPr>
          <w:rFonts w:ascii="Times New Roman" w:hAnsi="Times New Roman"/>
          <w:sz w:val="24"/>
          <w:szCs w:val="24"/>
          <w:lang w:val="lt-LT"/>
        </w:rPr>
        <w:tab/>
        <w:t xml:space="preserve"> </w:t>
      </w:r>
    </w:p>
    <w:p w14:paraId="5CAA8D9A" w14:textId="77777777" w:rsidR="00237B8D" w:rsidRPr="00974CAE" w:rsidRDefault="00237B8D" w:rsidP="00E50185">
      <w:pPr>
        <w:pStyle w:val="prastasiniatinklio"/>
        <w:spacing w:before="0" w:beforeAutospacing="0" w:after="0" w:afterAutospacing="0" w:line="360" w:lineRule="auto"/>
        <w:contextualSpacing/>
        <w:jc w:val="both"/>
      </w:pPr>
    </w:p>
    <w:sectPr w:rsidR="00237B8D" w:rsidRPr="00974CAE" w:rsidSect="00D05D0E">
      <w:headerReference w:type="default" r:id="rId16"/>
      <w:headerReference w:type="first" r:id="rId17"/>
      <w:pgSz w:w="12240" w:h="15840"/>
      <w:pgMar w:top="1276" w:right="758"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7EB1EA" w14:textId="77777777" w:rsidR="000F5B9B" w:rsidRDefault="000F5B9B" w:rsidP="00EF4070">
      <w:pPr>
        <w:spacing w:line="240" w:lineRule="auto"/>
      </w:pPr>
      <w:r>
        <w:separator/>
      </w:r>
    </w:p>
  </w:endnote>
  <w:endnote w:type="continuationSeparator" w:id="0">
    <w:p w14:paraId="5184ABF2" w14:textId="77777777" w:rsidR="000F5B9B" w:rsidRDefault="000F5B9B" w:rsidP="00EF40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51557" w14:textId="77777777" w:rsidR="000F5B9B" w:rsidRDefault="000F5B9B" w:rsidP="00EF4070">
      <w:pPr>
        <w:spacing w:line="240" w:lineRule="auto"/>
      </w:pPr>
      <w:r>
        <w:separator/>
      </w:r>
    </w:p>
  </w:footnote>
  <w:footnote w:type="continuationSeparator" w:id="0">
    <w:p w14:paraId="63763841" w14:textId="77777777" w:rsidR="000F5B9B" w:rsidRDefault="000F5B9B" w:rsidP="00EF407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1862444"/>
      <w:docPartObj>
        <w:docPartGallery w:val="Page Numbers (Top of Page)"/>
        <w:docPartUnique/>
      </w:docPartObj>
    </w:sdtPr>
    <w:sdtEndPr>
      <w:rPr>
        <w:rFonts w:ascii="Times New Roman" w:hAnsi="Times New Roman"/>
        <w:noProof/>
        <w:sz w:val="24"/>
        <w:szCs w:val="24"/>
      </w:rPr>
    </w:sdtEndPr>
    <w:sdtContent>
      <w:p w14:paraId="4B40B030" w14:textId="77777777" w:rsidR="00241F9B" w:rsidRPr="00A35F71" w:rsidRDefault="00241F9B">
        <w:pPr>
          <w:pStyle w:val="Antrats"/>
          <w:jc w:val="right"/>
          <w:rPr>
            <w:rFonts w:ascii="Times New Roman" w:hAnsi="Times New Roman"/>
            <w:sz w:val="24"/>
            <w:szCs w:val="24"/>
          </w:rPr>
        </w:pPr>
        <w:r w:rsidRPr="00A35F71">
          <w:rPr>
            <w:rFonts w:ascii="Times New Roman" w:hAnsi="Times New Roman"/>
            <w:sz w:val="24"/>
            <w:szCs w:val="24"/>
          </w:rPr>
          <w:fldChar w:fldCharType="begin"/>
        </w:r>
        <w:r w:rsidRPr="00A35F71">
          <w:rPr>
            <w:rFonts w:ascii="Times New Roman" w:hAnsi="Times New Roman"/>
            <w:sz w:val="24"/>
            <w:szCs w:val="24"/>
          </w:rPr>
          <w:instrText xml:space="preserve"> PAGE   \* MERGEFORMAT </w:instrText>
        </w:r>
        <w:r w:rsidRPr="00A35F71">
          <w:rPr>
            <w:rFonts w:ascii="Times New Roman" w:hAnsi="Times New Roman"/>
            <w:sz w:val="24"/>
            <w:szCs w:val="24"/>
          </w:rPr>
          <w:fldChar w:fldCharType="separate"/>
        </w:r>
        <w:r w:rsidR="00BC3134">
          <w:rPr>
            <w:rFonts w:ascii="Times New Roman" w:hAnsi="Times New Roman"/>
            <w:noProof/>
            <w:sz w:val="24"/>
            <w:szCs w:val="24"/>
          </w:rPr>
          <w:t>2</w:t>
        </w:r>
        <w:r w:rsidRPr="00A35F71">
          <w:rPr>
            <w:rFonts w:ascii="Times New Roman" w:hAnsi="Times New Roman"/>
            <w:noProof/>
            <w:sz w:val="24"/>
            <w:szCs w:val="24"/>
          </w:rPr>
          <w:fldChar w:fldCharType="end"/>
        </w:r>
      </w:p>
    </w:sdtContent>
  </w:sdt>
  <w:p w14:paraId="0BB40146" w14:textId="77777777" w:rsidR="00241F9B" w:rsidRDefault="00241F9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A259E0" w14:textId="77777777" w:rsidR="00241F9B" w:rsidRPr="00AB0913" w:rsidRDefault="00241F9B" w:rsidP="00AB0913">
    <w:pPr>
      <w:pStyle w:val="Antrats"/>
      <w:jc w:val="right"/>
      <w:rPr>
        <w:rFonts w:ascii="Times New Roman" w:hAnsi="Times New Roman"/>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4B3036"/>
    <w:multiLevelType w:val="hybridMultilevel"/>
    <w:tmpl w:val="575AB03A"/>
    <w:lvl w:ilvl="0" w:tplc="3CEEDAE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F2F6F"/>
    <w:multiLevelType w:val="hybridMultilevel"/>
    <w:tmpl w:val="1010AEAC"/>
    <w:lvl w:ilvl="0" w:tplc="5108FBEC">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15:restartNumberingAfterBreak="0">
    <w:nsid w:val="140D79C0"/>
    <w:multiLevelType w:val="hybridMultilevel"/>
    <w:tmpl w:val="5C746C30"/>
    <w:lvl w:ilvl="0" w:tplc="1E18C612">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16020466"/>
    <w:multiLevelType w:val="hybridMultilevel"/>
    <w:tmpl w:val="D2908060"/>
    <w:lvl w:ilvl="0" w:tplc="EED02A3C">
      <w:start w:val="1"/>
      <w:numFmt w:val="decimal"/>
      <w:lvlText w:val="%1."/>
      <w:lvlJc w:val="left"/>
      <w:pPr>
        <w:ind w:left="36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00497D"/>
    <w:multiLevelType w:val="hybridMultilevel"/>
    <w:tmpl w:val="F12E02C2"/>
    <w:lvl w:ilvl="0" w:tplc="E56634F4">
      <w:start w:val="3"/>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5" w15:restartNumberingAfterBreak="0">
    <w:nsid w:val="1C4A09D0"/>
    <w:multiLevelType w:val="hybridMultilevel"/>
    <w:tmpl w:val="8AA0BFEC"/>
    <w:lvl w:ilvl="0" w:tplc="440CEA8C">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24A45DC1"/>
    <w:multiLevelType w:val="multilevel"/>
    <w:tmpl w:val="E47E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D35C3A"/>
    <w:multiLevelType w:val="hybridMultilevel"/>
    <w:tmpl w:val="BBC89CBE"/>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15:restartNumberingAfterBreak="0">
    <w:nsid w:val="2BC97F2C"/>
    <w:multiLevelType w:val="hybridMultilevel"/>
    <w:tmpl w:val="C6261404"/>
    <w:lvl w:ilvl="0" w:tplc="26E239F4">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9" w15:restartNumberingAfterBreak="0">
    <w:nsid w:val="30E755D6"/>
    <w:multiLevelType w:val="hybridMultilevel"/>
    <w:tmpl w:val="3A58D578"/>
    <w:lvl w:ilvl="0" w:tplc="BB4CEEDE">
      <w:start w:val="1"/>
      <w:numFmt w:val="decimal"/>
      <w:lvlText w:val="%1)"/>
      <w:lvlJc w:val="left"/>
      <w:pPr>
        <w:ind w:left="1650" w:hanging="360"/>
      </w:pPr>
      <w:rPr>
        <w:rFonts w:ascii="Times New Roman" w:hAnsi="Times New Roman"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0" w15:restartNumberingAfterBreak="0">
    <w:nsid w:val="356232EC"/>
    <w:multiLevelType w:val="hybridMultilevel"/>
    <w:tmpl w:val="B67067D0"/>
    <w:lvl w:ilvl="0" w:tplc="0E04EAF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1" w15:restartNumberingAfterBreak="0">
    <w:nsid w:val="3EFA305E"/>
    <w:multiLevelType w:val="hybridMultilevel"/>
    <w:tmpl w:val="39EEC9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353AE2"/>
    <w:multiLevelType w:val="hybridMultilevel"/>
    <w:tmpl w:val="762AB8D4"/>
    <w:lvl w:ilvl="0" w:tplc="782E1EC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44251021"/>
    <w:multiLevelType w:val="hybridMultilevel"/>
    <w:tmpl w:val="D6BA5636"/>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4" w15:restartNumberingAfterBreak="0">
    <w:nsid w:val="44FE10B1"/>
    <w:multiLevelType w:val="hybridMultilevel"/>
    <w:tmpl w:val="177669F2"/>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5" w15:restartNumberingAfterBreak="0">
    <w:nsid w:val="48082BB8"/>
    <w:multiLevelType w:val="hybridMultilevel"/>
    <w:tmpl w:val="C47408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9B90F9F"/>
    <w:multiLevelType w:val="hybridMultilevel"/>
    <w:tmpl w:val="820CAB32"/>
    <w:lvl w:ilvl="0" w:tplc="5EDEF020">
      <w:start w:val="1"/>
      <w:numFmt w:val="upperRoman"/>
      <w:lvlText w:val="(%1)"/>
      <w:lvlJc w:val="left"/>
      <w:pPr>
        <w:ind w:left="1570" w:hanging="72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7" w15:restartNumberingAfterBreak="0">
    <w:nsid w:val="4D836B91"/>
    <w:multiLevelType w:val="hybridMultilevel"/>
    <w:tmpl w:val="1960CA60"/>
    <w:lvl w:ilvl="0" w:tplc="6FD22600">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8" w15:restartNumberingAfterBreak="0">
    <w:nsid w:val="4DBB4CE6"/>
    <w:multiLevelType w:val="hybridMultilevel"/>
    <w:tmpl w:val="9F40F18C"/>
    <w:lvl w:ilvl="0" w:tplc="4CBE7F7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137ABE"/>
    <w:multiLevelType w:val="hybridMultilevel"/>
    <w:tmpl w:val="3E604C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A7B656A"/>
    <w:multiLevelType w:val="hybridMultilevel"/>
    <w:tmpl w:val="B22CE7A8"/>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1" w15:restartNumberingAfterBreak="0">
    <w:nsid w:val="5E604C98"/>
    <w:multiLevelType w:val="hybridMultilevel"/>
    <w:tmpl w:val="69242668"/>
    <w:lvl w:ilvl="0" w:tplc="0409000F">
      <w:start w:val="1"/>
      <w:numFmt w:val="decimal"/>
      <w:lvlText w:val="%1."/>
      <w:lvlJc w:val="left"/>
      <w:pPr>
        <w:ind w:left="2291" w:hanging="360"/>
      </w:pPr>
    </w:lvl>
    <w:lvl w:ilvl="1" w:tplc="04090019" w:tentative="1">
      <w:start w:val="1"/>
      <w:numFmt w:val="lowerLetter"/>
      <w:lvlText w:val="%2."/>
      <w:lvlJc w:val="left"/>
      <w:pPr>
        <w:ind w:left="3011" w:hanging="360"/>
      </w:pPr>
    </w:lvl>
    <w:lvl w:ilvl="2" w:tplc="0409001B" w:tentative="1">
      <w:start w:val="1"/>
      <w:numFmt w:val="lowerRoman"/>
      <w:lvlText w:val="%3."/>
      <w:lvlJc w:val="right"/>
      <w:pPr>
        <w:ind w:left="3731" w:hanging="180"/>
      </w:pPr>
    </w:lvl>
    <w:lvl w:ilvl="3" w:tplc="0409000F" w:tentative="1">
      <w:start w:val="1"/>
      <w:numFmt w:val="decimal"/>
      <w:lvlText w:val="%4."/>
      <w:lvlJc w:val="left"/>
      <w:pPr>
        <w:ind w:left="4451" w:hanging="360"/>
      </w:pPr>
    </w:lvl>
    <w:lvl w:ilvl="4" w:tplc="04090019" w:tentative="1">
      <w:start w:val="1"/>
      <w:numFmt w:val="lowerLetter"/>
      <w:lvlText w:val="%5."/>
      <w:lvlJc w:val="left"/>
      <w:pPr>
        <w:ind w:left="5171" w:hanging="360"/>
      </w:pPr>
    </w:lvl>
    <w:lvl w:ilvl="5" w:tplc="0409001B" w:tentative="1">
      <w:start w:val="1"/>
      <w:numFmt w:val="lowerRoman"/>
      <w:lvlText w:val="%6."/>
      <w:lvlJc w:val="right"/>
      <w:pPr>
        <w:ind w:left="5891" w:hanging="180"/>
      </w:pPr>
    </w:lvl>
    <w:lvl w:ilvl="6" w:tplc="0409000F" w:tentative="1">
      <w:start w:val="1"/>
      <w:numFmt w:val="decimal"/>
      <w:lvlText w:val="%7."/>
      <w:lvlJc w:val="left"/>
      <w:pPr>
        <w:ind w:left="6611" w:hanging="360"/>
      </w:pPr>
    </w:lvl>
    <w:lvl w:ilvl="7" w:tplc="04090019" w:tentative="1">
      <w:start w:val="1"/>
      <w:numFmt w:val="lowerLetter"/>
      <w:lvlText w:val="%8."/>
      <w:lvlJc w:val="left"/>
      <w:pPr>
        <w:ind w:left="7331" w:hanging="360"/>
      </w:pPr>
    </w:lvl>
    <w:lvl w:ilvl="8" w:tplc="0409001B" w:tentative="1">
      <w:start w:val="1"/>
      <w:numFmt w:val="lowerRoman"/>
      <w:lvlText w:val="%9."/>
      <w:lvlJc w:val="right"/>
      <w:pPr>
        <w:ind w:left="8051" w:hanging="180"/>
      </w:pPr>
    </w:lvl>
  </w:abstractNum>
  <w:abstractNum w:abstractNumId="22" w15:restartNumberingAfterBreak="0">
    <w:nsid w:val="613044D7"/>
    <w:multiLevelType w:val="hybridMultilevel"/>
    <w:tmpl w:val="C22C9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3574DA7"/>
    <w:multiLevelType w:val="hybridMultilevel"/>
    <w:tmpl w:val="F1E8E4E4"/>
    <w:lvl w:ilvl="0" w:tplc="A586AB4C">
      <w:start w:val="3"/>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4" w15:restartNumberingAfterBreak="0">
    <w:nsid w:val="656B7EA2"/>
    <w:multiLevelType w:val="hybridMultilevel"/>
    <w:tmpl w:val="D54663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8A42DBF"/>
    <w:multiLevelType w:val="hybridMultilevel"/>
    <w:tmpl w:val="582E49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691B6F0B"/>
    <w:multiLevelType w:val="hybridMultilevel"/>
    <w:tmpl w:val="B71ACE9E"/>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7" w15:restartNumberingAfterBreak="0">
    <w:nsid w:val="6D4D68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E016634"/>
    <w:multiLevelType w:val="hybridMultilevel"/>
    <w:tmpl w:val="F3D86072"/>
    <w:lvl w:ilvl="0" w:tplc="15F6FD3E">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9" w15:restartNumberingAfterBreak="0">
    <w:nsid w:val="6E6E46C4"/>
    <w:multiLevelType w:val="hybridMultilevel"/>
    <w:tmpl w:val="CB5E5E84"/>
    <w:lvl w:ilvl="0" w:tplc="5CCA41BA">
      <w:start w:val="1"/>
      <w:numFmt w:val="upperRoman"/>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0" w15:restartNumberingAfterBreak="0">
    <w:nsid w:val="6F902EAD"/>
    <w:multiLevelType w:val="hybridMultilevel"/>
    <w:tmpl w:val="8DBCF7A8"/>
    <w:lvl w:ilvl="0" w:tplc="0409000F">
      <w:start w:val="1"/>
      <w:numFmt w:val="decimal"/>
      <w:lvlText w:val="%1."/>
      <w:lvlJc w:val="left"/>
      <w:pPr>
        <w:ind w:left="1495"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1" w15:restartNumberingAfterBreak="0">
    <w:nsid w:val="70DC66DE"/>
    <w:multiLevelType w:val="hybridMultilevel"/>
    <w:tmpl w:val="47A04D6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32" w15:restartNumberingAfterBreak="0">
    <w:nsid w:val="73F07F01"/>
    <w:multiLevelType w:val="hybridMultilevel"/>
    <w:tmpl w:val="302ECD34"/>
    <w:lvl w:ilvl="0" w:tplc="0409000F">
      <w:start w:val="1"/>
      <w:numFmt w:val="decimal"/>
      <w:lvlText w:val="%1."/>
      <w:lvlJc w:val="left"/>
      <w:pPr>
        <w:ind w:left="788" w:hanging="360"/>
      </w:p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33" w15:restartNumberingAfterBreak="0">
    <w:nsid w:val="7BA96154"/>
    <w:multiLevelType w:val="hybridMultilevel"/>
    <w:tmpl w:val="4AB6AEE2"/>
    <w:lvl w:ilvl="0" w:tplc="0409000F">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num w:numId="1">
    <w:abstractNumId w:val="9"/>
  </w:num>
  <w:num w:numId="2">
    <w:abstractNumId w:val="2"/>
  </w:num>
  <w:num w:numId="3">
    <w:abstractNumId w:val="1"/>
  </w:num>
  <w:num w:numId="4">
    <w:abstractNumId w:val="25"/>
  </w:num>
  <w:num w:numId="5">
    <w:abstractNumId w:val="8"/>
  </w:num>
  <w:num w:numId="6">
    <w:abstractNumId w:val="32"/>
  </w:num>
  <w:num w:numId="7">
    <w:abstractNumId w:val="13"/>
  </w:num>
  <w:num w:numId="8">
    <w:abstractNumId w:val="15"/>
  </w:num>
  <w:num w:numId="9">
    <w:abstractNumId w:val="26"/>
  </w:num>
  <w:num w:numId="10">
    <w:abstractNumId w:val="33"/>
  </w:num>
  <w:num w:numId="11">
    <w:abstractNumId w:val="20"/>
  </w:num>
  <w:num w:numId="12">
    <w:abstractNumId w:val="21"/>
  </w:num>
  <w:num w:numId="13">
    <w:abstractNumId w:val="6"/>
  </w:num>
  <w:num w:numId="14">
    <w:abstractNumId w:val="30"/>
  </w:num>
  <w:num w:numId="15">
    <w:abstractNumId w:val="7"/>
  </w:num>
  <w:num w:numId="16">
    <w:abstractNumId w:val="4"/>
  </w:num>
  <w:num w:numId="17">
    <w:abstractNumId w:val="31"/>
  </w:num>
  <w:num w:numId="18">
    <w:abstractNumId w:val="17"/>
  </w:num>
  <w:num w:numId="19">
    <w:abstractNumId w:val="16"/>
  </w:num>
  <w:num w:numId="20">
    <w:abstractNumId w:val="10"/>
  </w:num>
  <w:num w:numId="21">
    <w:abstractNumId w:val="5"/>
  </w:num>
  <w:num w:numId="22">
    <w:abstractNumId w:val="29"/>
  </w:num>
  <w:num w:numId="23">
    <w:abstractNumId w:val="18"/>
  </w:num>
  <w:num w:numId="24">
    <w:abstractNumId w:val="27"/>
  </w:num>
  <w:num w:numId="25">
    <w:abstractNumId w:val="22"/>
  </w:num>
  <w:num w:numId="26">
    <w:abstractNumId w:val="0"/>
  </w:num>
  <w:num w:numId="27">
    <w:abstractNumId w:val="14"/>
  </w:num>
  <w:num w:numId="28">
    <w:abstractNumId w:val="28"/>
  </w:num>
  <w:num w:numId="29">
    <w:abstractNumId w:val="23"/>
  </w:num>
  <w:num w:numId="30">
    <w:abstractNumId w:val="12"/>
  </w:num>
  <w:num w:numId="31">
    <w:abstractNumId w:val="3"/>
  </w:num>
  <w:num w:numId="32">
    <w:abstractNumId w:val="24"/>
  </w:num>
  <w:num w:numId="33">
    <w:abstractNumId w:val="11"/>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070"/>
    <w:rsid w:val="00003B8F"/>
    <w:rsid w:val="000133FB"/>
    <w:rsid w:val="00014822"/>
    <w:rsid w:val="00016056"/>
    <w:rsid w:val="00030E5A"/>
    <w:rsid w:val="00034808"/>
    <w:rsid w:val="00035A01"/>
    <w:rsid w:val="0004181A"/>
    <w:rsid w:val="00041EE8"/>
    <w:rsid w:val="000449AB"/>
    <w:rsid w:val="00054D3C"/>
    <w:rsid w:val="000655A2"/>
    <w:rsid w:val="00066C5B"/>
    <w:rsid w:val="00070D06"/>
    <w:rsid w:val="00077640"/>
    <w:rsid w:val="000811A5"/>
    <w:rsid w:val="00082E44"/>
    <w:rsid w:val="0008466E"/>
    <w:rsid w:val="00087D9C"/>
    <w:rsid w:val="00087EF3"/>
    <w:rsid w:val="00093488"/>
    <w:rsid w:val="000949E3"/>
    <w:rsid w:val="000968A6"/>
    <w:rsid w:val="000A3343"/>
    <w:rsid w:val="000A3F1C"/>
    <w:rsid w:val="000A40DC"/>
    <w:rsid w:val="000A6E59"/>
    <w:rsid w:val="000B1283"/>
    <w:rsid w:val="000B41B1"/>
    <w:rsid w:val="000C3EF6"/>
    <w:rsid w:val="000C6FCC"/>
    <w:rsid w:val="000D0F2A"/>
    <w:rsid w:val="000D435B"/>
    <w:rsid w:val="000D593D"/>
    <w:rsid w:val="000D675D"/>
    <w:rsid w:val="000D78D0"/>
    <w:rsid w:val="000E0461"/>
    <w:rsid w:val="000E070B"/>
    <w:rsid w:val="000E1B03"/>
    <w:rsid w:val="000E1BE7"/>
    <w:rsid w:val="000E3A2E"/>
    <w:rsid w:val="000E4FF1"/>
    <w:rsid w:val="000F0836"/>
    <w:rsid w:val="000F0D8C"/>
    <w:rsid w:val="000F5B9B"/>
    <w:rsid w:val="000F5F81"/>
    <w:rsid w:val="00112604"/>
    <w:rsid w:val="00120F25"/>
    <w:rsid w:val="00124AF8"/>
    <w:rsid w:val="00124B04"/>
    <w:rsid w:val="001264CF"/>
    <w:rsid w:val="00135A4E"/>
    <w:rsid w:val="001361BF"/>
    <w:rsid w:val="00145083"/>
    <w:rsid w:val="001514C1"/>
    <w:rsid w:val="001525A3"/>
    <w:rsid w:val="0015578A"/>
    <w:rsid w:val="00155935"/>
    <w:rsid w:val="0015642C"/>
    <w:rsid w:val="00156C58"/>
    <w:rsid w:val="00160455"/>
    <w:rsid w:val="00163671"/>
    <w:rsid w:val="00164C4F"/>
    <w:rsid w:val="00165158"/>
    <w:rsid w:val="00175B55"/>
    <w:rsid w:val="00175D91"/>
    <w:rsid w:val="00181699"/>
    <w:rsid w:val="00184BC7"/>
    <w:rsid w:val="00186370"/>
    <w:rsid w:val="00192438"/>
    <w:rsid w:val="001A288E"/>
    <w:rsid w:val="001A2D0E"/>
    <w:rsid w:val="001A55C5"/>
    <w:rsid w:val="001B2E6D"/>
    <w:rsid w:val="001B4D41"/>
    <w:rsid w:val="001B4F3E"/>
    <w:rsid w:val="001C38AA"/>
    <w:rsid w:val="001C4AFE"/>
    <w:rsid w:val="001D5DA7"/>
    <w:rsid w:val="001E3CF4"/>
    <w:rsid w:val="001E3DA8"/>
    <w:rsid w:val="001E4C94"/>
    <w:rsid w:val="001E720E"/>
    <w:rsid w:val="001E7399"/>
    <w:rsid w:val="001F0ACC"/>
    <w:rsid w:val="001F54E6"/>
    <w:rsid w:val="001F556A"/>
    <w:rsid w:val="00201E1B"/>
    <w:rsid w:val="00203BAE"/>
    <w:rsid w:val="0020729B"/>
    <w:rsid w:val="00211599"/>
    <w:rsid w:val="00213A05"/>
    <w:rsid w:val="002170D3"/>
    <w:rsid w:val="002203DF"/>
    <w:rsid w:val="00221E23"/>
    <w:rsid w:val="00224F57"/>
    <w:rsid w:val="00230FC6"/>
    <w:rsid w:val="00234B6B"/>
    <w:rsid w:val="00235544"/>
    <w:rsid w:val="002373A7"/>
    <w:rsid w:val="00237B8D"/>
    <w:rsid w:val="00241C82"/>
    <w:rsid w:val="00241F9B"/>
    <w:rsid w:val="00244F29"/>
    <w:rsid w:val="002454D1"/>
    <w:rsid w:val="00251830"/>
    <w:rsid w:val="00251CEE"/>
    <w:rsid w:val="00252183"/>
    <w:rsid w:val="002646AA"/>
    <w:rsid w:val="00266A42"/>
    <w:rsid w:val="0027184E"/>
    <w:rsid w:val="002A5211"/>
    <w:rsid w:val="002B154E"/>
    <w:rsid w:val="002C0E17"/>
    <w:rsid w:val="002E1A50"/>
    <w:rsid w:val="002E5A1C"/>
    <w:rsid w:val="002F24AC"/>
    <w:rsid w:val="002F2AE5"/>
    <w:rsid w:val="002F2CD7"/>
    <w:rsid w:val="002F33CC"/>
    <w:rsid w:val="002F341D"/>
    <w:rsid w:val="002F5578"/>
    <w:rsid w:val="002F761A"/>
    <w:rsid w:val="00322BBF"/>
    <w:rsid w:val="00322C26"/>
    <w:rsid w:val="003230AF"/>
    <w:rsid w:val="00323811"/>
    <w:rsid w:val="0032401C"/>
    <w:rsid w:val="003270EE"/>
    <w:rsid w:val="00330ECD"/>
    <w:rsid w:val="00341F33"/>
    <w:rsid w:val="0034375A"/>
    <w:rsid w:val="00352364"/>
    <w:rsid w:val="00353E98"/>
    <w:rsid w:val="003540BE"/>
    <w:rsid w:val="00354E74"/>
    <w:rsid w:val="00356DD2"/>
    <w:rsid w:val="0035748E"/>
    <w:rsid w:val="00357E5C"/>
    <w:rsid w:val="00362CDC"/>
    <w:rsid w:val="00363263"/>
    <w:rsid w:val="00370DE3"/>
    <w:rsid w:val="00373766"/>
    <w:rsid w:val="003768AA"/>
    <w:rsid w:val="00390CA3"/>
    <w:rsid w:val="0039225B"/>
    <w:rsid w:val="003930E5"/>
    <w:rsid w:val="0039311C"/>
    <w:rsid w:val="003A0372"/>
    <w:rsid w:val="003A1553"/>
    <w:rsid w:val="003A2611"/>
    <w:rsid w:val="003B1773"/>
    <w:rsid w:val="003B1B2C"/>
    <w:rsid w:val="003B2CD5"/>
    <w:rsid w:val="003B6419"/>
    <w:rsid w:val="003C4B79"/>
    <w:rsid w:val="003C779D"/>
    <w:rsid w:val="003D22A0"/>
    <w:rsid w:val="003D25E3"/>
    <w:rsid w:val="003D4C5D"/>
    <w:rsid w:val="003E0FCE"/>
    <w:rsid w:val="003E32BE"/>
    <w:rsid w:val="003E3C0D"/>
    <w:rsid w:val="003F6743"/>
    <w:rsid w:val="00402173"/>
    <w:rsid w:val="00403015"/>
    <w:rsid w:val="00416230"/>
    <w:rsid w:val="004309E5"/>
    <w:rsid w:val="004542CD"/>
    <w:rsid w:val="00457EDC"/>
    <w:rsid w:val="004637C7"/>
    <w:rsid w:val="004679DD"/>
    <w:rsid w:val="004703CE"/>
    <w:rsid w:val="00477DE0"/>
    <w:rsid w:val="004827ED"/>
    <w:rsid w:val="00483730"/>
    <w:rsid w:val="00486A42"/>
    <w:rsid w:val="00486E8A"/>
    <w:rsid w:val="004873BD"/>
    <w:rsid w:val="004A3569"/>
    <w:rsid w:val="004A7FCE"/>
    <w:rsid w:val="004B60BF"/>
    <w:rsid w:val="004C66C2"/>
    <w:rsid w:val="004C6CA1"/>
    <w:rsid w:val="004D69D2"/>
    <w:rsid w:val="004E0BD5"/>
    <w:rsid w:val="004E1083"/>
    <w:rsid w:val="004E707E"/>
    <w:rsid w:val="004F2253"/>
    <w:rsid w:val="004F2CB7"/>
    <w:rsid w:val="0050394B"/>
    <w:rsid w:val="005039C6"/>
    <w:rsid w:val="0050529A"/>
    <w:rsid w:val="00513FA8"/>
    <w:rsid w:val="00516ABE"/>
    <w:rsid w:val="00524E73"/>
    <w:rsid w:val="0052515B"/>
    <w:rsid w:val="00525A3A"/>
    <w:rsid w:val="00534D4B"/>
    <w:rsid w:val="00535AED"/>
    <w:rsid w:val="00541472"/>
    <w:rsid w:val="00542010"/>
    <w:rsid w:val="0054284F"/>
    <w:rsid w:val="00544A65"/>
    <w:rsid w:val="00560D91"/>
    <w:rsid w:val="00564471"/>
    <w:rsid w:val="00564B8B"/>
    <w:rsid w:val="005675D7"/>
    <w:rsid w:val="00570720"/>
    <w:rsid w:val="00577200"/>
    <w:rsid w:val="00593F9A"/>
    <w:rsid w:val="00594E38"/>
    <w:rsid w:val="005A32A7"/>
    <w:rsid w:val="005A78B0"/>
    <w:rsid w:val="005B1A5C"/>
    <w:rsid w:val="005C4037"/>
    <w:rsid w:val="005C62B7"/>
    <w:rsid w:val="005D2ED5"/>
    <w:rsid w:val="005D46FB"/>
    <w:rsid w:val="005D4A68"/>
    <w:rsid w:val="005D53BD"/>
    <w:rsid w:val="005D6655"/>
    <w:rsid w:val="005F0EF9"/>
    <w:rsid w:val="005F1B14"/>
    <w:rsid w:val="005F54A3"/>
    <w:rsid w:val="005F5AFF"/>
    <w:rsid w:val="00602708"/>
    <w:rsid w:val="006028C1"/>
    <w:rsid w:val="00607515"/>
    <w:rsid w:val="00607579"/>
    <w:rsid w:val="00621215"/>
    <w:rsid w:val="00630518"/>
    <w:rsid w:val="006316CB"/>
    <w:rsid w:val="0063559A"/>
    <w:rsid w:val="006362B6"/>
    <w:rsid w:val="00645B05"/>
    <w:rsid w:val="0065318D"/>
    <w:rsid w:val="006625B7"/>
    <w:rsid w:val="00663D05"/>
    <w:rsid w:val="0066444E"/>
    <w:rsid w:val="00666494"/>
    <w:rsid w:val="006665FB"/>
    <w:rsid w:val="00666D84"/>
    <w:rsid w:val="00673821"/>
    <w:rsid w:val="00676662"/>
    <w:rsid w:val="00676752"/>
    <w:rsid w:val="00676BCC"/>
    <w:rsid w:val="00682A8C"/>
    <w:rsid w:val="00682E25"/>
    <w:rsid w:val="0068775A"/>
    <w:rsid w:val="00691403"/>
    <w:rsid w:val="006A3FFA"/>
    <w:rsid w:val="006A4EFC"/>
    <w:rsid w:val="006B01E5"/>
    <w:rsid w:val="006B3E3C"/>
    <w:rsid w:val="006B7DEA"/>
    <w:rsid w:val="006D3072"/>
    <w:rsid w:val="006E305A"/>
    <w:rsid w:val="006E50D9"/>
    <w:rsid w:val="006E57BF"/>
    <w:rsid w:val="006F3FE9"/>
    <w:rsid w:val="00701C25"/>
    <w:rsid w:val="0070380C"/>
    <w:rsid w:val="00704530"/>
    <w:rsid w:val="00706A9F"/>
    <w:rsid w:val="00711763"/>
    <w:rsid w:val="00712EB5"/>
    <w:rsid w:val="00714BA8"/>
    <w:rsid w:val="0071761F"/>
    <w:rsid w:val="007226AA"/>
    <w:rsid w:val="007228E0"/>
    <w:rsid w:val="0072658B"/>
    <w:rsid w:val="00733ABC"/>
    <w:rsid w:val="00737322"/>
    <w:rsid w:val="007400CC"/>
    <w:rsid w:val="00741B50"/>
    <w:rsid w:val="00744878"/>
    <w:rsid w:val="00745449"/>
    <w:rsid w:val="00746624"/>
    <w:rsid w:val="00746635"/>
    <w:rsid w:val="00753D7D"/>
    <w:rsid w:val="007542A1"/>
    <w:rsid w:val="007560DC"/>
    <w:rsid w:val="00757E3B"/>
    <w:rsid w:val="00766FA6"/>
    <w:rsid w:val="00767F1D"/>
    <w:rsid w:val="00781699"/>
    <w:rsid w:val="00782CF1"/>
    <w:rsid w:val="00785014"/>
    <w:rsid w:val="0078598C"/>
    <w:rsid w:val="00797EC1"/>
    <w:rsid w:val="007A0764"/>
    <w:rsid w:val="007A79AB"/>
    <w:rsid w:val="007C1B9F"/>
    <w:rsid w:val="007C3CD4"/>
    <w:rsid w:val="007C3F2F"/>
    <w:rsid w:val="007D037B"/>
    <w:rsid w:val="007D5FD0"/>
    <w:rsid w:val="007D7C22"/>
    <w:rsid w:val="007E1DAF"/>
    <w:rsid w:val="007E2BEE"/>
    <w:rsid w:val="007F1C8F"/>
    <w:rsid w:val="007F2E1F"/>
    <w:rsid w:val="0080335C"/>
    <w:rsid w:val="008037C3"/>
    <w:rsid w:val="008114E3"/>
    <w:rsid w:val="008166D3"/>
    <w:rsid w:val="0082260A"/>
    <w:rsid w:val="008230D1"/>
    <w:rsid w:val="0082404C"/>
    <w:rsid w:val="00824907"/>
    <w:rsid w:val="00827D20"/>
    <w:rsid w:val="0083254C"/>
    <w:rsid w:val="00835AD5"/>
    <w:rsid w:val="00836AAB"/>
    <w:rsid w:val="008410DB"/>
    <w:rsid w:val="00843F9A"/>
    <w:rsid w:val="00850397"/>
    <w:rsid w:val="008511CB"/>
    <w:rsid w:val="00854AB4"/>
    <w:rsid w:val="00855C90"/>
    <w:rsid w:val="0086075B"/>
    <w:rsid w:val="00861B02"/>
    <w:rsid w:val="008646ED"/>
    <w:rsid w:val="00864B9A"/>
    <w:rsid w:val="00866D76"/>
    <w:rsid w:val="0087531E"/>
    <w:rsid w:val="00876FD2"/>
    <w:rsid w:val="008955B8"/>
    <w:rsid w:val="008970FE"/>
    <w:rsid w:val="008A4AC6"/>
    <w:rsid w:val="008B2E02"/>
    <w:rsid w:val="008B370B"/>
    <w:rsid w:val="008B5A07"/>
    <w:rsid w:val="008B7B48"/>
    <w:rsid w:val="008C15DA"/>
    <w:rsid w:val="008C1BA8"/>
    <w:rsid w:val="008D2342"/>
    <w:rsid w:val="008D35CF"/>
    <w:rsid w:val="008D4BD9"/>
    <w:rsid w:val="008E2F04"/>
    <w:rsid w:val="008E2FBE"/>
    <w:rsid w:val="008E6EF7"/>
    <w:rsid w:val="008F2926"/>
    <w:rsid w:val="008F6477"/>
    <w:rsid w:val="00905BF6"/>
    <w:rsid w:val="00906581"/>
    <w:rsid w:val="00906921"/>
    <w:rsid w:val="00913759"/>
    <w:rsid w:val="009141FD"/>
    <w:rsid w:val="009214FF"/>
    <w:rsid w:val="00923E62"/>
    <w:rsid w:val="00932CD3"/>
    <w:rsid w:val="00934BC5"/>
    <w:rsid w:val="00943958"/>
    <w:rsid w:val="009449F5"/>
    <w:rsid w:val="00951884"/>
    <w:rsid w:val="009539BB"/>
    <w:rsid w:val="00954C85"/>
    <w:rsid w:val="00962D79"/>
    <w:rsid w:val="00965700"/>
    <w:rsid w:val="00965F74"/>
    <w:rsid w:val="00967C61"/>
    <w:rsid w:val="00967CD1"/>
    <w:rsid w:val="009707F1"/>
    <w:rsid w:val="00972D4E"/>
    <w:rsid w:val="00974CAE"/>
    <w:rsid w:val="00980873"/>
    <w:rsid w:val="009877BB"/>
    <w:rsid w:val="009A0325"/>
    <w:rsid w:val="009A1EA9"/>
    <w:rsid w:val="009A3A32"/>
    <w:rsid w:val="009A4A78"/>
    <w:rsid w:val="009A4B55"/>
    <w:rsid w:val="009B00B5"/>
    <w:rsid w:val="009B04E4"/>
    <w:rsid w:val="009B3BFB"/>
    <w:rsid w:val="009B52CF"/>
    <w:rsid w:val="009B59DD"/>
    <w:rsid w:val="009C0D52"/>
    <w:rsid w:val="009C1030"/>
    <w:rsid w:val="009D4BE3"/>
    <w:rsid w:val="009D76CC"/>
    <w:rsid w:val="00A272C4"/>
    <w:rsid w:val="00A33DC3"/>
    <w:rsid w:val="00A35F71"/>
    <w:rsid w:val="00A40538"/>
    <w:rsid w:val="00A5060A"/>
    <w:rsid w:val="00A554C9"/>
    <w:rsid w:val="00A559BB"/>
    <w:rsid w:val="00A55F3C"/>
    <w:rsid w:val="00A60B28"/>
    <w:rsid w:val="00A615F0"/>
    <w:rsid w:val="00A6765D"/>
    <w:rsid w:val="00A7608B"/>
    <w:rsid w:val="00A83F9E"/>
    <w:rsid w:val="00A87EA1"/>
    <w:rsid w:val="00A92801"/>
    <w:rsid w:val="00AA6794"/>
    <w:rsid w:val="00AB0913"/>
    <w:rsid w:val="00AB1A07"/>
    <w:rsid w:val="00AB22DA"/>
    <w:rsid w:val="00AB466B"/>
    <w:rsid w:val="00AB4732"/>
    <w:rsid w:val="00AB7B87"/>
    <w:rsid w:val="00AC0A0E"/>
    <w:rsid w:val="00AC15D2"/>
    <w:rsid w:val="00AC2947"/>
    <w:rsid w:val="00AC7C3E"/>
    <w:rsid w:val="00AC7EC2"/>
    <w:rsid w:val="00AD153C"/>
    <w:rsid w:val="00AD2096"/>
    <w:rsid w:val="00AD7DF5"/>
    <w:rsid w:val="00AE0529"/>
    <w:rsid w:val="00AE7EBB"/>
    <w:rsid w:val="00AF59EF"/>
    <w:rsid w:val="00B06CEA"/>
    <w:rsid w:val="00B13072"/>
    <w:rsid w:val="00B148EF"/>
    <w:rsid w:val="00B22DE9"/>
    <w:rsid w:val="00B27E85"/>
    <w:rsid w:val="00B30DD3"/>
    <w:rsid w:val="00B37191"/>
    <w:rsid w:val="00B372C9"/>
    <w:rsid w:val="00B40460"/>
    <w:rsid w:val="00B41C9E"/>
    <w:rsid w:val="00B41CFA"/>
    <w:rsid w:val="00B42716"/>
    <w:rsid w:val="00B5014A"/>
    <w:rsid w:val="00B534DC"/>
    <w:rsid w:val="00B607DA"/>
    <w:rsid w:val="00B776A3"/>
    <w:rsid w:val="00B8074C"/>
    <w:rsid w:val="00B81E2E"/>
    <w:rsid w:val="00B84889"/>
    <w:rsid w:val="00B86C43"/>
    <w:rsid w:val="00B94C6B"/>
    <w:rsid w:val="00B95A77"/>
    <w:rsid w:val="00BA6534"/>
    <w:rsid w:val="00BB2B74"/>
    <w:rsid w:val="00BC037E"/>
    <w:rsid w:val="00BC09DB"/>
    <w:rsid w:val="00BC1F7A"/>
    <w:rsid w:val="00BC28DD"/>
    <w:rsid w:val="00BC3134"/>
    <w:rsid w:val="00BC58CF"/>
    <w:rsid w:val="00BD1817"/>
    <w:rsid w:val="00BD1C47"/>
    <w:rsid w:val="00BE02CC"/>
    <w:rsid w:val="00BE35AB"/>
    <w:rsid w:val="00BE36C0"/>
    <w:rsid w:val="00BF1CE3"/>
    <w:rsid w:val="00BF2A39"/>
    <w:rsid w:val="00C00854"/>
    <w:rsid w:val="00C22012"/>
    <w:rsid w:val="00C22AD4"/>
    <w:rsid w:val="00C2392F"/>
    <w:rsid w:val="00C24B00"/>
    <w:rsid w:val="00C34ABD"/>
    <w:rsid w:val="00C4388B"/>
    <w:rsid w:val="00C51564"/>
    <w:rsid w:val="00C56F9F"/>
    <w:rsid w:val="00C62AD5"/>
    <w:rsid w:val="00C64C0E"/>
    <w:rsid w:val="00C67CB1"/>
    <w:rsid w:val="00C828D1"/>
    <w:rsid w:val="00C83F7C"/>
    <w:rsid w:val="00C853A8"/>
    <w:rsid w:val="00C90012"/>
    <w:rsid w:val="00C93C08"/>
    <w:rsid w:val="00C97348"/>
    <w:rsid w:val="00CA4BD7"/>
    <w:rsid w:val="00CA5D46"/>
    <w:rsid w:val="00CB3448"/>
    <w:rsid w:val="00CB4B02"/>
    <w:rsid w:val="00CB7F9B"/>
    <w:rsid w:val="00CD46E7"/>
    <w:rsid w:val="00CD59A1"/>
    <w:rsid w:val="00CD6B35"/>
    <w:rsid w:val="00CE09DA"/>
    <w:rsid w:val="00CE0C62"/>
    <w:rsid w:val="00CE42CD"/>
    <w:rsid w:val="00CE5BB2"/>
    <w:rsid w:val="00D04988"/>
    <w:rsid w:val="00D05D0E"/>
    <w:rsid w:val="00D0785E"/>
    <w:rsid w:val="00D112BF"/>
    <w:rsid w:val="00D14555"/>
    <w:rsid w:val="00D15072"/>
    <w:rsid w:val="00D23917"/>
    <w:rsid w:val="00D23F09"/>
    <w:rsid w:val="00D24CB8"/>
    <w:rsid w:val="00D2520C"/>
    <w:rsid w:val="00D35109"/>
    <w:rsid w:val="00D372C4"/>
    <w:rsid w:val="00D60FF8"/>
    <w:rsid w:val="00D61FD8"/>
    <w:rsid w:val="00D73384"/>
    <w:rsid w:val="00D7510A"/>
    <w:rsid w:val="00D75957"/>
    <w:rsid w:val="00D8768E"/>
    <w:rsid w:val="00DA04A6"/>
    <w:rsid w:val="00DA0ADB"/>
    <w:rsid w:val="00DA3AA0"/>
    <w:rsid w:val="00DA7424"/>
    <w:rsid w:val="00DB0E69"/>
    <w:rsid w:val="00DB1C42"/>
    <w:rsid w:val="00DC3B07"/>
    <w:rsid w:val="00DC45F0"/>
    <w:rsid w:val="00DC7ACE"/>
    <w:rsid w:val="00DD05E4"/>
    <w:rsid w:val="00DD1A5F"/>
    <w:rsid w:val="00DD488C"/>
    <w:rsid w:val="00DE21A0"/>
    <w:rsid w:val="00DE71F2"/>
    <w:rsid w:val="00DF0DCB"/>
    <w:rsid w:val="00DF3E6F"/>
    <w:rsid w:val="00E04D68"/>
    <w:rsid w:val="00E114FA"/>
    <w:rsid w:val="00E12F8E"/>
    <w:rsid w:val="00E1570E"/>
    <w:rsid w:val="00E15AFA"/>
    <w:rsid w:val="00E16FB1"/>
    <w:rsid w:val="00E208A8"/>
    <w:rsid w:val="00E232A2"/>
    <w:rsid w:val="00E3138E"/>
    <w:rsid w:val="00E41E15"/>
    <w:rsid w:val="00E42638"/>
    <w:rsid w:val="00E4355C"/>
    <w:rsid w:val="00E44753"/>
    <w:rsid w:val="00E46192"/>
    <w:rsid w:val="00E46B67"/>
    <w:rsid w:val="00E50185"/>
    <w:rsid w:val="00E55ABF"/>
    <w:rsid w:val="00E67F0E"/>
    <w:rsid w:val="00E7629D"/>
    <w:rsid w:val="00E81473"/>
    <w:rsid w:val="00E876AB"/>
    <w:rsid w:val="00E96902"/>
    <w:rsid w:val="00EB4112"/>
    <w:rsid w:val="00EB489F"/>
    <w:rsid w:val="00EB6C8C"/>
    <w:rsid w:val="00EB7129"/>
    <w:rsid w:val="00EC1334"/>
    <w:rsid w:val="00EC4D41"/>
    <w:rsid w:val="00EC77D4"/>
    <w:rsid w:val="00ED2A54"/>
    <w:rsid w:val="00ED4F3B"/>
    <w:rsid w:val="00ED5011"/>
    <w:rsid w:val="00EE06E6"/>
    <w:rsid w:val="00EE26EA"/>
    <w:rsid w:val="00EE5903"/>
    <w:rsid w:val="00EF11BC"/>
    <w:rsid w:val="00EF4070"/>
    <w:rsid w:val="00EF637A"/>
    <w:rsid w:val="00F01F24"/>
    <w:rsid w:val="00F12130"/>
    <w:rsid w:val="00F14D09"/>
    <w:rsid w:val="00F2075C"/>
    <w:rsid w:val="00F20F11"/>
    <w:rsid w:val="00F238A6"/>
    <w:rsid w:val="00F2475D"/>
    <w:rsid w:val="00F3018E"/>
    <w:rsid w:val="00F30274"/>
    <w:rsid w:val="00F311C0"/>
    <w:rsid w:val="00F311F6"/>
    <w:rsid w:val="00F342A1"/>
    <w:rsid w:val="00F36B3B"/>
    <w:rsid w:val="00F4096B"/>
    <w:rsid w:val="00F40A75"/>
    <w:rsid w:val="00F45476"/>
    <w:rsid w:val="00F50A68"/>
    <w:rsid w:val="00F52594"/>
    <w:rsid w:val="00F56BE6"/>
    <w:rsid w:val="00F60879"/>
    <w:rsid w:val="00F66B05"/>
    <w:rsid w:val="00F71E5F"/>
    <w:rsid w:val="00F73CB6"/>
    <w:rsid w:val="00F7592C"/>
    <w:rsid w:val="00F77233"/>
    <w:rsid w:val="00F77ABB"/>
    <w:rsid w:val="00F94297"/>
    <w:rsid w:val="00F97203"/>
    <w:rsid w:val="00F97B2D"/>
    <w:rsid w:val="00FB2932"/>
    <w:rsid w:val="00FB2A5D"/>
    <w:rsid w:val="00FC4376"/>
    <w:rsid w:val="00FF169F"/>
    <w:rsid w:val="5F3F94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7F683E7"/>
  <w15:docId w15:val="{BD7B04E8-1803-4B67-9F8F-8C4C0E6A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prastasis">
    <w:name w:val="Normal"/>
    <w:qFormat/>
    <w:rsid w:val="00EF4070"/>
    <w:pPr>
      <w:spacing w:after="0" w:line="360" w:lineRule="auto"/>
      <w:ind w:left="360" w:hanging="360"/>
      <w:jc w:val="both"/>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F4070"/>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EF4070"/>
    <w:rPr>
      <w:rFonts w:ascii="Calibri" w:eastAsia="Calibri" w:hAnsi="Calibri" w:cs="Times New Roman"/>
      <w:lang w:val="en-US"/>
    </w:rPr>
  </w:style>
  <w:style w:type="paragraph" w:styleId="Pagrindiniotekstotrauka">
    <w:name w:val="Body Text Indent"/>
    <w:basedOn w:val="prastasis"/>
    <w:link w:val="PagrindiniotekstotraukaDiagrama"/>
    <w:rsid w:val="00EF4070"/>
    <w:pPr>
      <w:spacing w:line="240" w:lineRule="auto"/>
      <w:ind w:left="0" w:firstLine="720"/>
    </w:pPr>
    <w:rPr>
      <w:rFonts w:ascii="Times New Roman" w:eastAsia="Times New Roman" w:hAnsi="Times New Roman"/>
      <w:sz w:val="24"/>
      <w:szCs w:val="20"/>
      <w:lang w:val="lt-LT"/>
    </w:rPr>
  </w:style>
  <w:style w:type="character" w:customStyle="1" w:styleId="PagrindiniotekstotraukaDiagrama">
    <w:name w:val="Pagrindinio teksto įtrauka Diagrama"/>
    <w:basedOn w:val="Numatytasispastraiposriftas"/>
    <w:link w:val="Pagrindiniotekstotrauka"/>
    <w:rsid w:val="00EF4070"/>
    <w:rPr>
      <w:rFonts w:ascii="Times New Roman" w:eastAsia="Times New Roman" w:hAnsi="Times New Roman" w:cs="Times New Roman"/>
      <w:sz w:val="24"/>
      <w:szCs w:val="20"/>
    </w:rPr>
  </w:style>
  <w:style w:type="character" w:styleId="Hipersaitas">
    <w:name w:val="Hyperlink"/>
    <w:rsid w:val="00EF4070"/>
    <w:rPr>
      <w:color w:val="0000FF"/>
      <w:u w:val="single"/>
    </w:rPr>
  </w:style>
  <w:style w:type="paragraph" w:styleId="Sraopastraipa">
    <w:name w:val="List Paragraph"/>
    <w:basedOn w:val="prastasis"/>
    <w:uiPriority w:val="99"/>
    <w:qFormat/>
    <w:rsid w:val="00EF4070"/>
    <w:pPr>
      <w:ind w:left="720"/>
      <w:contextualSpacing/>
    </w:pPr>
  </w:style>
  <w:style w:type="paragraph" w:styleId="Puslapioinaostekstas">
    <w:name w:val="footnote text"/>
    <w:basedOn w:val="prastasis"/>
    <w:link w:val="PuslapioinaostekstasDiagrama"/>
    <w:uiPriority w:val="99"/>
    <w:semiHidden/>
    <w:unhideWhenUsed/>
    <w:rsid w:val="00EF4070"/>
    <w:pPr>
      <w:spacing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EF4070"/>
    <w:rPr>
      <w:rFonts w:ascii="Calibri" w:eastAsia="Calibri" w:hAnsi="Calibri" w:cs="Times New Roman"/>
      <w:sz w:val="20"/>
      <w:szCs w:val="20"/>
      <w:lang w:val="en-US"/>
    </w:rPr>
  </w:style>
  <w:style w:type="character" w:styleId="Puslapioinaosnuoroda">
    <w:name w:val="footnote reference"/>
    <w:basedOn w:val="Numatytasispastraiposriftas"/>
    <w:uiPriority w:val="99"/>
    <w:semiHidden/>
    <w:unhideWhenUsed/>
    <w:rsid w:val="00EF4070"/>
    <w:rPr>
      <w:vertAlign w:val="superscript"/>
    </w:rPr>
  </w:style>
  <w:style w:type="character" w:styleId="Komentaronuoroda">
    <w:name w:val="annotation reference"/>
    <w:basedOn w:val="Numatytasispastraiposriftas"/>
    <w:uiPriority w:val="99"/>
    <w:semiHidden/>
    <w:unhideWhenUsed/>
    <w:rsid w:val="00EF4070"/>
    <w:rPr>
      <w:sz w:val="16"/>
      <w:szCs w:val="16"/>
    </w:rPr>
  </w:style>
  <w:style w:type="paragraph" w:styleId="Komentarotekstas">
    <w:name w:val="annotation text"/>
    <w:basedOn w:val="prastasis"/>
    <w:link w:val="KomentarotekstasDiagrama"/>
    <w:uiPriority w:val="99"/>
    <w:unhideWhenUsed/>
    <w:rsid w:val="00EF4070"/>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F4070"/>
    <w:rPr>
      <w:rFonts w:ascii="Calibri" w:eastAsia="Calibri" w:hAnsi="Calibri" w:cs="Times New Roman"/>
      <w:sz w:val="20"/>
      <w:szCs w:val="20"/>
      <w:lang w:val="en-US"/>
    </w:rPr>
  </w:style>
  <w:style w:type="paragraph" w:styleId="Debesliotekstas">
    <w:name w:val="Balloon Text"/>
    <w:basedOn w:val="prastasis"/>
    <w:link w:val="DebesliotekstasDiagrama"/>
    <w:uiPriority w:val="99"/>
    <w:semiHidden/>
    <w:unhideWhenUsed/>
    <w:rsid w:val="00EF4070"/>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4070"/>
    <w:rPr>
      <w:rFonts w:ascii="Tahoma" w:eastAsia="Calibri" w:hAnsi="Tahoma" w:cs="Tahoma"/>
      <w:sz w:val="16"/>
      <w:szCs w:val="16"/>
      <w:lang w:val="en-US"/>
    </w:rPr>
  </w:style>
  <w:style w:type="paragraph" w:styleId="prastasiniatinklio">
    <w:name w:val="Normal (Web)"/>
    <w:basedOn w:val="prastasis"/>
    <w:uiPriority w:val="99"/>
    <w:unhideWhenUsed/>
    <w:rsid w:val="00866D76"/>
    <w:pPr>
      <w:spacing w:before="100" w:beforeAutospacing="1" w:after="100" w:afterAutospacing="1" w:line="240" w:lineRule="auto"/>
      <w:ind w:left="0" w:firstLine="0"/>
      <w:jc w:val="left"/>
    </w:pPr>
    <w:rPr>
      <w:rFonts w:ascii="Times New Roman" w:eastAsia="Times New Roman" w:hAnsi="Times New Roman"/>
      <w:sz w:val="24"/>
      <w:szCs w:val="24"/>
      <w:lang w:val="lt-LT" w:eastAsia="lt-LT"/>
    </w:rPr>
  </w:style>
  <w:style w:type="paragraph" w:customStyle="1" w:styleId="Default">
    <w:name w:val="Default"/>
    <w:rsid w:val="00980873"/>
    <w:pPr>
      <w:autoSpaceDE w:val="0"/>
      <w:autoSpaceDN w:val="0"/>
      <w:adjustRightInd w:val="0"/>
      <w:spacing w:after="0" w:line="240" w:lineRule="auto"/>
    </w:pPr>
    <w:rPr>
      <w:rFonts w:ascii="Times New Roman" w:hAnsi="Times New Roman" w:cs="Times New Roman"/>
      <w:color w:val="000000"/>
      <w:sz w:val="24"/>
      <w:szCs w:val="24"/>
    </w:rPr>
  </w:style>
  <w:style w:type="paragraph" w:styleId="Komentarotema">
    <w:name w:val="annotation subject"/>
    <w:basedOn w:val="Komentarotekstas"/>
    <w:next w:val="Komentarotekstas"/>
    <w:link w:val="KomentarotemaDiagrama"/>
    <w:uiPriority w:val="99"/>
    <w:semiHidden/>
    <w:unhideWhenUsed/>
    <w:rsid w:val="00C853A8"/>
    <w:rPr>
      <w:b/>
      <w:bCs/>
    </w:rPr>
  </w:style>
  <w:style w:type="character" w:customStyle="1" w:styleId="KomentarotemaDiagrama">
    <w:name w:val="Komentaro tema Diagrama"/>
    <w:basedOn w:val="KomentarotekstasDiagrama"/>
    <w:link w:val="Komentarotema"/>
    <w:uiPriority w:val="99"/>
    <w:semiHidden/>
    <w:rsid w:val="00C853A8"/>
    <w:rPr>
      <w:rFonts w:ascii="Calibri" w:eastAsia="Calibri" w:hAnsi="Calibri" w:cs="Times New Roman"/>
      <w:b/>
      <w:bCs/>
      <w:sz w:val="20"/>
      <w:szCs w:val="20"/>
      <w:lang w:val="en-US"/>
    </w:rPr>
  </w:style>
  <w:style w:type="character" w:customStyle="1" w:styleId="apple-converted-space">
    <w:name w:val="apple-converted-space"/>
    <w:basedOn w:val="Numatytasispastraiposriftas"/>
    <w:rsid w:val="00016056"/>
  </w:style>
  <w:style w:type="paragraph" w:styleId="Porat">
    <w:name w:val="footer"/>
    <w:basedOn w:val="prastasis"/>
    <w:link w:val="PoratDiagrama"/>
    <w:uiPriority w:val="99"/>
    <w:unhideWhenUsed/>
    <w:rsid w:val="00516AB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16ABE"/>
    <w:rPr>
      <w:rFonts w:ascii="Calibri" w:eastAsia="Calibri" w:hAnsi="Calibri" w:cs="Times New Roman"/>
      <w:lang w:val="en-US"/>
    </w:rPr>
  </w:style>
  <w:style w:type="paragraph" w:styleId="Pataisymai">
    <w:name w:val="Revision"/>
    <w:hidden/>
    <w:uiPriority w:val="99"/>
    <w:semiHidden/>
    <w:rsid w:val="00477DE0"/>
    <w:pPr>
      <w:spacing w:after="0" w:line="240" w:lineRule="auto"/>
    </w:pPr>
    <w:rPr>
      <w:rFonts w:ascii="Calibri" w:eastAsia="Calibri" w:hAnsi="Calibri" w:cs="Times New Roman"/>
      <w:lang w:val="en-US"/>
    </w:rPr>
  </w:style>
  <w:style w:type="character" w:styleId="Grietas">
    <w:name w:val="Strong"/>
    <w:basedOn w:val="Numatytasispastraiposriftas"/>
    <w:uiPriority w:val="22"/>
    <w:qFormat/>
    <w:rsid w:val="00906921"/>
    <w:rPr>
      <w:b/>
      <w:bCs/>
    </w:rPr>
  </w:style>
  <w:style w:type="paragraph" w:customStyle="1" w:styleId="Tekstas">
    <w:name w:val="Tekstas"/>
    <w:basedOn w:val="prastasis"/>
    <w:uiPriority w:val="99"/>
    <w:rsid w:val="00FB2932"/>
    <w:pPr>
      <w:spacing w:before="40" w:after="40" w:line="240" w:lineRule="auto"/>
      <w:ind w:left="0" w:right="40" w:firstLine="1247"/>
    </w:pPr>
    <w:rPr>
      <w:rFonts w:ascii="Times New Roman" w:eastAsia="Times New Roman" w:hAnsi="Times New Roman"/>
      <w:sz w:val="24"/>
      <w:szCs w:val="24"/>
      <w:lang w:val="lt-LT"/>
    </w:rPr>
  </w:style>
  <w:style w:type="character" w:customStyle="1" w:styleId="UnresolvedMention1">
    <w:name w:val="Unresolved Mention1"/>
    <w:basedOn w:val="Numatytasispastraiposriftas"/>
    <w:uiPriority w:val="99"/>
    <w:semiHidden/>
    <w:unhideWhenUsed/>
    <w:rsid w:val="0050529A"/>
    <w:rPr>
      <w:color w:val="808080"/>
      <w:shd w:val="clear" w:color="auto" w:fill="E6E6E6"/>
    </w:rPr>
  </w:style>
  <w:style w:type="paragraph" w:customStyle="1" w:styleId="c01pointnumerotealtn">
    <w:name w:val="c01pointnumerotealtn"/>
    <w:basedOn w:val="prastasis"/>
    <w:uiPriority w:val="99"/>
    <w:rsid w:val="001C4AFE"/>
    <w:pPr>
      <w:spacing w:before="100" w:beforeAutospacing="1" w:after="100" w:afterAutospacing="1" w:line="240" w:lineRule="auto"/>
      <w:ind w:left="0" w:firstLine="0"/>
      <w:jc w:val="left"/>
    </w:pPr>
    <w:rPr>
      <w:rFonts w:ascii="Times New Roman" w:eastAsia="Times New Roman" w:hAnsi="Times New Roman"/>
      <w:sz w:val="24"/>
      <w:szCs w:val="24"/>
    </w:rPr>
  </w:style>
  <w:style w:type="character" w:customStyle="1" w:styleId="tlid-translation">
    <w:name w:val="tlid-translation"/>
    <w:basedOn w:val="Numatytasispastraiposriftas"/>
    <w:rsid w:val="001C4AFE"/>
  </w:style>
  <w:style w:type="character" w:styleId="Perirtashipersaitas">
    <w:name w:val="FollowedHyperlink"/>
    <w:basedOn w:val="Numatytasispastraiposriftas"/>
    <w:uiPriority w:val="99"/>
    <w:semiHidden/>
    <w:unhideWhenUsed/>
    <w:rsid w:val="000B1283"/>
    <w:rPr>
      <w:color w:val="800080" w:themeColor="followedHyperlink"/>
      <w:u w:val="single"/>
    </w:rPr>
  </w:style>
  <w:style w:type="character" w:styleId="Neapdorotaspaminjimas">
    <w:name w:val="Unresolved Mention"/>
    <w:basedOn w:val="Numatytasispastraiposriftas"/>
    <w:uiPriority w:val="99"/>
    <w:semiHidden/>
    <w:unhideWhenUsed/>
    <w:rsid w:val="003C4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506725">
      <w:bodyDiv w:val="1"/>
      <w:marLeft w:val="0"/>
      <w:marRight w:val="0"/>
      <w:marTop w:val="0"/>
      <w:marBottom w:val="0"/>
      <w:divBdr>
        <w:top w:val="none" w:sz="0" w:space="0" w:color="auto"/>
        <w:left w:val="none" w:sz="0" w:space="0" w:color="auto"/>
        <w:bottom w:val="none" w:sz="0" w:space="0" w:color="auto"/>
        <w:right w:val="none" w:sz="0" w:space="0" w:color="auto"/>
      </w:divBdr>
    </w:div>
    <w:div w:id="180364925">
      <w:bodyDiv w:val="1"/>
      <w:marLeft w:val="0"/>
      <w:marRight w:val="0"/>
      <w:marTop w:val="0"/>
      <w:marBottom w:val="0"/>
      <w:divBdr>
        <w:top w:val="none" w:sz="0" w:space="0" w:color="auto"/>
        <w:left w:val="none" w:sz="0" w:space="0" w:color="auto"/>
        <w:bottom w:val="none" w:sz="0" w:space="0" w:color="auto"/>
        <w:right w:val="none" w:sz="0" w:space="0" w:color="auto"/>
      </w:divBdr>
    </w:div>
    <w:div w:id="399985758">
      <w:bodyDiv w:val="1"/>
      <w:marLeft w:val="0"/>
      <w:marRight w:val="0"/>
      <w:marTop w:val="0"/>
      <w:marBottom w:val="0"/>
      <w:divBdr>
        <w:top w:val="none" w:sz="0" w:space="0" w:color="auto"/>
        <w:left w:val="none" w:sz="0" w:space="0" w:color="auto"/>
        <w:bottom w:val="none" w:sz="0" w:space="0" w:color="auto"/>
        <w:right w:val="none" w:sz="0" w:space="0" w:color="auto"/>
      </w:divBdr>
      <w:divsChild>
        <w:div w:id="1160586133">
          <w:marLeft w:val="0"/>
          <w:marRight w:val="0"/>
          <w:marTop w:val="0"/>
          <w:marBottom w:val="0"/>
          <w:divBdr>
            <w:top w:val="none" w:sz="0" w:space="0" w:color="auto"/>
            <w:left w:val="none" w:sz="0" w:space="0" w:color="auto"/>
            <w:bottom w:val="none" w:sz="0" w:space="0" w:color="auto"/>
            <w:right w:val="none" w:sz="0" w:space="0" w:color="auto"/>
          </w:divBdr>
          <w:divsChild>
            <w:div w:id="1571620065">
              <w:marLeft w:val="0"/>
              <w:marRight w:val="0"/>
              <w:marTop w:val="0"/>
              <w:marBottom w:val="0"/>
              <w:divBdr>
                <w:top w:val="none" w:sz="0" w:space="0" w:color="auto"/>
                <w:left w:val="none" w:sz="0" w:space="0" w:color="auto"/>
                <w:bottom w:val="none" w:sz="0" w:space="0" w:color="auto"/>
                <w:right w:val="none" w:sz="0" w:space="0" w:color="auto"/>
              </w:divBdr>
              <w:divsChild>
                <w:div w:id="17591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614116">
      <w:bodyDiv w:val="1"/>
      <w:marLeft w:val="0"/>
      <w:marRight w:val="0"/>
      <w:marTop w:val="0"/>
      <w:marBottom w:val="0"/>
      <w:divBdr>
        <w:top w:val="none" w:sz="0" w:space="0" w:color="auto"/>
        <w:left w:val="none" w:sz="0" w:space="0" w:color="auto"/>
        <w:bottom w:val="none" w:sz="0" w:space="0" w:color="auto"/>
        <w:right w:val="none" w:sz="0" w:space="0" w:color="auto"/>
      </w:divBdr>
    </w:div>
    <w:div w:id="469594956">
      <w:bodyDiv w:val="1"/>
      <w:marLeft w:val="0"/>
      <w:marRight w:val="0"/>
      <w:marTop w:val="0"/>
      <w:marBottom w:val="0"/>
      <w:divBdr>
        <w:top w:val="none" w:sz="0" w:space="0" w:color="auto"/>
        <w:left w:val="none" w:sz="0" w:space="0" w:color="auto"/>
        <w:bottom w:val="none" w:sz="0" w:space="0" w:color="auto"/>
        <w:right w:val="none" w:sz="0" w:space="0" w:color="auto"/>
      </w:divBdr>
    </w:div>
    <w:div w:id="631447276">
      <w:bodyDiv w:val="1"/>
      <w:marLeft w:val="0"/>
      <w:marRight w:val="0"/>
      <w:marTop w:val="0"/>
      <w:marBottom w:val="0"/>
      <w:divBdr>
        <w:top w:val="none" w:sz="0" w:space="0" w:color="auto"/>
        <w:left w:val="none" w:sz="0" w:space="0" w:color="auto"/>
        <w:bottom w:val="none" w:sz="0" w:space="0" w:color="auto"/>
        <w:right w:val="none" w:sz="0" w:space="0" w:color="auto"/>
      </w:divBdr>
      <w:divsChild>
        <w:div w:id="450898998">
          <w:marLeft w:val="0"/>
          <w:marRight w:val="0"/>
          <w:marTop w:val="0"/>
          <w:marBottom w:val="0"/>
          <w:divBdr>
            <w:top w:val="none" w:sz="0" w:space="0" w:color="auto"/>
            <w:left w:val="none" w:sz="0" w:space="0" w:color="auto"/>
            <w:bottom w:val="none" w:sz="0" w:space="0" w:color="auto"/>
            <w:right w:val="none" w:sz="0" w:space="0" w:color="auto"/>
          </w:divBdr>
          <w:divsChild>
            <w:div w:id="1341465156">
              <w:marLeft w:val="0"/>
              <w:marRight w:val="0"/>
              <w:marTop w:val="0"/>
              <w:marBottom w:val="0"/>
              <w:divBdr>
                <w:top w:val="none" w:sz="0" w:space="0" w:color="auto"/>
                <w:left w:val="none" w:sz="0" w:space="0" w:color="auto"/>
                <w:bottom w:val="none" w:sz="0" w:space="0" w:color="auto"/>
                <w:right w:val="none" w:sz="0" w:space="0" w:color="auto"/>
              </w:divBdr>
              <w:divsChild>
                <w:div w:id="15324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485385">
      <w:bodyDiv w:val="1"/>
      <w:marLeft w:val="0"/>
      <w:marRight w:val="0"/>
      <w:marTop w:val="0"/>
      <w:marBottom w:val="0"/>
      <w:divBdr>
        <w:top w:val="none" w:sz="0" w:space="0" w:color="auto"/>
        <w:left w:val="none" w:sz="0" w:space="0" w:color="auto"/>
        <w:bottom w:val="none" w:sz="0" w:space="0" w:color="auto"/>
        <w:right w:val="none" w:sz="0" w:space="0" w:color="auto"/>
      </w:divBdr>
    </w:div>
    <w:div w:id="706419290">
      <w:bodyDiv w:val="1"/>
      <w:marLeft w:val="0"/>
      <w:marRight w:val="0"/>
      <w:marTop w:val="0"/>
      <w:marBottom w:val="0"/>
      <w:divBdr>
        <w:top w:val="none" w:sz="0" w:space="0" w:color="auto"/>
        <w:left w:val="none" w:sz="0" w:space="0" w:color="auto"/>
        <w:bottom w:val="none" w:sz="0" w:space="0" w:color="auto"/>
        <w:right w:val="none" w:sz="0" w:space="0" w:color="auto"/>
      </w:divBdr>
    </w:div>
    <w:div w:id="852381145">
      <w:bodyDiv w:val="1"/>
      <w:marLeft w:val="0"/>
      <w:marRight w:val="0"/>
      <w:marTop w:val="0"/>
      <w:marBottom w:val="0"/>
      <w:divBdr>
        <w:top w:val="none" w:sz="0" w:space="0" w:color="auto"/>
        <w:left w:val="none" w:sz="0" w:space="0" w:color="auto"/>
        <w:bottom w:val="none" w:sz="0" w:space="0" w:color="auto"/>
        <w:right w:val="none" w:sz="0" w:space="0" w:color="auto"/>
      </w:divBdr>
    </w:div>
    <w:div w:id="870800796">
      <w:bodyDiv w:val="1"/>
      <w:marLeft w:val="0"/>
      <w:marRight w:val="0"/>
      <w:marTop w:val="0"/>
      <w:marBottom w:val="0"/>
      <w:divBdr>
        <w:top w:val="none" w:sz="0" w:space="0" w:color="auto"/>
        <w:left w:val="none" w:sz="0" w:space="0" w:color="auto"/>
        <w:bottom w:val="none" w:sz="0" w:space="0" w:color="auto"/>
        <w:right w:val="none" w:sz="0" w:space="0" w:color="auto"/>
      </w:divBdr>
    </w:div>
    <w:div w:id="909844925">
      <w:bodyDiv w:val="1"/>
      <w:marLeft w:val="0"/>
      <w:marRight w:val="0"/>
      <w:marTop w:val="0"/>
      <w:marBottom w:val="0"/>
      <w:divBdr>
        <w:top w:val="none" w:sz="0" w:space="0" w:color="auto"/>
        <w:left w:val="none" w:sz="0" w:space="0" w:color="auto"/>
        <w:bottom w:val="none" w:sz="0" w:space="0" w:color="auto"/>
        <w:right w:val="none" w:sz="0" w:space="0" w:color="auto"/>
      </w:divBdr>
    </w:div>
    <w:div w:id="1136215526">
      <w:bodyDiv w:val="1"/>
      <w:marLeft w:val="0"/>
      <w:marRight w:val="0"/>
      <w:marTop w:val="0"/>
      <w:marBottom w:val="0"/>
      <w:divBdr>
        <w:top w:val="none" w:sz="0" w:space="0" w:color="auto"/>
        <w:left w:val="none" w:sz="0" w:space="0" w:color="auto"/>
        <w:bottom w:val="none" w:sz="0" w:space="0" w:color="auto"/>
        <w:right w:val="none" w:sz="0" w:space="0" w:color="auto"/>
      </w:divBdr>
    </w:div>
    <w:div w:id="1339118222">
      <w:bodyDiv w:val="1"/>
      <w:marLeft w:val="0"/>
      <w:marRight w:val="0"/>
      <w:marTop w:val="0"/>
      <w:marBottom w:val="0"/>
      <w:divBdr>
        <w:top w:val="none" w:sz="0" w:space="0" w:color="auto"/>
        <w:left w:val="none" w:sz="0" w:space="0" w:color="auto"/>
        <w:bottom w:val="none" w:sz="0" w:space="0" w:color="auto"/>
        <w:right w:val="none" w:sz="0" w:space="0" w:color="auto"/>
      </w:divBdr>
    </w:div>
    <w:div w:id="1485973228">
      <w:bodyDiv w:val="1"/>
      <w:marLeft w:val="0"/>
      <w:marRight w:val="0"/>
      <w:marTop w:val="0"/>
      <w:marBottom w:val="0"/>
      <w:divBdr>
        <w:top w:val="none" w:sz="0" w:space="0" w:color="auto"/>
        <w:left w:val="none" w:sz="0" w:space="0" w:color="auto"/>
        <w:bottom w:val="none" w:sz="0" w:space="0" w:color="auto"/>
        <w:right w:val="none" w:sz="0" w:space="0" w:color="auto"/>
      </w:divBdr>
    </w:div>
    <w:div w:id="1504660698">
      <w:bodyDiv w:val="1"/>
      <w:marLeft w:val="0"/>
      <w:marRight w:val="0"/>
      <w:marTop w:val="0"/>
      <w:marBottom w:val="0"/>
      <w:divBdr>
        <w:top w:val="none" w:sz="0" w:space="0" w:color="auto"/>
        <w:left w:val="none" w:sz="0" w:space="0" w:color="auto"/>
        <w:bottom w:val="none" w:sz="0" w:space="0" w:color="auto"/>
        <w:right w:val="none" w:sz="0" w:space="0" w:color="auto"/>
      </w:divBdr>
    </w:div>
    <w:div w:id="1571453847">
      <w:bodyDiv w:val="1"/>
      <w:marLeft w:val="0"/>
      <w:marRight w:val="0"/>
      <w:marTop w:val="0"/>
      <w:marBottom w:val="0"/>
      <w:divBdr>
        <w:top w:val="none" w:sz="0" w:space="0" w:color="auto"/>
        <w:left w:val="none" w:sz="0" w:space="0" w:color="auto"/>
        <w:bottom w:val="none" w:sz="0" w:space="0" w:color="auto"/>
        <w:right w:val="none" w:sz="0" w:space="0" w:color="auto"/>
      </w:divBdr>
    </w:div>
    <w:div w:id="1682658077">
      <w:bodyDiv w:val="1"/>
      <w:marLeft w:val="0"/>
      <w:marRight w:val="0"/>
      <w:marTop w:val="0"/>
      <w:marBottom w:val="0"/>
      <w:divBdr>
        <w:top w:val="none" w:sz="0" w:space="0" w:color="auto"/>
        <w:left w:val="none" w:sz="0" w:space="0" w:color="auto"/>
        <w:bottom w:val="none" w:sz="0" w:space="0" w:color="auto"/>
        <w:right w:val="none" w:sz="0" w:space="0" w:color="auto"/>
      </w:divBdr>
      <w:divsChild>
        <w:div w:id="128599201">
          <w:marLeft w:val="0"/>
          <w:marRight w:val="0"/>
          <w:marTop w:val="0"/>
          <w:marBottom w:val="0"/>
          <w:divBdr>
            <w:top w:val="none" w:sz="0" w:space="0" w:color="auto"/>
            <w:left w:val="none" w:sz="0" w:space="0" w:color="auto"/>
            <w:bottom w:val="none" w:sz="0" w:space="0" w:color="auto"/>
            <w:right w:val="none" w:sz="0" w:space="0" w:color="auto"/>
          </w:divBdr>
          <w:divsChild>
            <w:div w:id="1816872742">
              <w:marLeft w:val="0"/>
              <w:marRight w:val="0"/>
              <w:marTop w:val="0"/>
              <w:marBottom w:val="0"/>
              <w:divBdr>
                <w:top w:val="none" w:sz="0" w:space="0" w:color="auto"/>
                <w:left w:val="none" w:sz="0" w:space="0" w:color="auto"/>
                <w:bottom w:val="none" w:sz="0" w:space="0" w:color="auto"/>
                <w:right w:val="none" w:sz="0" w:space="0" w:color="auto"/>
              </w:divBdr>
              <w:divsChild>
                <w:div w:id="147830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121809">
      <w:bodyDiv w:val="1"/>
      <w:marLeft w:val="0"/>
      <w:marRight w:val="0"/>
      <w:marTop w:val="0"/>
      <w:marBottom w:val="0"/>
      <w:divBdr>
        <w:top w:val="none" w:sz="0" w:space="0" w:color="auto"/>
        <w:left w:val="none" w:sz="0" w:space="0" w:color="auto"/>
        <w:bottom w:val="none" w:sz="0" w:space="0" w:color="auto"/>
        <w:right w:val="none" w:sz="0" w:space="0" w:color="auto"/>
      </w:divBdr>
    </w:div>
    <w:div w:id="1769350866">
      <w:bodyDiv w:val="1"/>
      <w:marLeft w:val="0"/>
      <w:marRight w:val="0"/>
      <w:marTop w:val="0"/>
      <w:marBottom w:val="0"/>
      <w:divBdr>
        <w:top w:val="none" w:sz="0" w:space="0" w:color="auto"/>
        <w:left w:val="none" w:sz="0" w:space="0" w:color="auto"/>
        <w:bottom w:val="none" w:sz="0" w:space="0" w:color="auto"/>
        <w:right w:val="none" w:sz="0" w:space="0" w:color="auto"/>
      </w:divBdr>
    </w:div>
    <w:div w:id="1791123209">
      <w:bodyDiv w:val="1"/>
      <w:marLeft w:val="0"/>
      <w:marRight w:val="0"/>
      <w:marTop w:val="0"/>
      <w:marBottom w:val="0"/>
      <w:divBdr>
        <w:top w:val="none" w:sz="0" w:space="0" w:color="auto"/>
        <w:left w:val="none" w:sz="0" w:space="0" w:color="auto"/>
        <w:bottom w:val="none" w:sz="0" w:space="0" w:color="auto"/>
        <w:right w:val="none" w:sz="0" w:space="0" w:color="auto"/>
      </w:divBdr>
    </w:div>
    <w:div w:id="1832872934">
      <w:bodyDiv w:val="1"/>
      <w:marLeft w:val="0"/>
      <w:marRight w:val="0"/>
      <w:marTop w:val="0"/>
      <w:marBottom w:val="0"/>
      <w:divBdr>
        <w:top w:val="none" w:sz="0" w:space="0" w:color="auto"/>
        <w:left w:val="none" w:sz="0" w:space="0" w:color="auto"/>
        <w:bottom w:val="none" w:sz="0" w:space="0" w:color="auto"/>
        <w:right w:val="none" w:sz="0" w:space="0" w:color="auto"/>
      </w:divBdr>
    </w:div>
    <w:div w:id="1932466876">
      <w:bodyDiv w:val="1"/>
      <w:marLeft w:val="0"/>
      <w:marRight w:val="0"/>
      <w:marTop w:val="0"/>
      <w:marBottom w:val="0"/>
      <w:divBdr>
        <w:top w:val="none" w:sz="0" w:space="0" w:color="auto"/>
        <w:left w:val="none" w:sz="0" w:space="0" w:color="auto"/>
        <w:bottom w:val="none" w:sz="0" w:space="0" w:color="auto"/>
        <w:right w:val="none" w:sz="0" w:space="0" w:color="auto"/>
      </w:divBdr>
    </w:div>
    <w:div w:id="1958178040">
      <w:bodyDiv w:val="1"/>
      <w:marLeft w:val="0"/>
      <w:marRight w:val="0"/>
      <w:marTop w:val="0"/>
      <w:marBottom w:val="0"/>
      <w:divBdr>
        <w:top w:val="none" w:sz="0" w:space="0" w:color="auto"/>
        <w:left w:val="none" w:sz="0" w:space="0" w:color="auto"/>
        <w:bottom w:val="none" w:sz="0" w:space="0" w:color="auto"/>
        <w:right w:val="none" w:sz="0" w:space="0" w:color="auto"/>
      </w:divBdr>
      <w:divsChild>
        <w:div w:id="67115770">
          <w:marLeft w:val="0"/>
          <w:marRight w:val="0"/>
          <w:marTop w:val="0"/>
          <w:marBottom w:val="0"/>
          <w:divBdr>
            <w:top w:val="none" w:sz="0" w:space="0" w:color="auto"/>
            <w:left w:val="none" w:sz="0" w:space="0" w:color="auto"/>
            <w:bottom w:val="none" w:sz="0" w:space="0" w:color="auto"/>
            <w:right w:val="none" w:sz="0" w:space="0" w:color="auto"/>
          </w:divBdr>
          <w:divsChild>
            <w:div w:id="1413234255">
              <w:marLeft w:val="0"/>
              <w:marRight w:val="0"/>
              <w:marTop w:val="0"/>
              <w:marBottom w:val="0"/>
              <w:divBdr>
                <w:top w:val="none" w:sz="0" w:space="0" w:color="auto"/>
                <w:left w:val="none" w:sz="0" w:space="0" w:color="auto"/>
                <w:bottom w:val="none" w:sz="0" w:space="0" w:color="auto"/>
                <w:right w:val="none" w:sz="0" w:space="0" w:color="auto"/>
              </w:divBdr>
              <w:divsChild>
                <w:div w:id="7321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8438207">
      <w:bodyDiv w:val="1"/>
      <w:marLeft w:val="0"/>
      <w:marRight w:val="0"/>
      <w:marTop w:val="0"/>
      <w:marBottom w:val="0"/>
      <w:divBdr>
        <w:top w:val="none" w:sz="0" w:space="0" w:color="auto"/>
        <w:left w:val="none" w:sz="0" w:space="0" w:color="auto"/>
        <w:bottom w:val="none" w:sz="0" w:space="0" w:color="auto"/>
        <w:right w:val="none" w:sz="0" w:space="0" w:color="auto"/>
      </w:divBdr>
    </w:div>
    <w:div w:id="2051030180">
      <w:bodyDiv w:val="1"/>
      <w:marLeft w:val="0"/>
      <w:marRight w:val="0"/>
      <w:marTop w:val="0"/>
      <w:marBottom w:val="0"/>
      <w:divBdr>
        <w:top w:val="none" w:sz="0" w:space="0" w:color="auto"/>
        <w:left w:val="none" w:sz="0" w:space="0" w:color="auto"/>
        <w:bottom w:val="none" w:sz="0" w:space="0" w:color="auto"/>
        <w:right w:val="none" w:sz="0" w:space="0" w:color="auto"/>
      </w:divBdr>
    </w:div>
    <w:div w:id="2089571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r.dzikovic@tm.lt" TargetMode="External"
                 Type="http://schemas.openxmlformats.org/officeDocument/2006/relationships/hyperlink"/>
   <Relationship Id="rId12" Target="mailto:v.vasiliauskiene@tm.lt" TargetMode="External"
                 Type="http://schemas.openxmlformats.org/officeDocument/2006/relationships/hyperlink"/>
   <Relationship Id="rId13" Target="mailto:ayda.cerniauskaite@nma.lt" TargetMode="External"
                 Type="http://schemas.openxmlformats.org/officeDocument/2006/relationships/hyperlink"/>
   <Relationship Id="rId14" Target="mailto:tomas.lozoraitis@zum.lt" TargetMode="External"
                 Type="http://schemas.openxmlformats.org/officeDocument/2006/relationships/hyperlink"/>
   <Relationship Id="rId15" Target="mailto:kristina.simkute@zum.lt" TargetMode="External"
                 Type="http://schemas.openxmlformats.org/officeDocument/2006/relationships/hyperlink"/>
   <Relationship Id="rId16" Target="header1.xml"
                 Type="http://schemas.openxmlformats.org/officeDocument/2006/relationships/header"/>
   <Relationship Id="rId17" Target="header2.xml"
                 Type="http://schemas.openxmlformats.org/officeDocument/2006/relationships/head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8EAFE662CDF7449069889E6DAD33EF" ma:contentTypeVersion="13" ma:contentTypeDescription="Create a new document." ma:contentTypeScope="" ma:versionID="f7cfef40be4cc517db1d8f5be7eb33cf">
  <xsd:schema xmlns:xsd="http://www.w3.org/2001/XMLSchema" xmlns:xs="http://www.w3.org/2001/XMLSchema" xmlns:p="http://schemas.microsoft.com/office/2006/metadata/properties" xmlns:ns3="dc604d1e-3e4d-49bf-88a2-8afbd29a925c" xmlns:ns4="39c51c95-e07f-4c8c-9ab2-4fef04828789" targetNamespace="http://schemas.microsoft.com/office/2006/metadata/properties" ma:root="true" ma:fieldsID="affbd119d43c6f9a0ac3d29030e8548c" ns3:_="" ns4:_="">
    <xsd:import namespace="dc604d1e-3e4d-49bf-88a2-8afbd29a925c"/>
    <xsd:import namespace="39c51c95-e07f-4c8c-9ab2-4fef04828789"/>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04d1e-3e4d-49bf-88a2-8afbd29a92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c51c95-e07f-4c8c-9ab2-4fef0482878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4F506-DBE6-4D08-9CAB-7BE11CBB4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04d1e-3e4d-49bf-88a2-8afbd29a925c"/>
    <ds:schemaRef ds:uri="39c51c95-e07f-4c8c-9ab2-4fef048287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415C46-D6C6-4FB4-A078-8838AF995183}">
  <ds:schemaRefs>
    <ds:schemaRef ds:uri="http://schemas.microsoft.com/sharepoint/v3/contenttype/forms"/>
  </ds:schemaRefs>
</ds:datastoreItem>
</file>

<file path=customXml/itemProps3.xml><?xml version="1.0" encoding="utf-8"?>
<ds:datastoreItem xmlns:ds="http://schemas.openxmlformats.org/officeDocument/2006/customXml" ds:itemID="{D30C3354-5DF4-4313-BF9C-B1AFD0C7FE8D}">
  <ds:schemaRefs>
    <ds:schemaRef ds:uri="http://schemas.microsoft.com/office/infopath/2007/PartnerControls"/>
    <ds:schemaRef ds:uri="http://schemas.microsoft.com/office/2006/documentManagement/types"/>
    <ds:schemaRef ds:uri="http://purl.org/dc/terms/"/>
    <ds:schemaRef ds:uri="http://purl.org/dc/elements/1.1/"/>
    <ds:schemaRef ds:uri="dc604d1e-3e4d-49bf-88a2-8afbd29a925c"/>
    <ds:schemaRef ds:uri="39c51c95-e07f-4c8c-9ab2-4fef04828789"/>
    <ds:schemaRef ds:uri="http://schemas.openxmlformats.org/package/2006/metadata/core-properties"/>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3A7BF8EA-5E11-449E-BB0C-B95E4B4FF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10517</Words>
  <Characters>5995</Characters>
  <Application>Microsoft Office Word</Application>
  <DocSecurity>4</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Nacionalinė mokėjimo agentūra</Company>
  <LinksUpToDate>false</LinksUpToDate>
  <CharactersWithSpaces>16480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2020-03-06T14:14:00Z</dcterms:created>
  <dc:creator>tomasb</dc:creator>
  <cp:lastModifiedBy>Liuda Kiaunienė</cp:lastModifiedBy>
  <cp:lastPrinted>2020-02-21T07:02:00Z</cp:lastPrinted>
  <dcterms:modified xsi:type="dcterms:W3CDTF">2020-03-06T14:14:00Z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0x010100298EAFE662CDF7449069889E6DAD33EF</vt:lpwstr>
  </property>
</Properties>
</file>