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DBB" w:rsidRDefault="00744DBB" w:rsidP="00744DBB">
      <w:pPr>
        <w:pStyle w:val="Pagrindinistekstas"/>
        <w:outlineLvl w:val="0"/>
      </w:pPr>
      <w:r>
        <w:t>LIETUVOS RESPUBLIKOS CIVILINIO PROCESO KODEKSO 56, 93, 268, 306, 441</w:t>
      </w:r>
      <w:r>
        <w:rPr>
          <w:vertAlign w:val="superscript"/>
        </w:rPr>
        <w:t>1</w:t>
      </w:r>
      <w:r>
        <w:t>, 441</w:t>
      </w:r>
      <w:r>
        <w:rPr>
          <w:vertAlign w:val="superscript"/>
        </w:rPr>
        <w:t>3</w:t>
      </w:r>
      <w:r>
        <w:t>, 441</w:t>
      </w:r>
      <w:r>
        <w:rPr>
          <w:vertAlign w:val="superscript"/>
        </w:rPr>
        <w:t>4</w:t>
      </w:r>
      <w:r>
        <w:t>, 441</w:t>
      </w:r>
      <w:r>
        <w:rPr>
          <w:vertAlign w:val="superscript"/>
        </w:rPr>
        <w:t>6</w:t>
      </w:r>
      <w:r>
        <w:t>, 441</w:t>
      </w:r>
      <w:r>
        <w:rPr>
          <w:vertAlign w:val="superscript"/>
        </w:rPr>
        <w:t>7</w:t>
      </w:r>
      <w:r>
        <w:t>, 441</w:t>
      </w:r>
      <w:r>
        <w:rPr>
          <w:vertAlign w:val="superscript"/>
        </w:rPr>
        <w:t>8</w:t>
      </w:r>
      <w:r>
        <w:t>, 441</w:t>
      </w:r>
      <w:r>
        <w:rPr>
          <w:vertAlign w:val="superscript"/>
        </w:rPr>
        <w:t>9</w:t>
      </w:r>
      <w:r>
        <w:t>, 441</w:t>
      </w:r>
      <w:r>
        <w:rPr>
          <w:vertAlign w:val="superscript"/>
        </w:rPr>
        <w:t>11</w:t>
      </w:r>
      <w:r>
        <w:t>, 441</w:t>
      </w:r>
      <w:r>
        <w:rPr>
          <w:vertAlign w:val="superscript"/>
        </w:rPr>
        <w:t>13</w:t>
      </w:r>
      <w:r>
        <w:t xml:space="preserve"> IR 441</w:t>
      </w:r>
      <w:r>
        <w:rPr>
          <w:vertAlign w:val="superscript"/>
        </w:rPr>
        <w:t>16</w:t>
      </w:r>
      <w:r>
        <w:t xml:space="preserve"> STRAIPSNIŲ PAKEITIMO ĮSTATYMO IR LIETUVOS RESPUBLIKOS VARTOTOJŲ TEISIŲ APSAUGOS ĮSTATYMO NR. I-657 </w:t>
      </w:r>
      <w:r w:rsidR="00D343F8">
        <w:t xml:space="preserve">12, </w:t>
      </w:r>
      <w:r w:rsidRPr="00430DD5">
        <w:rPr>
          <w:color w:val="000000"/>
        </w:rPr>
        <w:t xml:space="preserve">13, </w:t>
      </w:r>
      <w:r w:rsidR="00D343F8">
        <w:rPr>
          <w:color w:val="000000"/>
        </w:rPr>
        <w:t xml:space="preserve">22, </w:t>
      </w:r>
      <w:r>
        <w:rPr>
          <w:color w:val="000000"/>
        </w:rPr>
        <w:t>22</w:t>
      </w:r>
      <w:r w:rsidRPr="001B51B2">
        <w:rPr>
          <w:color w:val="000000"/>
          <w:vertAlign w:val="superscript"/>
        </w:rPr>
        <w:t>1</w:t>
      </w:r>
      <w:r>
        <w:rPr>
          <w:color w:val="000000"/>
        </w:rPr>
        <w:t>, 22</w:t>
      </w:r>
      <w:r>
        <w:rPr>
          <w:color w:val="000000"/>
          <w:vertAlign w:val="superscript"/>
        </w:rPr>
        <w:t>2</w:t>
      </w:r>
      <w:r>
        <w:rPr>
          <w:color w:val="000000"/>
        </w:rPr>
        <w:t xml:space="preserve">, </w:t>
      </w:r>
      <w:r w:rsidRPr="00430DD5">
        <w:rPr>
          <w:color w:val="000000"/>
        </w:rPr>
        <w:t>30</w:t>
      </w:r>
      <w:r>
        <w:rPr>
          <w:color w:val="000000"/>
        </w:rPr>
        <w:t xml:space="preserve"> IR 34 STRAIPSNIŲ PAKEITIMO, </w:t>
      </w:r>
      <w:r w:rsidRPr="00C04EB4">
        <w:rPr>
          <w:color w:val="000000"/>
        </w:rPr>
        <w:t>31</w:t>
      </w:r>
      <w:r>
        <w:rPr>
          <w:color w:val="000000"/>
        </w:rPr>
        <w:t>, 35 STRAIPSNIŲ PRIPAŽINIMO NETEKUSIAIS GALIOS IR ĮSTATYMO PAPILDYMO 13</w:t>
      </w:r>
      <w:r w:rsidRPr="003145FA">
        <w:rPr>
          <w:color w:val="000000"/>
          <w:vertAlign w:val="superscript"/>
        </w:rPr>
        <w:t>1</w:t>
      </w:r>
      <w:r>
        <w:rPr>
          <w:color w:val="000000"/>
        </w:rPr>
        <w:t> STRAIPSNIU</w:t>
      </w:r>
      <w:r>
        <w:t xml:space="preserve"> ĮSTATYMO PROJEKTŲ</w:t>
      </w:r>
    </w:p>
    <w:p w:rsidR="002E5E01" w:rsidRPr="00F85019" w:rsidRDefault="00124728" w:rsidP="00934DF0">
      <w:pPr>
        <w:spacing w:after="0" w:line="240" w:lineRule="auto"/>
        <w:jc w:val="center"/>
        <w:rPr>
          <w:rFonts w:ascii="Times New Roman" w:hAnsi="Times New Roman" w:cs="Times New Roman"/>
          <w:b/>
          <w:sz w:val="24"/>
          <w:szCs w:val="24"/>
        </w:rPr>
      </w:pPr>
      <w:r w:rsidRPr="00F85019">
        <w:rPr>
          <w:rFonts w:ascii="Times New Roman" w:hAnsi="Times New Roman" w:cs="Times New Roman"/>
          <w:b/>
          <w:sz w:val="24"/>
          <w:szCs w:val="24"/>
        </w:rPr>
        <w:t>DERINIMO PAŽYMA</w:t>
      </w:r>
      <w:bookmarkStart w:id="0" w:name="_GoBack"/>
      <w:bookmarkEnd w:id="0"/>
    </w:p>
    <w:p w:rsidR="00124728" w:rsidRPr="00F85019" w:rsidRDefault="00124728" w:rsidP="00934DF0">
      <w:pPr>
        <w:spacing w:after="0" w:line="240" w:lineRule="auto"/>
        <w:rPr>
          <w:rFonts w:ascii="Times New Roman" w:hAnsi="Times New Roman" w:cs="Times New Roman"/>
          <w:b/>
          <w:sz w:val="24"/>
          <w:szCs w:val="24"/>
        </w:rPr>
      </w:pPr>
    </w:p>
    <w:tbl>
      <w:tblPr>
        <w:tblStyle w:val="Lentelstinklelis"/>
        <w:tblW w:w="14596" w:type="dxa"/>
        <w:tblLayout w:type="fixed"/>
        <w:tblLook w:val="04A0" w:firstRow="1" w:lastRow="0" w:firstColumn="1" w:lastColumn="0" w:noHBand="0" w:noVBand="1"/>
      </w:tblPr>
      <w:tblGrid>
        <w:gridCol w:w="1413"/>
        <w:gridCol w:w="6946"/>
        <w:gridCol w:w="6237"/>
      </w:tblGrid>
      <w:tr w:rsidR="00124728" w:rsidRPr="00F85019" w:rsidTr="00732723">
        <w:tc>
          <w:tcPr>
            <w:tcW w:w="1413" w:type="dxa"/>
          </w:tcPr>
          <w:p w:rsidR="00124728" w:rsidRPr="00F85019" w:rsidRDefault="00124728" w:rsidP="00934DF0">
            <w:pPr>
              <w:jc w:val="center"/>
              <w:rPr>
                <w:rFonts w:ascii="Times New Roman" w:hAnsi="Times New Roman" w:cs="Times New Roman"/>
                <w:b/>
                <w:sz w:val="24"/>
                <w:szCs w:val="24"/>
              </w:rPr>
            </w:pPr>
            <w:r w:rsidRPr="00F85019">
              <w:rPr>
                <w:rFonts w:ascii="Times New Roman" w:hAnsi="Times New Roman" w:cs="Times New Roman"/>
                <w:b/>
                <w:sz w:val="24"/>
                <w:szCs w:val="24"/>
              </w:rPr>
              <w:t>Institucija</w:t>
            </w:r>
          </w:p>
        </w:tc>
        <w:tc>
          <w:tcPr>
            <w:tcW w:w="6946" w:type="dxa"/>
          </w:tcPr>
          <w:p w:rsidR="00124728" w:rsidRPr="00F85019" w:rsidRDefault="00124728" w:rsidP="00934DF0">
            <w:pPr>
              <w:jc w:val="center"/>
              <w:rPr>
                <w:rFonts w:ascii="Times New Roman" w:hAnsi="Times New Roman" w:cs="Times New Roman"/>
                <w:b/>
                <w:sz w:val="24"/>
                <w:szCs w:val="24"/>
              </w:rPr>
            </w:pPr>
            <w:r w:rsidRPr="00F85019">
              <w:rPr>
                <w:rFonts w:ascii="Times New Roman" w:hAnsi="Times New Roman" w:cs="Times New Roman"/>
                <w:b/>
                <w:sz w:val="24"/>
                <w:szCs w:val="24"/>
              </w:rPr>
              <w:t>Pastaba</w:t>
            </w:r>
          </w:p>
        </w:tc>
        <w:tc>
          <w:tcPr>
            <w:tcW w:w="6237" w:type="dxa"/>
          </w:tcPr>
          <w:p w:rsidR="00124728" w:rsidRPr="00F85019" w:rsidRDefault="00124728" w:rsidP="00934DF0">
            <w:pPr>
              <w:jc w:val="center"/>
              <w:rPr>
                <w:rFonts w:ascii="Times New Roman" w:hAnsi="Times New Roman" w:cs="Times New Roman"/>
                <w:b/>
                <w:sz w:val="24"/>
                <w:szCs w:val="24"/>
              </w:rPr>
            </w:pPr>
            <w:r w:rsidRPr="00F85019">
              <w:rPr>
                <w:rFonts w:ascii="Times New Roman" w:hAnsi="Times New Roman" w:cs="Times New Roman"/>
                <w:b/>
                <w:sz w:val="24"/>
                <w:szCs w:val="24"/>
              </w:rPr>
              <w:t>Įvertinimas</w:t>
            </w:r>
          </w:p>
        </w:tc>
      </w:tr>
      <w:tr w:rsidR="00124728" w:rsidRPr="00F85019" w:rsidTr="00732723">
        <w:tc>
          <w:tcPr>
            <w:tcW w:w="1413" w:type="dxa"/>
          </w:tcPr>
          <w:p w:rsidR="00124728" w:rsidRPr="00F85019" w:rsidRDefault="00744DBB" w:rsidP="00934DF0">
            <w:pPr>
              <w:jc w:val="both"/>
              <w:rPr>
                <w:rFonts w:ascii="Times New Roman" w:hAnsi="Times New Roman" w:cs="Times New Roman"/>
                <w:b/>
                <w:sz w:val="24"/>
                <w:szCs w:val="24"/>
              </w:rPr>
            </w:pPr>
            <w:r>
              <w:rPr>
                <w:rFonts w:ascii="Times New Roman" w:hAnsi="Times New Roman" w:cs="Times New Roman"/>
                <w:b/>
                <w:sz w:val="24"/>
                <w:szCs w:val="24"/>
              </w:rPr>
              <w:t>Teisėjų taryba</w:t>
            </w:r>
          </w:p>
        </w:tc>
        <w:tc>
          <w:tcPr>
            <w:tcW w:w="6946" w:type="dxa"/>
          </w:tcPr>
          <w:p w:rsidR="00493B3B" w:rsidRPr="00493B3B" w:rsidRDefault="00493B3B" w:rsidP="00493B3B">
            <w:pPr>
              <w:jc w:val="both"/>
              <w:rPr>
                <w:rFonts w:ascii="Times New Roman" w:hAnsi="Times New Roman" w:cs="Times New Roman"/>
                <w:sz w:val="24"/>
                <w:szCs w:val="24"/>
              </w:rPr>
            </w:pPr>
            <w:r w:rsidRPr="00493B3B">
              <w:rPr>
                <w:rFonts w:ascii="Times New Roman" w:hAnsi="Times New Roman" w:cs="Times New Roman"/>
                <w:sz w:val="24"/>
                <w:szCs w:val="24"/>
              </w:rPr>
              <w:t xml:space="preserve">Teisėjų tarybos nuomone, </w:t>
            </w:r>
            <w:r w:rsidRPr="00493B3B">
              <w:rPr>
                <w:rFonts w:ascii="Times New Roman" w:hAnsi="Times New Roman" w:cs="Times New Roman"/>
                <w:i/>
                <w:sz w:val="24"/>
                <w:szCs w:val="24"/>
              </w:rPr>
              <w:t xml:space="preserve">svarstytinas CPK </w:t>
            </w:r>
            <w:r w:rsidR="00E60283">
              <w:rPr>
                <w:rFonts w:ascii="Times New Roman" w:hAnsi="Times New Roman" w:cs="Times New Roman"/>
                <w:i/>
                <w:sz w:val="24"/>
                <w:szCs w:val="24"/>
              </w:rPr>
              <w:t xml:space="preserve">pakeitimo </w:t>
            </w:r>
            <w:r w:rsidRPr="00493B3B">
              <w:rPr>
                <w:rFonts w:ascii="Times New Roman" w:hAnsi="Times New Roman" w:cs="Times New Roman"/>
                <w:i/>
                <w:sz w:val="24"/>
                <w:szCs w:val="24"/>
              </w:rPr>
              <w:t>projekto siūlymo atsisakyti teismo pareigos ieškinio priėmimo metu vertinti, ar pareikšti individualaus pobūdžio turtiniai reikalavimai yra susiję su grupės ieškinio dalyku ir pagrindu tikslingumas</w:t>
            </w:r>
            <w:r w:rsidRPr="00493B3B">
              <w:rPr>
                <w:rFonts w:ascii="Times New Roman" w:hAnsi="Times New Roman" w:cs="Times New Roman"/>
                <w:sz w:val="24"/>
                <w:szCs w:val="24"/>
              </w:rPr>
              <w:t>.</w:t>
            </w:r>
          </w:p>
          <w:p w:rsidR="00493B3B" w:rsidRPr="00493B3B" w:rsidRDefault="00493B3B" w:rsidP="00493B3B">
            <w:pPr>
              <w:jc w:val="both"/>
              <w:rPr>
                <w:rFonts w:ascii="Times New Roman" w:hAnsi="Times New Roman" w:cs="Times New Roman"/>
                <w:sz w:val="24"/>
                <w:szCs w:val="24"/>
              </w:rPr>
            </w:pPr>
            <w:r w:rsidRPr="00493B3B">
              <w:rPr>
                <w:rFonts w:ascii="Times New Roman" w:hAnsi="Times New Roman" w:cs="Times New Roman"/>
                <w:sz w:val="24"/>
                <w:szCs w:val="24"/>
              </w:rPr>
              <w:t>Pastebėtina, kad kreipiantis į teismą remiantis grupės ieškinio institutu yra svarbus kiekybės kriterijus (grupės narių skaičius) ir bendrumo požymis (grupės narius turėtų sieti tapatūs materialiniai teisiniai santykiai ir bendras suinteresuotumas bylos baigtimi). Išnagrinėjus grupės ieškinį, priimamas sprendimas, kuris yra bendras visiems grupės nariams ir vadinamas bendruoju sprendimu. Grupės ieškinyje taip pat gali būti reiškiami ir individualaus pobūdžio turtiniai reikalavimai (CPK 261</w:t>
            </w:r>
            <w:r w:rsidRPr="00493B3B">
              <w:rPr>
                <w:rFonts w:ascii="Times New Roman" w:hAnsi="Times New Roman" w:cs="Times New Roman"/>
                <w:sz w:val="24"/>
                <w:szCs w:val="24"/>
                <w:vertAlign w:val="superscript"/>
              </w:rPr>
              <w:t>1</w:t>
            </w:r>
            <w:r w:rsidRPr="00493B3B">
              <w:rPr>
                <w:rFonts w:ascii="Times New Roman" w:hAnsi="Times New Roman" w:cs="Times New Roman"/>
                <w:sz w:val="24"/>
                <w:szCs w:val="24"/>
              </w:rPr>
              <w:t> straipsnis), tad teismas tokiu atveju išnagrinėja grupės ieškiniu keliamus klausimus dėl grupės nariams bendrų ir juos vienijančių faktinių aplinkybių ir šioje bylos dalyje priima bendrą visiems grupės nariams sprendimą dėl ieškinio pagrindo, kuris yra vadinamas tarpiniu sprendimu. Galiausiai, teismas, remdamasis įsiteisėjusiu tarpiniu sprendimu, išnagrinėjęs kiekvieno grupės nario individualaus pobūdžio turtinius reikalavimus, priima individualų sprendimą.</w:t>
            </w:r>
          </w:p>
          <w:p w:rsidR="00FF5FF1" w:rsidRPr="00F85019" w:rsidRDefault="00493B3B" w:rsidP="00C418F0">
            <w:pPr>
              <w:jc w:val="both"/>
              <w:rPr>
                <w:rFonts w:ascii="Times New Roman" w:hAnsi="Times New Roman" w:cs="Times New Roman"/>
                <w:sz w:val="24"/>
                <w:szCs w:val="24"/>
              </w:rPr>
            </w:pPr>
            <w:r w:rsidRPr="00493B3B">
              <w:rPr>
                <w:rFonts w:ascii="Times New Roman" w:hAnsi="Times New Roman" w:cs="Times New Roman"/>
                <w:sz w:val="24"/>
                <w:szCs w:val="24"/>
              </w:rPr>
              <w:t>Atsižvelgiant į tai, siūlomais pakeitimais atsisakius teismo pareigos ieškinio priėmimo metu vertinti, ar pareikšti individualaus pobūdžio turtiniai reikalavimai yra susiję su grupės ieškinio dalyku ir pagrindu, galimi atvejai, kai teismas priims nagrinėti grupės bendrumo požymio neatitinkančius ieškinius, dėl ko objektyviai nebus įmanoma priimti bendro sprendimo visų grupės narių atžvilgiu.</w:t>
            </w:r>
          </w:p>
        </w:tc>
        <w:tc>
          <w:tcPr>
            <w:tcW w:w="6237" w:type="dxa"/>
          </w:tcPr>
          <w:p w:rsidR="00505B5D" w:rsidRDefault="00E60283" w:rsidP="00235D51">
            <w:pPr>
              <w:widowControl w:val="0"/>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Neatsižvelgti</w:t>
            </w:r>
            <w:r w:rsidR="00812D6B">
              <w:rPr>
                <w:rFonts w:ascii="Times New Roman" w:hAnsi="Times New Roman" w:cs="Times New Roman"/>
                <w:b/>
                <w:sz w:val="24"/>
                <w:szCs w:val="24"/>
              </w:rPr>
              <w:t>.</w:t>
            </w:r>
          </w:p>
          <w:p w:rsidR="00C950CC" w:rsidRDefault="00604E0D" w:rsidP="00235D51">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Pastebėtina, kad pagal Civilinio proceso kodekso 441</w:t>
            </w:r>
            <w:r w:rsidRPr="00030C43">
              <w:rPr>
                <w:rFonts w:ascii="Times New Roman" w:hAnsi="Times New Roman" w:cs="Times New Roman"/>
                <w:sz w:val="24"/>
                <w:szCs w:val="24"/>
                <w:vertAlign w:val="superscript"/>
              </w:rPr>
              <w:t>3</w:t>
            </w:r>
            <w:r>
              <w:rPr>
                <w:rFonts w:ascii="Times New Roman" w:hAnsi="Times New Roman" w:cs="Times New Roman"/>
                <w:sz w:val="24"/>
                <w:szCs w:val="24"/>
              </w:rPr>
              <w:t xml:space="preserve"> straipsnio 1 dalies 1 punktą grupės ieškinys gali būti nagrinėjamas pagal grupės ieškinio bylų nagrinėjimo taisykles tik tuo atveju, </w:t>
            </w:r>
            <w:r w:rsidRPr="00604E0D">
              <w:rPr>
                <w:rFonts w:ascii="Times New Roman" w:hAnsi="Times New Roman" w:cs="Times New Roman"/>
                <w:i/>
                <w:sz w:val="24"/>
                <w:szCs w:val="24"/>
              </w:rPr>
              <w:t>kai ieškinys grindžiamas tapačiomis arba panašiomis faktinėmis aplinkybėmis ir juo siekiama tuo pačiu teisinės gynybos būdu apginti į grupę susijungusių fizinių ar juridinių asmenų, kurie pareiškė ieškinį, tapačias ar panašaus pobūdžio materialines teises ar įstatymų saugomus interesus</w:t>
            </w:r>
            <w:r>
              <w:rPr>
                <w:rFonts w:ascii="Times New Roman" w:hAnsi="Times New Roman" w:cs="Times New Roman"/>
                <w:sz w:val="24"/>
                <w:szCs w:val="24"/>
              </w:rPr>
              <w:t xml:space="preserve"> (Civilinio proceso kodekso 441</w:t>
            </w:r>
            <w:r>
              <w:rPr>
                <w:rFonts w:ascii="Times New Roman" w:hAnsi="Times New Roman" w:cs="Times New Roman"/>
                <w:sz w:val="24"/>
                <w:szCs w:val="24"/>
                <w:vertAlign w:val="superscript"/>
              </w:rPr>
              <w:t>1</w:t>
            </w:r>
            <w:r>
              <w:rPr>
                <w:rFonts w:ascii="Times New Roman" w:hAnsi="Times New Roman" w:cs="Times New Roman"/>
                <w:sz w:val="24"/>
                <w:szCs w:val="24"/>
              </w:rPr>
              <w:t xml:space="preserve"> straipsnio 2 dalis)</w:t>
            </w:r>
            <w:r w:rsidRPr="00604E0D">
              <w:rPr>
                <w:rFonts w:ascii="Times New Roman" w:hAnsi="Times New Roman" w:cs="Times New Roman"/>
                <w:sz w:val="24"/>
                <w:szCs w:val="24"/>
              </w:rPr>
              <w:t>.</w:t>
            </w:r>
            <w:r w:rsidR="00030C43">
              <w:rPr>
                <w:rFonts w:ascii="Times New Roman" w:hAnsi="Times New Roman" w:cs="Times New Roman"/>
                <w:sz w:val="24"/>
                <w:szCs w:val="24"/>
              </w:rPr>
              <w:t xml:space="preserve"> Taigi teismas jau ieškinio priėmimo metu </w:t>
            </w:r>
            <w:r w:rsidR="00A64A84">
              <w:rPr>
                <w:rFonts w:ascii="Times New Roman" w:hAnsi="Times New Roman" w:cs="Times New Roman"/>
                <w:sz w:val="24"/>
                <w:szCs w:val="24"/>
              </w:rPr>
              <w:t xml:space="preserve">visuomet </w:t>
            </w:r>
            <w:r w:rsidR="00030C43">
              <w:rPr>
                <w:rFonts w:ascii="Times New Roman" w:hAnsi="Times New Roman" w:cs="Times New Roman"/>
                <w:sz w:val="24"/>
                <w:szCs w:val="24"/>
              </w:rPr>
              <w:t>vertina grupės bendrumą</w:t>
            </w:r>
            <w:r w:rsidR="00A64A84">
              <w:rPr>
                <w:rFonts w:ascii="Times New Roman" w:hAnsi="Times New Roman" w:cs="Times New Roman"/>
                <w:sz w:val="24"/>
                <w:szCs w:val="24"/>
              </w:rPr>
              <w:t xml:space="preserve">. Manytina, kad šiame etape nėra tikslinga įpareigoti teismą atskirai vertinti, </w:t>
            </w:r>
            <w:r w:rsidR="00C950CC" w:rsidRPr="00493B3B">
              <w:rPr>
                <w:rFonts w:ascii="Times New Roman" w:hAnsi="Times New Roman" w:cs="Times New Roman"/>
                <w:sz w:val="24"/>
                <w:szCs w:val="24"/>
              </w:rPr>
              <w:t>ar pareikšti individualaus pobūdžio turtiniai reikalavimai yra susiję su grupės ieškinio dalyku ir pagrindu</w:t>
            </w:r>
            <w:r w:rsidR="00A64A84">
              <w:rPr>
                <w:rFonts w:ascii="Times New Roman" w:hAnsi="Times New Roman" w:cs="Times New Roman"/>
                <w:sz w:val="24"/>
                <w:szCs w:val="24"/>
              </w:rPr>
              <w:t xml:space="preserve"> – </w:t>
            </w:r>
            <w:r w:rsidR="009C3EB0">
              <w:rPr>
                <w:rFonts w:ascii="Times New Roman" w:hAnsi="Times New Roman" w:cs="Times New Roman"/>
                <w:sz w:val="24"/>
                <w:szCs w:val="24"/>
              </w:rPr>
              <w:t xml:space="preserve">toks </w:t>
            </w:r>
            <w:r w:rsidR="00A64A84">
              <w:rPr>
                <w:rFonts w:ascii="Times New Roman" w:hAnsi="Times New Roman" w:cs="Times New Roman"/>
                <w:sz w:val="24"/>
                <w:szCs w:val="24"/>
              </w:rPr>
              <w:t>išsamus vertinimas</w:t>
            </w:r>
            <w:r w:rsidR="00C950CC" w:rsidRPr="00C950CC">
              <w:rPr>
                <w:rFonts w:ascii="Times New Roman" w:hAnsi="Times New Roman" w:cs="Times New Roman"/>
                <w:sz w:val="24"/>
                <w:szCs w:val="24"/>
              </w:rPr>
              <w:t xml:space="preserve"> turėtų būti atliekamas ne ieškinio priėmimo metu, taip apsunkinant ir sulėtinant šią proceso stadiją, bet tolesniame teismo procese. Tokiu būdu bus užtikrinta, kad ieškinio priėmimo klausimas bus išspręstas įmanomai operatyviau, o su pareikštais reikalavimais susiję klausimai bus sprendžiami pasirengimo bylos nagrinėjimui ir bylos nagrinėjimo iš esmės metu.</w:t>
            </w:r>
          </w:p>
          <w:p w:rsidR="00C950CC" w:rsidRPr="00C950CC" w:rsidRDefault="00C950CC" w:rsidP="00C97AE0">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Kartu atkreiptinas dėmesys, kad į CPK pakeitimo projektą atitinkamas siūlymas įtrauktas</w:t>
            </w:r>
            <w:r w:rsidR="00C97AE0">
              <w:rPr>
                <w:rFonts w:ascii="Times New Roman" w:hAnsi="Times New Roman" w:cs="Times New Roman"/>
                <w:sz w:val="24"/>
                <w:szCs w:val="24"/>
              </w:rPr>
              <w:t xml:space="preserve"> būtent teisėjų atstovų iniciatyva</w:t>
            </w:r>
            <w:r w:rsidR="00BD5479">
              <w:rPr>
                <w:rFonts w:ascii="Times New Roman" w:hAnsi="Times New Roman" w:cs="Times New Roman"/>
                <w:sz w:val="24"/>
                <w:szCs w:val="24"/>
              </w:rPr>
              <w:t>.</w:t>
            </w:r>
          </w:p>
        </w:tc>
      </w:tr>
      <w:tr w:rsidR="00C418F0" w:rsidRPr="00F85019" w:rsidTr="00732723">
        <w:tc>
          <w:tcPr>
            <w:tcW w:w="1413" w:type="dxa"/>
          </w:tcPr>
          <w:p w:rsidR="00C418F0" w:rsidRPr="00F85019" w:rsidRDefault="00C418F0" w:rsidP="00934DF0">
            <w:pPr>
              <w:jc w:val="both"/>
              <w:rPr>
                <w:rFonts w:ascii="Times New Roman" w:hAnsi="Times New Roman" w:cs="Times New Roman"/>
                <w:b/>
                <w:sz w:val="24"/>
                <w:szCs w:val="24"/>
              </w:rPr>
            </w:pPr>
          </w:p>
        </w:tc>
        <w:tc>
          <w:tcPr>
            <w:tcW w:w="6946" w:type="dxa"/>
          </w:tcPr>
          <w:p w:rsidR="00E60283" w:rsidRPr="00E60283" w:rsidRDefault="00E60283" w:rsidP="00E60283">
            <w:pPr>
              <w:jc w:val="both"/>
              <w:rPr>
                <w:rFonts w:ascii="Times New Roman" w:hAnsi="Times New Roman" w:cs="Times New Roman"/>
                <w:sz w:val="24"/>
                <w:szCs w:val="24"/>
              </w:rPr>
            </w:pPr>
            <w:r w:rsidRPr="00E60283">
              <w:rPr>
                <w:rFonts w:ascii="Times New Roman" w:hAnsi="Times New Roman" w:cs="Times New Roman"/>
                <w:sz w:val="24"/>
                <w:szCs w:val="24"/>
              </w:rPr>
              <w:t xml:space="preserve">Be to,  atkreiptinas dėmesys ir į tai, kad </w:t>
            </w:r>
            <w:r w:rsidR="006D4ED8">
              <w:rPr>
                <w:rFonts w:ascii="Times New Roman" w:hAnsi="Times New Roman" w:cs="Times New Roman"/>
                <w:i/>
                <w:sz w:val="24"/>
                <w:szCs w:val="24"/>
              </w:rPr>
              <w:t>Civilinio proceso kodekso</w:t>
            </w:r>
            <w:r w:rsidRPr="00E60283">
              <w:rPr>
                <w:rFonts w:ascii="Times New Roman" w:hAnsi="Times New Roman" w:cs="Times New Roman"/>
                <w:i/>
                <w:sz w:val="24"/>
                <w:szCs w:val="24"/>
              </w:rPr>
              <w:t xml:space="preserve"> pakeitimais numatoma, jog tik teismo nutartis, kuria atsisakyta priimti grupės ieškinį, gali būti skundžiama atskiruoju skundu. Teisėjų tarybos nuomone, šis siūlymas taip pat yra svarstytinas</w:t>
            </w:r>
            <w:r w:rsidRPr="00E60283">
              <w:rPr>
                <w:rFonts w:ascii="Times New Roman" w:hAnsi="Times New Roman" w:cs="Times New Roman"/>
                <w:sz w:val="24"/>
                <w:szCs w:val="24"/>
              </w:rPr>
              <w:t>.</w:t>
            </w:r>
          </w:p>
          <w:p w:rsidR="00E60283" w:rsidRPr="00E60283" w:rsidRDefault="00E60283" w:rsidP="00E60283">
            <w:pPr>
              <w:jc w:val="both"/>
              <w:rPr>
                <w:rFonts w:ascii="Times New Roman" w:hAnsi="Times New Roman" w:cs="Times New Roman"/>
                <w:sz w:val="24"/>
                <w:szCs w:val="24"/>
              </w:rPr>
            </w:pPr>
            <w:r w:rsidRPr="00E60283">
              <w:rPr>
                <w:rFonts w:ascii="Times New Roman" w:hAnsi="Times New Roman" w:cs="Times New Roman"/>
                <w:sz w:val="24"/>
                <w:szCs w:val="24"/>
              </w:rPr>
              <w:t xml:space="preserve">Manytina, kad galimybė skųsti teismo nutartį, kuria grupės ieškinys priimamas, neturėtų būti eliminuota, nepaisant to, kad tokia nutartis neužkerta galimybės tolesnei bylos eigai. Esant galimybei skųsti teismo nutartį, kuria grupės ieškinys priimtas, ginčas nebegali būti </w:t>
            </w:r>
            <w:r w:rsidRPr="00E60283">
              <w:rPr>
                <w:rFonts w:ascii="Times New Roman" w:hAnsi="Times New Roman" w:cs="Times New Roman"/>
                <w:sz w:val="24"/>
                <w:szCs w:val="24"/>
              </w:rPr>
              <w:lastRenderedPageBreak/>
              <w:t>keliamas vėliau dėl procesinio teisinio pobūdžio aplinkybių, t. y. prielaidos ieškiniui pareikšti ir ar suinteresuota šalis, kreipdamasi į teismą, laikėsi įstatymo nustatytų teisės kreiptis į teismą įgyvendinimo sąlygų, taip užtikrinant ir</w:t>
            </w:r>
            <w:r>
              <w:rPr>
                <w:rFonts w:ascii="Times New Roman" w:hAnsi="Times New Roman" w:cs="Times New Roman"/>
                <w:sz w:val="24"/>
                <w:szCs w:val="24"/>
              </w:rPr>
              <w:t xml:space="preserve"> civilinio proceso operatyvumą.</w:t>
            </w:r>
          </w:p>
          <w:p w:rsidR="00C418F0" w:rsidRPr="00F85019" w:rsidRDefault="00C418F0" w:rsidP="00235D51">
            <w:pPr>
              <w:jc w:val="both"/>
              <w:rPr>
                <w:rFonts w:ascii="Times New Roman" w:hAnsi="Times New Roman" w:cs="Times New Roman"/>
                <w:sz w:val="24"/>
                <w:szCs w:val="24"/>
                <w:lang w:eastAsia="lt-LT"/>
              </w:rPr>
            </w:pPr>
          </w:p>
        </w:tc>
        <w:tc>
          <w:tcPr>
            <w:tcW w:w="6237" w:type="dxa"/>
          </w:tcPr>
          <w:p w:rsidR="00C418F0" w:rsidRDefault="00E60283" w:rsidP="00C418F0">
            <w:pPr>
              <w:jc w:val="both"/>
              <w:rPr>
                <w:rFonts w:ascii="Times New Roman" w:hAnsi="Times New Roman" w:cs="Times New Roman"/>
                <w:b/>
                <w:sz w:val="24"/>
                <w:szCs w:val="24"/>
              </w:rPr>
            </w:pPr>
            <w:r>
              <w:rPr>
                <w:rFonts w:ascii="Times New Roman" w:hAnsi="Times New Roman" w:cs="Times New Roman"/>
                <w:b/>
                <w:sz w:val="24"/>
                <w:szCs w:val="24"/>
              </w:rPr>
              <w:lastRenderedPageBreak/>
              <w:t>Neatsižvelgti</w:t>
            </w:r>
            <w:r w:rsidR="00812D6B">
              <w:rPr>
                <w:rFonts w:ascii="Times New Roman" w:hAnsi="Times New Roman" w:cs="Times New Roman"/>
                <w:b/>
                <w:sz w:val="24"/>
                <w:szCs w:val="24"/>
              </w:rPr>
              <w:t>.</w:t>
            </w:r>
          </w:p>
          <w:p w:rsidR="0050766D" w:rsidRDefault="0050766D" w:rsidP="00C418F0">
            <w:pPr>
              <w:jc w:val="both"/>
              <w:rPr>
                <w:rFonts w:ascii="Times New Roman" w:hAnsi="Times New Roman" w:cs="Times New Roman"/>
                <w:sz w:val="24"/>
              </w:rPr>
            </w:pPr>
            <w:r>
              <w:rPr>
                <w:rFonts w:ascii="Times New Roman" w:hAnsi="Times New Roman" w:cs="Times New Roman"/>
                <w:sz w:val="24"/>
              </w:rPr>
              <w:t>Ieškinio priėmimas negali būti skundžiamas ir individualaus ieškinio atveju (Civilinio proceso kodekso 137 straipsnio 5 dalis).</w:t>
            </w:r>
          </w:p>
          <w:p w:rsidR="0050766D" w:rsidRDefault="0050766D" w:rsidP="00C418F0">
            <w:pPr>
              <w:jc w:val="both"/>
              <w:rPr>
                <w:rFonts w:ascii="Times New Roman" w:hAnsi="Times New Roman" w:cs="Times New Roman"/>
                <w:sz w:val="24"/>
              </w:rPr>
            </w:pPr>
            <w:r>
              <w:rPr>
                <w:rFonts w:ascii="Times New Roman" w:hAnsi="Times New Roman" w:cs="Times New Roman"/>
                <w:sz w:val="24"/>
              </w:rPr>
              <w:t xml:space="preserve">Jei, priėmus grupės ieškinį, atsakovas manytų, kad yra procesinių kliūčių tokio ieškinio nagrinėjimui, tokias abejones jis galėtų pateikti atsiliepime į ieškinį ar pasirengimo bylos nagrinėjimui metu. Manytina, kad tokiu būdu būtų efektyviau </w:t>
            </w:r>
            <w:r>
              <w:rPr>
                <w:rFonts w:ascii="Times New Roman" w:hAnsi="Times New Roman" w:cs="Times New Roman"/>
                <w:sz w:val="24"/>
              </w:rPr>
              <w:lastRenderedPageBreak/>
              <w:t xml:space="preserve">užtikrinama proceso koncentracija bei </w:t>
            </w:r>
            <w:r w:rsidR="003D7424">
              <w:rPr>
                <w:rFonts w:ascii="Times New Roman" w:hAnsi="Times New Roman" w:cs="Times New Roman"/>
                <w:sz w:val="24"/>
              </w:rPr>
              <w:t>operatyvumas</w:t>
            </w:r>
            <w:r>
              <w:rPr>
                <w:rFonts w:ascii="Times New Roman" w:hAnsi="Times New Roman" w:cs="Times New Roman"/>
                <w:sz w:val="24"/>
              </w:rPr>
              <w:t>, nei perkeliant procesinio klausimo nagrinėjimą į aukštesnės instancijos teismą.</w:t>
            </w:r>
          </w:p>
          <w:p w:rsidR="0050766D" w:rsidRPr="001811B8" w:rsidRDefault="0050766D" w:rsidP="00C418F0">
            <w:pPr>
              <w:jc w:val="both"/>
              <w:rPr>
                <w:rFonts w:ascii="Times New Roman" w:hAnsi="Times New Roman" w:cs="Times New Roman"/>
                <w:sz w:val="24"/>
              </w:rPr>
            </w:pPr>
            <w:r>
              <w:rPr>
                <w:rFonts w:ascii="Times New Roman" w:hAnsi="Times New Roman" w:cs="Times New Roman"/>
                <w:sz w:val="24"/>
              </w:rPr>
              <w:t>Papildomai atkreiptinas dėmesys į tai, kad vienodos teismų praktikos formavimas grupės ieškinio bylose bus užtikrinamas, atsisakius ribojimo kasacine tvarka skųsti teismo nutartį, kuria atsisakyta priimti grupės ieškinį.</w:t>
            </w:r>
          </w:p>
        </w:tc>
      </w:tr>
      <w:tr w:rsidR="00A1037E" w:rsidRPr="00F85019" w:rsidTr="00732723">
        <w:tc>
          <w:tcPr>
            <w:tcW w:w="1413" w:type="dxa"/>
          </w:tcPr>
          <w:p w:rsidR="00A1037E" w:rsidRDefault="00A1037E" w:rsidP="00934DF0">
            <w:pPr>
              <w:jc w:val="both"/>
              <w:rPr>
                <w:rFonts w:ascii="Times New Roman" w:hAnsi="Times New Roman" w:cs="Times New Roman"/>
                <w:b/>
                <w:sz w:val="24"/>
                <w:szCs w:val="24"/>
              </w:rPr>
            </w:pPr>
            <w:r>
              <w:rPr>
                <w:rFonts w:ascii="Times New Roman" w:hAnsi="Times New Roman" w:cs="Times New Roman"/>
                <w:b/>
                <w:sz w:val="24"/>
                <w:szCs w:val="24"/>
              </w:rPr>
              <w:lastRenderedPageBreak/>
              <w:t>Lietuvos advokatūra</w:t>
            </w:r>
          </w:p>
        </w:tc>
        <w:tc>
          <w:tcPr>
            <w:tcW w:w="6946" w:type="dxa"/>
          </w:tcPr>
          <w:p w:rsidR="00A1037E" w:rsidRPr="00F85019" w:rsidRDefault="00A1037E" w:rsidP="00A050CF">
            <w:pPr>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Civilinio proceso kodekso 441</w:t>
            </w:r>
            <w:r>
              <w:rPr>
                <w:rFonts w:ascii="Times New Roman" w:hAnsi="Times New Roman" w:cs="Times New Roman"/>
                <w:color w:val="000000"/>
                <w:sz w:val="24"/>
                <w:szCs w:val="24"/>
                <w:vertAlign w:val="superscript"/>
                <w:lang w:eastAsia="lt-LT"/>
              </w:rPr>
              <w:t>4</w:t>
            </w:r>
            <w:r>
              <w:rPr>
                <w:rFonts w:ascii="Times New Roman" w:hAnsi="Times New Roman" w:cs="Times New Roman"/>
                <w:color w:val="000000"/>
                <w:sz w:val="24"/>
                <w:szCs w:val="24"/>
                <w:lang w:eastAsia="lt-LT"/>
              </w:rPr>
              <w:t xml:space="preserve"> straipsnio 2 dalyje įtvirtinus Civilinio proceso kodekso pakeitimo projektu siūlomą išimtį, </w:t>
            </w:r>
            <w:r w:rsidRPr="0000399D">
              <w:rPr>
                <w:rFonts w:ascii="Times New Roman" w:hAnsi="Times New Roman" w:cs="Times New Roman"/>
                <w:i/>
                <w:color w:val="000000"/>
                <w:sz w:val="24"/>
                <w:szCs w:val="24"/>
                <w:lang w:eastAsia="lt-LT"/>
              </w:rPr>
              <w:t>vartotojai, naudodamiesi ne advokato, bet ją atstovaujančios asociacijos paslaugomis, nebus apsaugoti nuo neprofesionalaus jų interesų atstovavimo bei tokio atstovavimo sukeltų neigiamų pasekmių</w:t>
            </w:r>
            <w:r>
              <w:rPr>
                <w:rFonts w:ascii="Times New Roman" w:hAnsi="Times New Roman" w:cs="Times New Roman"/>
                <w:color w:val="000000"/>
                <w:sz w:val="24"/>
                <w:szCs w:val="24"/>
                <w:lang w:eastAsia="lt-LT"/>
              </w:rPr>
              <w:t>.</w:t>
            </w:r>
          </w:p>
        </w:tc>
        <w:tc>
          <w:tcPr>
            <w:tcW w:w="6237" w:type="dxa"/>
            <w:vMerge w:val="restart"/>
          </w:tcPr>
          <w:p w:rsidR="00A1037E" w:rsidRDefault="00A1037E" w:rsidP="00E82026">
            <w:pPr>
              <w:jc w:val="both"/>
              <w:rPr>
                <w:rFonts w:ascii="Times New Roman" w:hAnsi="Times New Roman" w:cs="Times New Roman"/>
                <w:b/>
                <w:sz w:val="24"/>
                <w:szCs w:val="24"/>
              </w:rPr>
            </w:pPr>
            <w:r>
              <w:rPr>
                <w:rFonts w:ascii="Times New Roman" w:hAnsi="Times New Roman" w:cs="Times New Roman"/>
                <w:b/>
                <w:sz w:val="24"/>
                <w:szCs w:val="24"/>
              </w:rPr>
              <w:t>Neatsižvelgti.</w:t>
            </w:r>
          </w:p>
          <w:p w:rsidR="00732723" w:rsidRPr="00D76F8B" w:rsidRDefault="00F01F56" w:rsidP="00D343F8">
            <w:pPr>
              <w:jc w:val="both"/>
              <w:rPr>
                <w:rFonts w:ascii="Times New Roman" w:hAnsi="Times New Roman" w:cs="Times New Roman"/>
                <w:sz w:val="24"/>
              </w:rPr>
            </w:pPr>
            <w:r>
              <w:rPr>
                <w:rFonts w:ascii="Times New Roman" w:hAnsi="Times New Roman" w:cs="Times New Roman"/>
                <w:sz w:val="24"/>
                <w:szCs w:val="24"/>
              </w:rPr>
              <w:t xml:space="preserve">Pastebėtina, kad įstatymų projektais siekiama </w:t>
            </w:r>
            <w:r w:rsidRPr="00833C11">
              <w:rPr>
                <w:rFonts w:ascii="Times New Roman" w:hAnsi="Times New Roman" w:cs="Times New Roman"/>
                <w:sz w:val="24"/>
              </w:rPr>
              <w:t xml:space="preserve">sudaryti palankesnes sąlygas teikti grupės ieškinius </w:t>
            </w:r>
            <w:r w:rsidR="00906588">
              <w:rPr>
                <w:rFonts w:ascii="Times New Roman" w:hAnsi="Times New Roman" w:cs="Times New Roman"/>
                <w:sz w:val="24"/>
              </w:rPr>
              <w:t xml:space="preserve">būtent </w:t>
            </w:r>
            <w:r w:rsidRPr="00833C11">
              <w:rPr>
                <w:rFonts w:ascii="Times New Roman" w:hAnsi="Times New Roman" w:cs="Times New Roman"/>
                <w:sz w:val="24"/>
              </w:rPr>
              <w:t>bylose, kylančiose iš vartojimo teisinių santykių</w:t>
            </w:r>
            <w:r>
              <w:rPr>
                <w:rFonts w:ascii="Times New Roman" w:hAnsi="Times New Roman" w:cs="Times New Roman"/>
                <w:sz w:val="24"/>
              </w:rPr>
              <w:t>.</w:t>
            </w:r>
            <w:r w:rsidR="00906588">
              <w:rPr>
                <w:rFonts w:ascii="Times New Roman" w:hAnsi="Times New Roman" w:cs="Times New Roman"/>
                <w:sz w:val="24"/>
              </w:rPr>
              <w:t xml:space="preserve"> Teikiant šį siūlymą atsižvelgta į tai, kad vartotojai laikytini silpnesne teisinio santykio šalimi, vartotojų asociacijos </w:t>
            </w:r>
            <w:r w:rsidR="00CE2608">
              <w:rPr>
                <w:rFonts w:ascii="Times New Roman" w:hAnsi="Times New Roman" w:cs="Times New Roman"/>
                <w:sz w:val="24"/>
              </w:rPr>
              <w:t xml:space="preserve">gali </w:t>
            </w:r>
            <w:r w:rsidR="00906588">
              <w:rPr>
                <w:rFonts w:ascii="Times New Roman" w:hAnsi="Times New Roman" w:cs="Times New Roman"/>
                <w:sz w:val="24"/>
              </w:rPr>
              <w:t>specializuo</w:t>
            </w:r>
            <w:r w:rsidR="00CE2608">
              <w:rPr>
                <w:rFonts w:ascii="Times New Roman" w:hAnsi="Times New Roman" w:cs="Times New Roman"/>
                <w:sz w:val="24"/>
              </w:rPr>
              <w:t>tis</w:t>
            </w:r>
            <w:r w:rsidR="00906588">
              <w:rPr>
                <w:rFonts w:ascii="Times New Roman" w:hAnsi="Times New Roman" w:cs="Times New Roman"/>
                <w:sz w:val="24"/>
              </w:rPr>
              <w:t xml:space="preserve"> va</w:t>
            </w:r>
            <w:r w:rsidR="00D343F8">
              <w:rPr>
                <w:rFonts w:ascii="Times New Roman" w:hAnsi="Times New Roman" w:cs="Times New Roman"/>
                <w:sz w:val="24"/>
              </w:rPr>
              <w:t>rtotojų interesų gynimo srityje</w:t>
            </w:r>
            <w:r w:rsidR="00906588">
              <w:rPr>
                <w:rFonts w:ascii="Times New Roman" w:hAnsi="Times New Roman" w:cs="Times New Roman"/>
                <w:sz w:val="24"/>
              </w:rPr>
              <w:t xml:space="preserve">. Viešųjų konsultacijų metu vartotojų asociacijos taip pat pateikė informaciją, kad rengiant grupės ieškinius, be kita ko, susiduriama su lėšų trūkumo problema. Taigi atsisakant privalomo advokato reikalavimo siekiama bent iš dalies spręsti šią </w:t>
            </w:r>
            <w:r w:rsidR="00732723">
              <w:rPr>
                <w:rFonts w:ascii="Times New Roman" w:hAnsi="Times New Roman" w:cs="Times New Roman"/>
                <w:sz w:val="24"/>
              </w:rPr>
              <w:t xml:space="preserve">praktinę </w:t>
            </w:r>
            <w:r w:rsidR="00906588">
              <w:rPr>
                <w:rFonts w:ascii="Times New Roman" w:hAnsi="Times New Roman" w:cs="Times New Roman"/>
                <w:sz w:val="24"/>
              </w:rPr>
              <w:t xml:space="preserve">problemą. Jei vartotojų asociacija visgi manytų, kad konkrečiame ginče advokato dalyvavimas yra pageidautinas, </w:t>
            </w:r>
            <w:r w:rsidR="00D76F8B">
              <w:rPr>
                <w:rFonts w:ascii="Times New Roman" w:hAnsi="Times New Roman" w:cs="Times New Roman"/>
                <w:sz w:val="24"/>
              </w:rPr>
              <w:t>advokatas</w:t>
            </w:r>
            <w:r w:rsidR="00D343F8">
              <w:rPr>
                <w:rFonts w:ascii="Times New Roman" w:hAnsi="Times New Roman" w:cs="Times New Roman"/>
                <w:sz w:val="24"/>
              </w:rPr>
              <w:t xml:space="preserve"> galėtų būti pasitelkiamas</w:t>
            </w:r>
            <w:r w:rsidR="00732723">
              <w:rPr>
                <w:rFonts w:ascii="Times New Roman" w:hAnsi="Times New Roman" w:cs="Times New Roman"/>
                <w:sz w:val="24"/>
              </w:rPr>
              <w:t>.</w:t>
            </w:r>
            <w:r w:rsidR="00D76F8B">
              <w:rPr>
                <w:rFonts w:ascii="Times New Roman" w:hAnsi="Times New Roman" w:cs="Times New Roman"/>
                <w:sz w:val="24"/>
              </w:rPr>
              <w:t xml:space="preserve"> </w:t>
            </w:r>
            <w:r w:rsidR="00732723">
              <w:rPr>
                <w:rFonts w:ascii="Times New Roman" w:hAnsi="Times New Roman" w:cs="Times New Roman"/>
                <w:sz w:val="24"/>
              </w:rPr>
              <w:t>Papildomai atkreiptinas dėmesys, kad bylos, kylančios iš varto</w:t>
            </w:r>
            <w:r w:rsidR="00CE2608">
              <w:rPr>
                <w:rFonts w:ascii="Times New Roman" w:hAnsi="Times New Roman" w:cs="Times New Roman"/>
                <w:sz w:val="24"/>
              </w:rPr>
              <w:t>jimo</w:t>
            </w:r>
            <w:r w:rsidR="00732723">
              <w:rPr>
                <w:rFonts w:ascii="Times New Roman" w:hAnsi="Times New Roman" w:cs="Times New Roman"/>
                <w:sz w:val="24"/>
              </w:rPr>
              <w:t xml:space="preserve"> teisinių santykių, teisės doktrinoje ir </w:t>
            </w:r>
            <w:r w:rsidR="00CE2608">
              <w:rPr>
                <w:rFonts w:ascii="Times New Roman" w:hAnsi="Times New Roman" w:cs="Times New Roman"/>
                <w:sz w:val="24"/>
              </w:rPr>
              <w:t xml:space="preserve">užsienio valstybių </w:t>
            </w:r>
            <w:r w:rsidR="00732723">
              <w:rPr>
                <w:rFonts w:ascii="Times New Roman" w:hAnsi="Times New Roman" w:cs="Times New Roman"/>
                <w:sz w:val="24"/>
              </w:rPr>
              <w:t>praktikoje laikomos vienomis iš klasikinių grupės ieškinio bylų.</w:t>
            </w:r>
          </w:p>
        </w:tc>
      </w:tr>
      <w:tr w:rsidR="00A1037E" w:rsidRPr="00F85019" w:rsidTr="00732723">
        <w:tc>
          <w:tcPr>
            <w:tcW w:w="1413" w:type="dxa"/>
          </w:tcPr>
          <w:p w:rsidR="00A1037E" w:rsidRDefault="00A1037E" w:rsidP="00934DF0">
            <w:pPr>
              <w:jc w:val="both"/>
              <w:rPr>
                <w:rFonts w:ascii="Times New Roman" w:hAnsi="Times New Roman" w:cs="Times New Roman"/>
                <w:b/>
                <w:sz w:val="24"/>
                <w:szCs w:val="24"/>
              </w:rPr>
            </w:pPr>
            <w:r>
              <w:rPr>
                <w:rFonts w:ascii="Times New Roman" w:hAnsi="Times New Roman" w:cs="Times New Roman"/>
                <w:b/>
                <w:sz w:val="24"/>
                <w:szCs w:val="24"/>
              </w:rPr>
              <w:t>Lietuvos antstolių rūmai</w:t>
            </w:r>
          </w:p>
        </w:tc>
        <w:tc>
          <w:tcPr>
            <w:tcW w:w="6946" w:type="dxa"/>
          </w:tcPr>
          <w:p w:rsidR="00A1037E" w:rsidRPr="006D4ED8" w:rsidRDefault="00A1037E" w:rsidP="00A050CF">
            <w:pPr>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Siūlytina Civilinio proceso kodekso 441</w:t>
            </w:r>
            <w:r>
              <w:rPr>
                <w:rFonts w:ascii="Times New Roman" w:hAnsi="Times New Roman" w:cs="Times New Roman"/>
                <w:color w:val="000000"/>
                <w:sz w:val="24"/>
                <w:szCs w:val="24"/>
                <w:vertAlign w:val="superscript"/>
                <w:lang w:eastAsia="lt-LT"/>
              </w:rPr>
              <w:t>4</w:t>
            </w:r>
            <w:r>
              <w:rPr>
                <w:rFonts w:ascii="Times New Roman" w:hAnsi="Times New Roman" w:cs="Times New Roman"/>
                <w:color w:val="000000"/>
                <w:sz w:val="24"/>
                <w:szCs w:val="24"/>
                <w:lang w:eastAsia="lt-LT"/>
              </w:rPr>
              <w:t xml:space="preserve"> straipsnio 2 dalį </w:t>
            </w:r>
            <w:r w:rsidRPr="0000399D">
              <w:rPr>
                <w:rFonts w:ascii="Times New Roman" w:hAnsi="Times New Roman" w:cs="Times New Roman"/>
                <w:i/>
                <w:color w:val="000000"/>
                <w:sz w:val="24"/>
                <w:szCs w:val="24"/>
                <w:lang w:eastAsia="lt-LT"/>
              </w:rPr>
              <w:t>papildyti, nurodant, kad reikalavimas turėti advokatą nėra privalomas tais atvejais, kai grupės atstovei asociacijai ar profesinei sąjungai grupės ieškinys rengiamas ir teisme byla vedama darbuotojo, turinčio teisinį išsilavinimą</w:t>
            </w:r>
            <w:r>
              <w:rPr>
                <w:rFonts w:ascii="Times New Roman" w:hAnsi="Times New Roman" w:cs="Times New Roman"/>
                <w:color w:val="000000"/>
                <w:sz w:val="24"/>
                <w:szCs w:val="24"/>
                <w:lang w:eastAsia="lt-LT"/>
              </w:rPr>
              <w:t>. Didžioji dalis asociacijų ir profesinių sąjungų turi darbuotojus – kvalifikuotus „vidinius“ teisininkus, kurie be advokato pagalbos galėtų užtikrinti tinkamą ir sklandų ieškinio parengimą ir atstovavimą teismuose.</w:t>
            </w:r>
          </w:p>
        </w:tc>
        <w:tc>
          <w:tcPr>
            <w:tcW w:w="6237" w:type="dxa"/>
            <w:vMerge/>
          </w:tcPr>
          <w:p w:rsidR="00A1037E" w:rsidRPr="00F85019" w:rsidRDefault="00A1037E" w:rsidP="00E82026">
            <w:pPr>
              <w:jc w:val="both"/>
              <w:rPr>
                <w:rFonts w:ascii="Times New Roman" w:hAnsi="Times New Roman" w:cs="Times New Roman"/>
                <w:b/>
                <w:sz w:val="24"/>
                <w:szCs w:val="24"/>
              </w:rPr>
            </w:pPr>
          </w:p>
        </w:tc>
      </w:tr>
    </w:tbl>
    <w:p w:rsidR="00124728" w:rsidRPr="00F85019" w:rsidRDefault="00124728" w:rsidP="00934DF0">
      <w:pPr>
        <w:spacing w:after="0" w:line="240" w:lineRule="auto"/>
        <w:jc w:val="both"/>
        <w:rPr>
          <w:rFonts w:ascii="Times New Roman" w:hAnsi="Times New Roman" w:cs="Times New Roman"/>
          <w:sz w:val="24"/>
          <w:szCs w:val="24"/>
        </w:rPr>
      </w:pPr>
    </w:p>
    <w:sectPr w:rsidR="00124728" w:rsidRPr="00F85019" w:rsidSect="00732723">
      <w:headerReference w:type="default" r:id="rId7"/>
      <w:pgSz w:w="16838" w:h="11906" w:orient="landscape"/>
      <w:pgMar w:top="397" w:right="1134" w:bottom="39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259F" w:rsidRDefault="0082259F" w:rsidP="00CB41C4">
      <w:pPr>
        <w:spacing w:after="0" w:line="240" w:lineRule="auto"/>
      </w:pPr>
      <w:r>
        <w:separator/>
      </w:r>
    </w:p>
  </w:endnote>
  <w:endnote w:type="continuationSeparator" w:id="0">
    <w:p w:rsidR="0082259F" w:rsidRDefault="0082259F" w:rsidP="00CB4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259F" w:rsidRDefault="0082259F" w:rsidP="00CB41C4">
      <w:pPr>
        <w:spacing w:after="0" w:line="240" w:lineRule="auto"/>
      </w:pPr>
      <w:r>
        <w:separator/>
      </w:r>
    </w:p>
  </w:footnote>
  <w:footnote w:type="continuationSeparator" w:id="0">
    <w:p w:rsidR="0082259F" w:rsidRDefault="0082259F" w:rsidP="00CB41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5248931"/>
      <w:docPartObj>
        <w:docPartGallery w:val="Page Numbers (Top of Page)"/>
        <w:docPartUnique/>
      </w:docPartObj>
    </w:sdtPr>
    <w:sdtEndPr/>
    <w:sdtContent>
      <w:p w:rsidR="00CB41C4" w:rsidRDefault="00CB41C4">
        <w:pPr>
          <w:pStyle w:val="Antrats"/>
          <w:jc w:val="center"/>
        </w:pPr>
        <w:r>
          <w:fldChar w:fldCharType="begin"/>
        </w:r>
        <w:r>
          <w:instrText>PAGE   \* MERGEFORMAT</w:instrText>
        </w:r>
        <w:r>
          <w:fldChar w:fldCharType="separate"/>
        </w:r>
        <w:r w:rsidR="00D343F8">
          <w:rPr>
            <w:noProof/>
          </w:rPr>
          <w:t>2</w:t>
        </w:r>
        <w:r>
          <w:fldChar w:fldCharType="end"/>
        </w:r>
      </w:p>
    </w:sdtContent>
  </w:sdt>
  <w:p w:rsidR="00CB41C4" w:rsidRDefault="00CB41C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CC5C0F"/>
    <w:multiLevelType w:val="hybridMultilevel"/>
    <w:tmpl w:val="AC12BAF2"/>
    <w:lvl w:ilvl="0" w:tplc="C9D8106E">
      <w:start w:val="1"/>
      <w:numFmt w:val="decimal"/>
      <w:suff w:val="space"/>
      <w:lvlText w:val="%1."/>
      <w:lvlJc w:val="left"/>
      <w:pPr>
        <w:ind w:left="0" w:firstLine="72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728"/>
    <w:rsid w:val="0000399D"/>
    <w:rsid w:val="00030C43"/>
    <w:rsid w:val="00047B99"/>
    <w:rsid w:val="00065C53"/>
    <w:rsid w:val="00066DFD"/>
    <w:rsid w:val="0008772A"/>
    <w:rsid w:val="000C4F8B"/>
    <w:rsid w:val="001075DA"/>
    <w:rsid w:val="00124728"/>
    <w:rsid w:val="00146549"/>
    <w:rsid w:val="001811B8"/>
    <w:rsid w:val="001C1C0B"/>
    <w:rsid w:val="001F1960"/>
    <w:rsid w:val="00205B7C"/>
    <w:rsid w:val="00235D51"/>
    <w:rsid w:val="002401F5"/>
    <w:rsid w:val="002638D9"/>
    <w:rsid w:val="002C3AE2"/>
    <w:rsid w:val="002D1AFD"/>
    <w:rsid w:val="002D203A"/>
    <w:rsid w:val="002E5E01"/>
    <w:rsid w:val="00301A36"/>
    <w:rsid w:val="00314CB4"/>
    <w:rsid w:val="00377990"/>
    <w:rsid w:val="00392490"/>
    <w:rsid w:val="00392609"/>
    <w:rsid w:val="003C65D0"/>
    <w:rsid w:val="003D7424"/>
    <w:rsid w:val="00404302"/>
    <w:rsid w:val="00433E9B"/>
    <w:rsid w:val="00483C9B"/>
    <w:rsid w:val="00493B3B"/>
    <w:rsid w:val="004E494F"/>
    <w:rsid w:val="00505B5D"/>
    <w:rsid w:val="0050766D"/>
    <w:rsid w:val="00513C47"/>
    <w:rsid w:val="00520D24"/>
    <w:rsid w:val="00525F73"/>
    <w:rsid w:val="005D488F"/>
    <w:rsid w:val="0060344D"/>
    <w:rsid w:val="00604E0D"/>
    <w:rsid w:val="00614AE8"/>
    <w:rsid w:val="00675978"/>
    <w:rsid w:val="006A0114"/>
    <w:rsid w:val="006D4ED8"/>
    <w:rsid w:val="00713A47"/>
    <w:rsid w:val="00717A5F"/>
    <w:rsid w:val="00732723"/>
    <w:rsid w:val="00734DB6"/>
    <w:rsid w:val="00744DBB"/>
    <w:rsid w:val="00761E1F"/>
    <w:rsid w:val="007D7586"/>
    <w:rsid w:val="0080747F"/>
    <w:rsid w:val="00812D6B"/>
    <w:rsid w:val="0082259F"/>
    <w:rsid w:val="0084225F"/>
    <w:rsid w:val="008C192F"/>
    <w:rsid w:val="008F52E1"/>
    <w:rsid w:val="00904322"/>
    <w:rsid w:val="00906588"/>
    <w:rsid w:val="00920647"/>
    <w:rsid w:val="009321C9"/>
    <w:rsid w:val="00934DF0"/>
    <w:rsid w:val="00966D96"/>
    <w:rsid w:val="009708D4"/>
    <w:rsid w:val="00985F3D"/>
    <w:rsid w:val="00992BD3"/>
    <w:rsid w:val="009C3EB0"/>
    <w:rsid w:val="009C475C"/>
    <w:rsid w:val="00A050CF"/>
    <w:rsid w:val="00A1037E"/>
    <w:rsid w:val="00A10BC4"/>
    <w:rsid w:val="00A10C1D"/>
    <w:rsid w:val="00A27EA6"/>
    <w:rsid w:val="00A64A84"/>
    <w:rsid w:val="00A75B61"/>
    <w:rsid w:val="00A7796A"/>
    <w:rsid w:val="00A91A4C"/>
    <w:rsid w:val="00AB1A75"/>
    <w:rsid w:val="00B01515"/>
    <w:rsid w:val="00B66374"/>
    <w:rsid w:val="00BD5479"/>
    <w:rsid w:val="00C227A4"/>
    <w:rsid w:val="00C2323C"/>
    <w:rsid w:val="00C418F0"/>
    <w:rsid w:val="00C950CC"/>
    <w:rsid w:val="00C97AE0"/>
    <w:rsid w:val="00CA06BD"/>
    <w:rsid w:val="00CB41C4"/>
    <w:rsid w:val="00CE2608"/>
    <w:rsid w:val="00CE5CCD"/>
    <w:rsid w:val="00D343F8"/>
    <w:rsid w:val="00D34505"/>
    <w:rsid w:val="00D76F8B"/>
    <w:rsid w:val="00D91CD3"/>
    <w:rsid w:val="00DC208B"/>
    <w:rsid w:val="00DF6C47"/>
    <w:rsid w:val="00E0527F"/>
    <w:rsid w:val="00E325DA"/>
    <w:rsid w:val="00E3449A"/>
    <w:rsid w:val="00E60283"/>
    <w:rsid w:val="00E74FB2"/>
    <w:rsid w:val="00E82026"/>
    <w:rsid w:val="00EC5629"/>
    <w:rsid w:val="00EE0E39"/>
    <w:rsid w:val="00EE5FAF"/>
    <w:rsid w:val="00F01F56"/>
    <w:rsid w:val="00F85019"/>
    <w:rsid w:val="00FB2397"/>
    <w:rsid w:val="00FD7C01"/>
    <w:rsid w:val="00FF408C"/>
    <w:rsid w:val="00FF5F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221598-C1E4-416C-BE57-EB386C2CB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24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asDiagrama">
    <w:name w:val="Tekstas Diagrama"/>
    <w:link w:val="Tekstas"/>
    <w:locked/>
    <w:rsid w:val="00392609"/>
    <w:rPr>
      <w:rFonts w:ascii="Times New Roman" w:eastAsia="Times New Roman" w:hAnsi="Times New Roman" w:cs="Times New Roman"/>
      <w:sz w:val="24"/>
      <w:szCs w:val="24"/>
    </w:rPr>
  </w:style>
  <w:style w:type="paragraph" w:customStyle="1" w:styleId="Tekstas">
    <w:name w:val="Tekstas"/>
    <w:basedOn w:val="prastasis"/>
    <w:link w:val="TekstasDiagrama"/>
    <w:rsid w:val="00392609"/>
    <w:pPr>
      <w:spacing w:before="40" w:after="40" w:line="240" w:lineRule="auto"/>
      <w:ind w:right="40" w:firstLine="1247"/>
      <w:jc w:val="both"/>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CB41C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CB41C4"/>
  </w:style>
  <w:style w:type="paragraph" w:styleId="Porat">
    <w:name w:val="footer"/>
    <w:basedOn w:val="prastasis"/>
    <w:link w:val="PoratDiagrama"/>
    <w:uiPriority w:val="99"/>
    <w:unhideWhenUsed/>
    <w:rsid w:val="00CB41C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CB41C4"/>
  </w:style>
  <w:style w:type="paragraph" w:styleId="Pagrindinistekstas">
    <w:name w:val="Body Text"/>
    <w:basedOn w:val="prastasis"/>
    <w:link w:val="PagrindinistekstasDiagrama"/>
    <w:semiHidden/>
    <w:rsid w:val="00744DBB"/>
    <w:pPr>
      <w:spacing w:after="0" w:line="240" w:lineRule="auto"/>
      <w:jc w:val="center"/>
    </w:pPr>
    <w:rPr>
      <w:rFonts w:ascii="Times New Roman" w:eastAsia="Times New Roman" w:hAnsi="Times New Roman" w:cs="Times New Roman"/>
      <w:b/>
      <w:bCs/>
      <w:sz w:val="24"/>
      <w:szCs w:val="24"/>
    </w:rPr>
  </w:style>
  <w:style w:type="character" w:customStyle="1" w:styleId="PagrindinistekstasDiagrama">
    <w:name w:val="Pagrindinis tekstas Diagrama"/>
    <w:basedOn w:val="Numatytasispastraiposriftas"/>
    <w:link w:val="Pagrindinistekstas"/>
    <w:semiHidden/>
    <w:rsid w:val="00744DBB"/>
    <w:rPr>
      <w:rFonts w:ascii="Times New Roman" w:eastAsia="Times New Roman" w:hAnsi="Times New Roman" w:cs="Times New Roman"/>
      <w:b/>
      <w:bCs/>
      <w:sz w:val="24"/>
      <w:szCs w:val="24"/>
    </w:rPr>
  </w:style>
  <w:style w:type="paragraph" w:styleId="Debesliotekstas">
    <w:name w:val="Balloon Text"/>
    <w:basedOn w:val="prastasis"/>
    <w:link w:val="DebesliotekstasDiagrama"/>
    <w:uiPriority w:val="99"/>
    <w:semiHidden/>
    <w:unhideWhenUsed/>
    <w:rsid w:val="00CE260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E26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9556579">
      <w:bodyDiv w:val="1"/>
      <w:marLeft w:val="0"/>
      <w:marRight w:val="0"/>
      <w:marTop w:val="0"/>
      <w:marBottom w:val="0"/>
      <w:divBdr>
        <w:top w:val="none" w:sz="0" w:space="0" w:color="auto"/>
        <w:left w:val="none" w:sz="0" w:space="0" w:color="auto"/>
        <w:bottom w:val="none" w:sz="0" w:space="0" w:color="auto"/>
        <w:right w:val="none" w:sz="0" w:space="0" w:color="auto"/>
      </w:divBdr>
    </w:div>
    <w:div w:id="2039503688">
      <w:bodyDiv w:val="1"/>
      <w:marLeft w:val="0"/>
      <w:marRight w:val="0"/>
      <w:marTop w:val="0"/>
      <w:marBottom w:val="0"/>
      <w:divBdr>
        <w:top w:val="none" w:sz="0" w:space="0" w:color="auto"/>
        <w:left w:val="none" w:sz="0" w:space="0" w:color="auto"/>
        <w:bottom w:val="none" w:sz="0" w:space="0" w:color="auto"/>
        <w:right w:val="none" w:sz="0" w:space="0" w:color="auto"/>
      </w:divBdr>
    </w:div>
    <w:div w:id="210449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4283</Words>
  <Characters>2442</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6712</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2019-08-19T10:43:00Z</dcterms:created>
  <dc:creator>Tautginas Mickevičius</dc:creator>
  <cp:lastModifiedBy>Tautginas Mickevičius</cp:lastModifiedBy>
  <dcterms:modified xsi:type="dcterms:W3CDTF">2019-08-19T10:43:00Z</dcterms:modified>
  <cp:revision>2</cp:revision>
</cp:coreProperties>
</file>