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76A63" w14:textId="77777777" w:rsidR="00F06491" w:rsidRDefault="008966FD" w:rsidP="00F06491">
      <w:pPr>
        <w:tabs>
          <w:tab w:val="left" w:pos="1843"/>
        </w:tabs>
        <w:jc w:val="center"/>
        <w:rPr>
          <w:b/>
          <w:caps/>
        </w:rPr>
      </w:pPr>
      <w:bookmarkStart w:id="0" w:name="_GoBack"/>
      <w:bookmarkEnd w:id="0"/>
      <w:r w:rsidRPr="00523A3E">
        <w:rPr>
          <w:b/>
          <w:caps/>
        </w:rPr>
        <w:t>Vidaus reikalų</w:t>
      </w:r>
      <w:r>
        <w:rPr>
          <w:b/>
          <w:caps/>
        </w:rPr>
        <w:t xml:space="preserve"> Ministerijos</w:t>
      </w:r>
      <w:r w:rsidRPr="00523A3E">
        <w:rPr>
          <w:b/>
          <w:caps/>
        </w:rPr>
        <w:t xml:space="preserve"> pateiktų Lietuvos Respublikos pozicijų dėl klausimų, </w:t>
      </w:r>
    </w:p>
    <w:p w14:paraId="596C7BA5" w14:textId="72E61D1F" w:rsidR="00F06491" w:rsidRDefault="008966FD" w:rsidP="00F06491">
      <w:pPr>
        <w:tabs>
          <w:tab w:val="left" w:pos="1843"/>
        </w:tabs>
        <w:jc w:val="center"/>
        <w:rPr>
          <w:b/>
          <w:caps/>
        </w:rPr>
      </w:pPr>
      <w:r w:rsidRPr="00523A3E">
        <w:rPr>
          <w:b/>
          <w:caps/>
        </w:rPr>
        <w:t>svarstomų</w:t>
      </w:r>
      <w:r>
        <w:rPr>
          <w:b/>
          <w:caps/>
        </w:rPr>
        <w:t xml:space="preserve"> </w:t>
      </w:r>
      <w:r w:rsidRPr="00523A3E">
        <w:rPr>
          <w:b/>
          <w:caps/>
        </w:rPr>
        <w:t>20</w:t>
      </w:r>
      <w:r>
        <w:rPr>
          <w:b/>
          <w:caps/>
        </w:rPr>
        <w:t>20</w:t>
      </w:r>
      <w:r w:rsidRPr="00523A3E">
        <w:rPr>
          <w:b/>
          <w:caps/>
        </w:rPr>
        <w:t xml:space="preserve"> m. </w:t>
      </w:r>
      <w:r w:rsidR="007F632C">
        <w:rPr>
          <w:b/>
          <w:caps/>
        </w:rPr>
        <w:t>SPALIO</w:t>
      </w:r>
      <w:r w:rsidR="009C7AB9">
        <w:rPr>
          <w:b/>
          <w:caps/>
        </w:rPr>
        <w:t xml:space="preserve"> </w:t>
      </w:r>
      <w:r w:rsidR="007F632C">
        <w:rPr>
          <w:b/>
          <w:caps/>
        </w:rPr>
        <w:t>8</w:t>
      </w:r>
      <w:r w:rsidRPr="00AB67F8">
        <w:rPr>
          <w:b/>
          <w:caps/>
        </w:rPr>
        <w:t xml:space="preserve"> D.</w:t>
      </w:r>
      <w:r w:rsidR="00F06491">
        <w:rPr>
          <w:b/>
          <w:caps/>
        </w:rPr>
        <w:t xml:space="preserve"> NEFORMALIOJE </w:t>
      </w:r>
      <w:r w:rsidRPr="00AB67F8">
        <w:rPr>
          <w:b/>
          <w:caps/>
        </w:rPr>
        <w:t xml:space="preserve">Europos Sąjungos vidaus reikalų </w:t>
      </w:r>
      <w:r w:rsidR="009D0009">
        <w:rPr>
          <w:b/>
          <w:caps/>
        </w:rPr>
        <w:t xml:space="preserve">ministrų </w:t>
      </w:r>
    </w:p>
    <w:p w14:paraId="722480E3" w14:textId="31D0469A" w:rsidR="008966FD" w:rsidRPr="00AB67F8" w:rsidRDefault="00F06491" w:rsidP="00F06491">
      <w:pPr>
        <w:tabs>
          <w:tab w:val="left" w:pos="1843"/>
        </w:tabs>
        <w:jc w:val="center"/>
        <w:rPr>
          <w:b/>
          <w:caps/>
        </w:rPr>
      </w:pPr>
      <w:r>
        <w:rPr>
          <w:b/>
          <w:caps/>
        </w:rPr>
        <w:t>VAIZDO KONFERENCIJOJE</w:t>
      </w:r>
      <w:r w:rsidR="008966FD">
        <w:rPr>
          <w:b/>
          <w:caps/>
        </w:rPr>
        <w:t>,</w:t>
      </w:r>
      <w:r w:rsidR="008966FD" w:rsidRPr="00AB67F8">
        <w:rPr>
          <w:b/>
          <w:caps/>
        </w:rPr>
        <w:t xml:space="preserve"> apibendrinimas</w:t>
      </w:r>
    </w:p>
    <w:p w14:paraId="722480E4" w14:textId="77777777" w:rsidR="008966FD" w:rsidRPr="00523A3E" w:rsidRDefault="008966FD" w:rsidP="008966FD">
      <w:pPr>
        <w:tabs>
          <w:tab w:val="left" w:pos="1843"/>
        </w:tabs>
        <w:jc w:val="center"/>
        <w:rPr>
          <w:b/>
          <w:caps/>
        </w:rPr>
      </w:pPr>
    </w:p>
    <w:tbl>
      <w:tblPr>
        <w:tblpPr w:leftFromText="180" w:rightFromText="180" w:vertAnchor="text" w:horzAnchor="margin" w:tblpY="76"/>
        <w:tblOverlap w:val="never"/>
        <w:tblW w:w="152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340"/>
        <w:gridCol w:w="6120"/>
        <w:gridCol w:w="6750"/>
      </w:tblGrid>
      <w:tr w:rsidR="008966FD" w:rsidRPr="00523A3E" w14:paraId="722480EA" w14:textId="77777777" w:rsidTr="008D2149">
        <w:trPr>
          <w:tblHeader/>
        </w:trPr>
        <w:tc>
          <w:tcPr>
            <w:tcW w:w="2340" w:type="dxa"/>
            <w:shd w:val="clear" w:color="auto" w:fill="C0C0C0"/>
            <w:vAlign w:val="center"/>
          </w:tcPr>
          <w:p w14:paraId="722480E5" w14:textId="77777777" w:rsidR="008966FD" w:rsidRPr="00523A3E" w:rsidRDefault="008966FD" w:rsidP="008D2149">
            <w:pPr>
              <w:widowControl w:val="0"/>
              <w:tabs>
                <w:tab w:val="left" w:pos="1843"/>
              </w:tabs>
              <w:jc w:val="center"/>
              <w:rPr>
                <w:b/>
                <w:smallCaps/>
              </w:rPr>
            </w:pPr>
            <w:r w:rsidRPr="00523A3E">
              <w:rPr>
                <w:b/>
                <w:smallCaps/>
              </w:rPr>
              <w:t>Svarstomi klausimai</w:t>
            </w:r>
          </w:p>
        </w:tc>
        <w:tc>
          <w:tcPr>
            <w:tcW w:w="6120" w:type="dxa"/>
            <w:shd w:val="clear" w:color="auto" w:fill="C0C0C0"/>
            <w:vAlign w:val="center"/>
          </w:tcPr>
          <w:p w14:paraId="722480E6" w14:textId="77777777" w:rsidR="008966FD" w:rsidRPr="00523A3E" w:rsidRDefault="008966FD" w:rsidP="008D2149">
            <w:pPr>
              <w:widowControl w:val="0"/>
              <w:tabs>
                <w:tab w:val="left" w:pos="1843"/>
              </w:tabs>
              <w:jc w:val="center"/>
              <w:rPr>
                <w:b/>
                <w:smallCaps/>
              </w:rPr>
            </w:pPr>
            <w:r w:rsidRPr="00523A3E">
              <w:rPr>
                <w:b/>
                <w:smallCaps/>
              </w:rPr>
              <w:t>Klausimo esmė</w:t>
            </w:r>
          </w:p>
        </w:tc>
        <w:tc>
          <w:tcPr>
            <w:tcW w:w="6750" w:type="dxa"/>
            <w:shd w:val="clear" w:color="auto" w:fill="C0C0C0"/>
            <w:vAlign w:val="center"/>
          </w:tcPr>
          <w:p w14:paraId="722480E7" w14:textId="77777777" w:rsidR="008966FD" w:rsidRPr="00523A3E" w:rsidRDefault="008966FD" w:rsidP="008D2149">
            <w:pPr>
              <w:widowControl w:val="0"/>
              <w:tabs>
                <w:tab w:val="left" w:pos="1843"/>
              </w:tabs>
              <w:jc w:val="center"/>
              <w:rPr>
                <w:b/>
                <w:smallCaps/>
              </w:rPr>
            </w:pPr>
          </w:p>
          <w:p w14:paraId="722480E8" w14:textId="77777777" w:rsidR="008966FD" w:rsidRPr="00523A3E" w:rsidRDefault="008966FD" w:rsidP="008D2149">
            <w:pPr>
              <w:widowControl w:val="0"/>
              <w:tabs>
                <w:tab w:val="left" w:pos="1843"/>
              </w:tabs>
              <w:jc w:val="center"/>
              <w:rPr>
                <w:b/>
                <w:smallCaps/>
              </w:rPr>
            </w:pPr>
            <w:r w:rsidRPr="00523A3E">
              <w:rPr>
                <w:b/>
                <w:smallCaps/>
              </w:rPr>
              <w:t>Lietuvos pozicija</w:t>
            </w:r>
          </w:p>
          <w:p w14:paraId="722480E9" w14:textId="77777777" w:rsidR="008966FD" w:rsidRPr="00523A3E" w:rsidRDefault="008966FD" w:rsidP="008D2149">
            <w:pPr>
              <w:widowControl w:val="0"/>
              <w:tabs>
                <w:tab w:val="left" w:pos="1843"/>
              </w:tabs>
              <w:jc w:val="both"/>
              <w:rPr>
                <w:b/>
                <w:smallCaps/>
              </w:rPr>
            </w:pPr>
          </w:p>
        </w:tc>
      </w:tr>
      <w:tr w:rsidR="008966FD" w:rsidRPr="00523A3E" w14:paraId="722480FE" w14:textId="77777777" w:rsidTr="008D2149">
        <w:trPr>
          <w:trHeight w:val="982"/>
        </w:trPr>
        <w:tc>
          <w:tcPr>
            <w:tcW w:w="2340" w:type="dxa"/>
            <w:tcBorders>
              <w:top w:val="double" w:sz="4" w:space="0" w:color="auto"/>
              <w:left w:val="double" w:sz="4" w:space="0" w:color="auto"/>
              <w:bottom w:val="double" w:sz="4" w:space="0" w:color="auto"/>
              <w:right w:val="double" w:sz="4" w:space="0" w:color="auto"/>
            </w:tcBorders>
          </w:tcPr>
          <w:p w14:paraId="02CA9726" w14:textId="77777777" w:rsidR="007F632C" w:rsidRPr="007F632C" w:rsidRDefault="007F632C" w:rsidP="007F632C">
            <w:r w:rsidRPr="007F632C">
              <w:rPr>
                <w:b/>
                <w:bCs/>
              </w:rPr>
              <w:t>Naujas migracijos ir prieglobsčio paktas</w:t>
            </w:r>
          </w:p>
          <w:p w14:paraId="31153977" w14:textId="77777777" w:rsidR="007F632C" w:rsidRPr="007F632C" w:rsidRDefault="007F632C" w:rsidP="007F632C">
            <w:r w:rsidRPr="007F632C">
              <w:rPr>
                <w:i/>
                <w:iCs/>
              </w:rPr>
              <w:t>- Komisijos pranešimas</w:t>
            </w:r>
          </w:p>
          <w:p w14:paraId="164A479A" w14:textId="77777777" w:rsidR="007F632C" w:rsidRPr="007F632C" w:rsidRDefault="007F632C" w:rsidP="007F632C">
            <w:r w:rsidRPr="007F632C">
              <w:rPr>
                <w:i/>
                <w:iCs/>
              </w:rPr>
              <w:t>- Pasikeitimas nuomonėmis dėl tolesnių veiksmų</w:t>
            </w:r>
          </w:p>
          <w:p w14:paraId="722480EB" w14:textId="3AA9A05C" w:rsidR="008966FD" w:rsidRPr="00D930D1" w:rsidRDefault="008966FD" w:rsidP="00D930D1">
            <w:pPr>
              <w:pStyle w:val="Betarp"/>
              <w:tabs>
                <w:tab w:val="left" w:pos="1843"/>
              </w:tabs>
              <w:rPr>
                <w:rFonts w:ascii="Times New Roman" w:hAnsi="Times New Roman"/>
                <w:i/>
                <w:iCs/>
                <w:sz w:val="24"/>
                <w:szCs w:val="24"/>
              </w:rPr>
            </w:pPr>
          </w:p>
        </w:tc>
        <w:tc>
          <w:tcPr>
            <w:tcW w:w="6120" w:type="dxa"/>
            <w:tcBorders>
              <w:top w:val="double" w:sz="4" w:space="0" w:color="auto"/>
              <w:left w:val="double" w:sz="4" w:space="0" w:color="auto"/>
              <w:bottom w:val="double" w:sz="4" w:space="0" w:color="auto"/>
              <w:right w:val="double" w:sz="4" w:space="0" w:color="auto"/>
            </w:tcBorders>
          </w:tcPr>
          <w:p w14:paraId="27EC930A" w14:textId="5006249D" w:rsidR="00870CBB" w:rsidRPr="005D551A" w:rsidRDefault="005D551A" w:rsidP="000A094E">
            <w:pPr>
              <w:spacing w:after="120"/>
              <w:jc w:val="both"/>
              <w:rPr>
                <w:rStyle w:val="tlid-translation"/>
              </w:rPr>
            </w:pPr>
            <w:r w:rsidRPr="005D551A">
              <w:rPr>
                <w:rStyle w:val="tlid-translation"/>
              </w:rPr>
              <w:t>Š. m.</w:t>
            </w:r>
            <w:r w:rsidR="00870CBB" w:rsidRPr="005D551A">
              <w:rPr>
                <w:rStyle w:val="tlid-translation"/>
              </w:rPr>
              <w:t xml:space="preserve"> rugsėjo 23 d. Europos Komisija pristatė naująjį Migracijos ir prieglobsčio paktą</w:t>
            </w:r>
            <w:r>
              <w:rPr>
                <w:rStyle w:val="tlid-translation"/>
              </w:rPr>
              <w:t xml:space="preserve"> (toliau – Paktas)</w:t>
            </w:r>
            <w:r w:rsidR="00870CBB" w:rsidRPr="005D551A">
              <w:rPr>
                <w:rStyle w:val="tlid-translation"/>
              </w:rPr>
              <w:t>. Paktas apima įvairius elementus, reikalingus visapusiškam Europos požiūriui į migracijos valdymą. Paktas iš esmės nustato naują Komisijos požiūrį į migraciją, didesnį dėmesį skiria sienų valdymui ir užtikrina didesnį nuoseklumą integruojant migracijos politikos vidaus ir išorės aspektus. Jame išdėstoma Komisijos vizija, kaip skirtingos teisinės ir neteisinės priemonės dera tarpusavyje, ir apibrėžiama, kokių priemonių Komisija imasi dar šiandien bei kokių numačiusi imtis vėliau.</w:t>
            </w:r>
          </w:p>
          <w:p w14:paraId="3B4B1C3D" w14:textId="30A8459E" w:rsidR="00870CBB" w:rsidRPr="00242159" w:rsidRDefault="00870CBB" w:rsidP="000A094E">
            <w:pPr>
              <w:jc w:val="both"/>
              <w:rPr>
                <w:rStyle w:val="tlid-translation"/>
              </w:rPr>
            </w:pPr>
            <w:r w:rsidRPr="00242159">
              <w:rPr>
                <w:rStyle w:val="tlid-translation"/>
              </w:rPr>
              <w:t>Šiai dienai Komisija yra pateikusi komunikatą ir 9 priemonių rinkinį:</w:t>
            </w:r>
            <w:r w:rsidR="005D551A" w:rsidRPr="00242159">
              <w:rPr>
                <w:rStyle w:val="tlid-translation"/>
              </w:rPr>
              <w:t xml:space="preserve"> </w:t>
            </w:r>
            <w:r w:rsidRPr="00242159">
              <w:br/>
            </w:r>
            <w:r w:rsidRPr="00242159">
              <w:rPr>
                <w:rStyle w:val="tlid-translation"/>
              </w:rPr>
              <w:t>Teisėkūros priemonės:</w:t>
            </w:r>
          </w:p>
          <w:p w14:paraId="4B871F36" w14:textId="77777777" w:rsidR="00870CBB" w:rsidRPr="00242159" w:rsidRDefault="00870CBB" w:rsidP="000A094E">
            <w:pPr>
              <w:pStyle w:val="Sraopastraipa"/>
              <w:numPr>
                <w:ilvl w:val="0"/>
                <w:numId w:val="8"/>
              </w:numPr>
              <w:ind w:left="0" w:firstLine="0"/>
              <w:jc w:val="both"/>
            </w:pPr>
            <w:r w:rsidRPr="00242159">
              <w:rPr>
                <w:rStyle w:val="tlid-translation"/>
              </w:rPr>
              <w:t xml:space="preserve">Naujas </w:t>
            </w:r>
            <w:r w:rsidRPr="00242159">
              <w:t>Reglamentas dėl trečiųjų šalių piliečių patikrinimo prie Europos Sąjungos (ES) išorės sienų (</w:t>
            </w:r>
            <w:r w:rsidRPr="00242159">
              <w:rPr>
                <w:i/>
              </w:rPr>
              <w:t>Screening Regulation</w:t>
            </w:r>
            <w:r w:rsidRPr="00242159">
              <w:t>)</w:t>
            </w:r>
          </w:p>
          <w:p w14:paraId="19C5264C"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Pakoreguotas pasiūlymas dėl Prieglobsčio procedūrų reglamento</w:t>
            </w:r>
          </w:p>
          <w:p w14:paraId="3B5AF69E"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 xml:space="preserve">Pakoreguotas pasiūlymas dėl </w:t>
            </w:r>
            <w:r w:rsidRPr="00242159">
              <w:rPr>
                <w:rStyle w:val="tlid-translation"/>
                <w:i/>
              </w:rPr>
              <w:t>Eurodac</w:t>
            </w:r>
            <w:r w:rsidRPr="00242159">
              <w:rPr>
                <w:rStyle w:val="tlid-translation"/>
              </w:rPr>
              <w:t xml:space="preserve"> reglamento</w:t>
            </w:r>
          </w:p>
          <w:p w14:paraId="2BB3F067"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 xml:space="preserve">Naujas reglamentas dėl prieglobsčio ir migracijos valdymo </w:t>
            </w:r>
          </w:p>
          <w:p w14:paraId="311A7390"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 xml:space="preserve">Naujas reglamentas dėl krizinių ir </w:t>
            </w:r>
            <w:r w:rsidRPr="00242159">
              <w:rPr>
                <w:rStyle w:val="tlid-translation"/>
                <w:i/>
              </w:rPr>
              <w:t xml:space="preserve">force majeure </w:t>
            </w:r>
            <w:r w:rsidRPr="00242159">
              <w:rPr>
                <w:rStyle w:val="tlid-translation"/>
              </w:rPr>
              <w:t>situacijų valdymo</w:t>
            </w:r>
          </w:p>
          <w:p w14:paraId="5ED0347A" w14:textId="77777777" w:rsidR="00870CBB" w:rsidRPr="00242159" w:rsidRDefault="00870CBB" w:rsidP="000A094E">
            <w:pPr>
              <w:jc w:val="both"/>
              <w:rPr>
                <w:rStyle w:val="tlid-translation"/>
              </w:rPr>
            </w:pPr>
            <w:r w:rsidRPr="00242159">
              <w:rPr>
                <w:rStyle w:val="tlid-translation"/>
              </w:rPr>
              <w:t>Rekomendacijos:</w:t>
            </w:r>
          </w:p>
          <w:p w14:paraId="747A0C00" w14:textId="77777777" w:rsidR="00870CBB" w:rsidRPr="00242159" w:rsidRDefault="00870CBB" w:rsidP="000A094E">
            <w:pPr>
              <w:pStyle w:val="Sraopastraipa"/>
              <w:numPr>
                <w:ilvl w:val="0"/>
                <w:numId w:val="8"/>
              </w:numPr>
              <w:ind w:left="0" w:firstLine="0"/>
              <w:jc w:val="both"/>
            </w:pPr>
            <w:r w:rsidRPr="00242159">
              <w:rPr>
                <w:rStyle w:val="tlid-translation"/>
              </w:rPr>
              <w:lastRenderedPageBreak/>
              <w:t xml:space="preserve">Rekomendacija </w:t>
            </w:r>
            <w:r w:rsidRPr="00242159">
              <w:t>dėl ES mechanizmo pasirengimui krizėms, susijusioms su migracija, ir jų valdymui (</w:t>
            </w:r>
            <w:r w:rsidRPr="00242159">
              <w:rPr>
                <w:i/>
              </w:rPr>
              <w:t>Blueprint</w:t>
            </w:r>
            <w:r w:rsidRPr="00242159">
              <w:t>)</w:t>
            </w:r>
          </w:p>
          <w:p w14:paraId="092B5A7C"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Rekomendacija dėl perkėlimo (</w:t>
            </w:r>
            <w:r w:rsidRPr="00242159">
              <w:rPr>
                <w:rStyle w:val="tlid-translation"/>
                <w:i/>
              </w:rPr>
              <w:t>resettlement</w:t>
            </w:r>
            <w:r w:rsidRPr="00242159">
              <w:rPr>
                <w:rStyle w:val="tlid-translation"/>
              </w:rPr>
              <w:t>) ir</w:t>
            </w:r>
            <w:r w:rsidRPr="00242159">
              <w:t xml:space="preserve"> kitų teisėto atvykimo iš trečiųjų šalių kelių</w:t>
            </w:r>
            <w:r w:rsidRPr="00242159">
              <w:rPr>
                <w:rStyle w:val="AntratsDiagrama"/>
              </w:rPr>
              <w:t xml:space="preserve"> </w:t>
            </w:r>
          </w:p>
          <w:p w14:paraId="5F3AEB89" w14:textId="77777777" w:rsidR="00870CBB" w:rsidRPr="00242159" w:rsidRDefault="00870CBB" w:rsidP="000A094E">
            <w:pPr>
              <w:pStyle w:val="Sraopastraipa"/>
              <w:numPr>
                <w:ilvl w:val="0"/>
                <w:numId w:val="8"/>
              </w:numPr>
              <w:ind w:left="0" w:firstLine="0"/>
              <w:jc w:val="both"/>
              <w:rPr>
                <w:rStyle w:val="tlid-translation"/>
              </w:rPr>
            </w:pPr>
            <w:r w:rsidRPr="00242159">
              <w:rPr>
                <w:rStyle w:val="tlid-translation"/>
              </w:rPr>
              <w:t>Rekomendacija dėl paieškos ir gelbėjimo (SAR) operacijų privačiais laivais</w:t>
            </w:r>
          </w:p>
          <w:p w14:paraId="726AD237" w14:textId="77777777" w:rsidR="00870CBB" w:rsidRPr="00242159" w:rsidRDefault="00870CBB" w:rsidP="000A094E">
            <w:pPr>
              <w:jc w:val="both"/>
              <w:rPr>
                <w:rStyle w:val="tlid-translation"/>
              </w:rPr>
            </w:pPr>
            <w:r w:rsidRPr="00242159">
              <w:rPr>
                <w:rStyle w:val="tlid-translation"/>
              </w:rPr>
              <w:t>Gairės:</w:t>
            </w:r>
          </w:p>
          <w:p w14:paraId="070F73F5" w14:textId="77777777" w:rsidR="00870CBB" w:rsidRPr="00242159" w:rsidRDefault="00870CBB" w:rsidP="000A094E">
            <w:pPr>
              <w:pStyle w:val="Sraopastraipa"/>
              <w:numPr>
                <w:ilvl w:val="0"/>
                <w:numId w:val="8"/>
              </w:numPr>
              <w:spacing w:after="120"/>
              <w:ind w:left="0" w:firstLine="0"/>
              <w:jc w:val="both"/>
            </w:pPr>
            <w:r w:rsidRPr="00242159">
              <w:rPr>
                <w:bCs/>
                <w:color w:val="222222"/>
              </w:rPr>
              <w:t xml:space="preserve">Gairės dėl ES taisyklių, susijusių su padėjimo neteisėtai atvykti, vykti tranzitu ir apsigyventi, apibrėžimo ir prevencijos įgyvendinimo </w:t>
            </w:r>
          </w:p>
          <w:p w14:paraId="42127A04" w14:textId="3003E152" w:rsidR="000F56BD" w:rsidRPr="000F56BD" w:rsidRDefault="000F56BD" w:rsidP="000F56BD">
            <w:pPr>
              <w:jc w:val="both"/>
              <w:rPr>
                <w:b/>
                <w:u w:val="single"/>
              </w:rPr>
            </w:pPr>
            <w:r w:rsidRPr="000F56BD">
              <w:rPr>
                <w:b/>
                <w:u w:val="single"/>
              </w:rPr>
              <w:t>Diskusinis dokumentas dėl Pakto dar nėra išplatintas  valstybėms narėms (VN).</w:t>
            </w:r>
          </w:p>
          <w:p w14:paraId="10615E2C" w14:textId="1FE7E1C1" w:rsidR="00870CBB" w:rsidRPr="00242159" w:rsidRDefault="00242159" w:rsidP="000A094E">
            <w:pPr>
              <w:spacing w:after="120"/>
              <w:jc w:val="both"/>
            </w:pPr>
            <w:r>
              <w:t>Numatoma, kad d</w:t>
            </w:r>
            <w:r w:rsidRPr="00242159">
              <w:t>iskusiniame d</w:t>
            </w:r>
            <w:r w:rsidR="00870CBB" w:rsidRPr="00242159">
              <w:t xml:space="preserve">okumente </w:t>
            </w:r>
            <w:r w:rsidR="00870CBB" w:rsidRPr="00242159">
              <w:rPr>
                <w:color w:val="000000" w:themeColor="text1"/>
              </w:rPr>
              <w:t xml:space="preserve">bus </w:t>
            </w:r>
            <w:r w:rsidR="00870CBB" w:rsidRPr="00242159">
              <w:t xml:space="preserve">išdėstytas Pirmininkaujančios šalies matymas, kaip reikia planuoti tolimesnį darbą iki metų pabaigos. Keliamas klausimas, ar </w:t>
            </w:r>
            <w:r w:rsidR="000F56BD">
              <w:t xml:space="preserve">VN </w:t>
            </w:r>
            <w:r w:rsidR="00870CBB" w:rsidRPr="00242159">
              <w:t>pritaria išdėstytam planui.</w:t>
            </w:r>
          </w:p>
          <w:p w14:paraId="2ED690A5" w14:textId="77777777" w:rsidR="00870CBB" w:rsidRPr="00242159" w:rsidRDefault="00870CBB" w:rsidP="000A094E">
            <w:pPr>
              <w:jc w:val="both"/>
            </w:pPr>
            <w:r w:rsidRPr="00242159">
              <w:t>Plano esmė:</w:t>
            </w:r>
          </w:p>
          <w:p w14:paraId="7877D325" w14:textId="77777777" w:rsidR="00870CBB" w:rsidRPr="00242159" w:rsidRDefault="00870CBB" w:rsidP="000A094E">
            <w:pPr>
              <w:pStyle w:val="Sraopastraipa"/>
              <w:numPr>
                <w:ilvl w:val="0"/>
                <w:numId w:val="5"/>
              </w:numPr>
              <w:ind w:left="0" w:firstLine="0"/>
              <w:contextualSpacing w:val="0"/>
              <w:jc w:val="both"/>
            </w:pPr>
            <w:r w:rsidRPr="00242159">
              <w:t>Diskutuoti dėl politikos krypčių, ne dėl detalių (tolimesnės derybos dėl detalių numatomos Portugalijos pirmininkavimo metu).</w:t>
            </w:r>
          </w:p>
          <w:p w14:paraId="27EC350B" w14:textId="77777777" w:rsidR="00870CBB" w:rsidRPr="00242159" w:rsidRDefault="00870CBB" w:rsidP="000A094E">
            <w:pPr>
              <w:pStyle w:val="Sraopastraipa"/>
              <w:numPr>
                <w:ilvl w:val="0"/>
                <w:numId w:val="5"/>
              </w:numPr>
              <w:ind w:left="0" w:firstLine="0"/>
              <w:contextualSpacing w:val="0"/>
              <w:jc w:val="both"/>
            </w:pPr>
            <w:r w:rsidRPr="00242159">
              <w:t xml:space="preserve">Sukurti pagrindą </w:t>
            </w:r>
            <w:r w:rsidRPr="00242159">
              <w:rPr>
                <w:b/>
                <w:bCs/>
              </w:rPr>
              <w:t>politiniam susitarimui</w:t>
            </w:r>
            <w:r w:rsidRPr="00242159">
              <w:t xml:space="preserve"> dėl esminių pakto elementų, apimančiam didžiąją VN daugumą.</w:t>
            </w:r>
          </w:p>
          <w:p w14:paraId="2BBBB18D" w14:textId="77777777" w:rsidR="00870CBB" w:rsidRPr="00242159" w:rsidRDefault="00870CBB" w:rsidP="000A094E">
            <w:pPr>
              <w:pStyle w:val="Sraopastraipa"/>
              <w:numPr>
                <w:ilvl w:val="0"/>
                <w:numId w:val="5"/>
              </w:numPr>
              <w:ind w:left="0" w:firstLine="0"/>
              <w:contextualSpacing w:val="0"/>
              <w:jc w:val="both"/>
            </w:pPr>
            <w:r w:rsidRPr="00242159">
              <w:t>Esminiai pakto elementai – sienos procedūra, solidarumo mechanizmas, antrinio judėjimo ir piktnaudžiavimų ribojimas.</w:t>
            </w:r>
          </w:p>
          <w:p w14:paraId="5A973DCC" w14:textId="77777777" w:rsidR="00870CBB" w:rsidRPr="00242159" w:rsidRDefault="00870CBB" w:rsidP="000A094E">
            <w:pPr>
              <w:pStyle w:val="Sraopastraipa"/>
              <w:numPr>
                <w:ilvl w:val="0"/>
                <w:numId w:val="5"/>
              </w:numPr>
              <w:ind w:left="0" w:firstLine="0"/>
              <w:contextualSpacing w:val="0"/>
              <w:jc w:val="both"/>
            </w:pPr>
            <w:r w:rsidRPr="00242159">
              <w:t>Tuo pačiu reikia dirbti su „lengvais“ pasiūlymais ir pasiekti ženklios pažangos:</w:t>
            </w:r>
          </w:p>
          <w:p w14:paraId="772A9133" w14:textId="77777777" w:rsidR="00870CBB" w:rsidRPr="00242159" w:rsidRDefault="00870CBB" w:rsidP="000A094E">
            <w:pPr>
              <w:pStyle w:val="Sraopastraipa"/>
              <w:numPr>
                <w:ilvl w:val="0"/>
                <w:numId w:val="6"/>
              </w:numPr>
              <w:ind w:left="0" w:firstLine="0"/>
              <w:contextualSpacing w:val="0"/>
              <w:jc w:val="both"/>
            </w:pPr>
            <w:r w:rsidRPr="00242159">
              <w:rPr>
                <w:i/>
              </w:rPr>
              <w:t>Blue card</w:t>
            </w:r>
            <w:r w:rsidRPr="00242159">
              <w:t xml:space="preserve"> ir EUAA (ES Prieglobsčio agentūros) reglamentai – užbaigti  derybas su Europos Parlamentu (EP);</w:t>
            </w:r>
          </w:p>
          <w:p w14:paraId="3711466B" w14:textId="77777777" w:rsidR="00870CBB" w:rsidRPr="00242159" w:rsidRDefault="00870CBB" w:rsidP="000A094E">
            <w:pPr>
              <w:pStyle w:val="Sraopastraipa"/>
              <w:numPr>
                <w:ilvl w:val="0"/>
                <w:numId w:val="6"/>
              </w:numPr>
              <w:ind w:left="0" w:firstLine="0"/>
              <w:contextualSpacing w:val="0"/>
              <w:jc w:val="both"/>
            </w:pPr>
            <w:r w:rsidRPr="00242159">
              <w:rPr>
                <w:i/>
              </w:rPr>
              <w:lastRenderedPageBreak/>
              <w:t>Eurodac</w:t>
            </w:r>
            <w:r w:rsidRPr="00242159">
              <w:t xml:space="preserve"> reglamentas – pasiekti Tarybos bendrą požiūrį ir pradėti derybas su EP.</w:t>
            </w:r>
          </w:p>
          <w:p w14:paraId="207B9DA3" w14:textId="4079C067" w:rsidR="00870CBB" w:rsidRDefault="00870CBB" w:rsidP="00F84503">
            <w:pPr>
              <w:pStyle w:val="Sraopastraipa"/>
              <w:numPr>
                <w:ilvl w:val="0"/>
                <w:numId w:val="7"/>
              </w:numPr>
              <w:ind w:left="0" w:firstLine="0"/>
              <w:contextualSpacing w:val="0"/>
              <w:jc w:val="both"/>
            </w:pPr>
            <w:r w:rsidRPr="00242159">
              <w:t>Nepradėti diskusijų/derybų dėl kitų pakto elementų (rekomendacijų, gairių), išskyrus dėl parengties krizėms ir jų valdymo (</w:t>
            </w:r>
            <w:r w:rsidRPr="000A094E">
              <w:rPr>
                <w:i/>
              </w:rPr>
              <w:t>Crisis Blueprint</w:t>
            </w:r>
            <w:r w:rsidRPr="00242159">
              <w:t>), nes jis susijęs su naujuoju Prieglobsčio ir migracijos valdymo reglamentu.</w:t>
            </w:r>
          </w:p>
          <w:p w14:paraId="722480F6" w14:textId="77777777" w:rsidR="00870CBB" w:rsidRPr="009D486C" w:rsidRDefault="00870CBB" w:rsidP="007F632C">
            <w:pPr>
              <w:ind w:right="3" w:firstLine="514"/>
              <w:jc w:val="both"/>
              <w:rPr>
                <w:rFonts w:ascii="Verdana" w:hAnsi="Verdana" w:cs="Arial"/>
                <w:sz w:val="17"/>
                <w:szCs w:val="17"/>
              </w:rPr>
            </w:pPr>
          </w:p>
        </w:tc>
        <w:tc>
          <w:tcPr>
            <w:tcW w:w="6750" w:type="dxa"/>
            <w:tcBorders>
              <w:top w:val="double" w:sz="4" w:space="0" w:color="auto"/>
              <w:left w:val="double" w:sz="4" w:space="0" w:color="auto"/>
              <w:bottom w:val="double" w:sz="4" w:space="0" w:color="auto"/>
              <w:right w:val="double" w:sz="4" w:space="0" w:color="auto"/>
            </w:tcBorders>
          </w:tcPr>
          <w:p w14:paraId="1376F973" w14:textId="77777777" w:rsidR="00D56450" w:rsidRPr="00D56450" w:rsidRDefault="00D56450" w:rsidP="00D56450">
            <w:pPr>
              <w:spacing w:after="120"/>
              <w:jc w:val="both"/>
            </w:pPr>
            <w:r w:rsidRPr="00D56450">
              <w:lastRenderedPageBreak/>
              <w:t>Sveikiname daugumą naujojo Migracijos ir prieglobsčio pakto elementų, tokių kaip efektyvi išorės sienų apsauga, patikros [</w:t>
            </w:r>
            <w:r w:rsidRPr="00D56450">
              <w:rPr>
                <w:i/>
                <w:iCs/>
              </w:rPr>
              <w:t>screening</w:t>
            </w:r>
            <w:r w:rsidRPr="00D56450">
              <w:t>] ir pasienio procedūros, grąžinimo mechanizmo stiprinimas, glaudesnis bendradarbiavimas su trečiosiomis šalimis ir teisėtos migracijos kelių plėtojimas.</w:t>
            </w:r>
          </w:p>
          <w:p w14:paraId="564C6886" w14:textId="77777777" w:rsidR="00D56450" w:rsidRPr="00D56450" w:rsidRDefault="00D56450" w:rsidP="00D56450">
            <w:pPr>
              <w:spacing w:after="120"/>
              <w:jc w:val="both"/>
            </w:pPr>
            <w:r w:rsidRPr="00D56450">
              <w:t>Nuosekliai palaikome ir toliau palaikysime priemones, nukreiptas į piktnaudžiavimų prieglobsčio sistema šalinimą ir neteisėtos migracijos traukos faktoriaus mažinimą.</w:t>
            </w:r>
          </w:p>
          <w:p w14:paraId="4C52BBEA" w14:textId="77777777" w:rsidR="00D56450" w:rsidRPr="00D56450" w:rsidRDefault="00D56450" w:rsidP="00D56450">
            <w:pPr>
              <w:spacing w:after="120"/>
              <w:jc w:val="both"/>
            </w:pPr>
            <w:r w:rsidRPr="00D56450">
              <w:t>Pabrėžiame, kad Lietuva nuo 2015 m. pagal galimybes dalyvauja ES lygio solidarumo priemonėse. Pasisakome už solidarumą, tačiau jis neturi būti tapatinamas su asmenų perkėlimais ES viduje [</w:t>
            </w:r>
            <w:r w:rsidRPr="00D56450">
              <w:rPr>
                <w:i/>
                <w:iCs/>
              </w:rPr>
              <w:t>relocation</w:t>
            </w:r>
            <w:r w:rsidRPr="00D56450">
              <w:t xml:space="preserve">]. </w:t>
            </w:r>
          </w:p>
          <w:p w14:paraId="0CBB080F" w14:textId="340C1F1B" w:rsidR="00D56450" w:rsidRDefault="00D56450" w:rsidP="00D56450">
            <w:pPr>
              <w:spacing w:after="120"/>
              <w:jc w:val="both"/>
            </w:pPr>
            <w:r w:rsidRPr="00D56450">
              <w:t>Laikomės nuomonės, kad asmenų perkėlimai ES viduje [</w:t>
            </w:r>
            <w:r w:rsidRPr="00D56450">
              <w:rPr>
                <w:i/>
                <w:iCs/>
              </w:rPr>
              <w:t>relocation</w:t>
            </w:r>
            <w:r w:rsidRPr="00D56450">
              <w:t xml:space="preserve">], kaip viena iš galimų solidarumo priemonių, būtų grįsti savanoriškumo principu ir taikomi tik tų asmenų atžvilgiu, kurie atitinka tarptautinės apsaugos suteikimo kriterijus ir nekelia grėsmių saugumui ir viešajai tvarkai. </w:t>
            </w:r>
          </w:p>
          <w:p w14:paraId="0B7842CD" w14:textId="77777777" w:rsidR="00D56450" w:rsidRPr="00D56450" w:rsidRDefault="00D56450" w:rsidP="00D56450">
            <w:pPr>
              <w:spacing w:after="120"/>
              <w:jc w:val="both"/>
            </w:pPr>
            <w:r w:rsidRPr="00D56450">
              <w:t xml:space="preserve">Diskutuojant apie solidarumo mechanizmo modalumus, taip pat pasisakysime už didesnę Valstybių Narių įtaką (rolę) priimant sprendimus, susijusius su šio mechanizmo aktyvavimu ir </w:t>
            </w:r>
            <w:r w:rsidRPr="00D56450">
              <w:lastRenderedPageBreak/>
              <w:t>įgyvendinimu. Manome, kad tokie sprendimai turėtų būti priimami Tarybos, Komisijai pateikus atitinkamus siūlymus.</w:t>
            </w:r>
          </w:p>
          <w:p w14:paraId="4121F65B" w14:textId="251E31A2" w:rsidR="00D56450" w:rsidRPr="00D56450" w:rsidRDefault="00D56450" w:rsidP="00D56450">
            <w:pPr>
              <w:spacing w:after="120"/>
              <w:jc w:val="both"/>
              <w:rPr>
                <w:lang w:val="en-US"/>
              </w:rPr>
            </w:pPr>
            <w:r w:rsidRPr="00D56450">
              <w:t>Mūsų vertinimu, pateikti pasiūlymai yra geras pagrindas tolimesnėms diskusijoms, esame pasirengę konstruktyviai jose dalyvauti.</w:t>
            </w:r>
          </w:p>
          <w:p w14:paraId="722480FD" w14:textId="3BD55529" w:rsidR="00C20CE9" w:rsidRPr="004845F0" w:rsidRDefault="00D56450" w:rsidP="00D56450">
            <w:pPr>
              <w:jc w:val="both"/>
              <w:rPr>
                <w:bCs/>
              </w:rPr>
            </w:pPr>
            <w:r w:rsidRPr="00D56450">
              <w:t xml:space="preserve">Dėl pirmininkaujančios šalies ambicijų pasiekti tam tikrų rezultatų dar šiais metais </w:t>
            </w:r>
            <w:r w:rsidR="00CE4C34">
              <w:t xml:space="preserve">- </w:t>
            </w:r>
            <w:r w:rsidRPr="00D56450">
              <w:t>galime pritarti.</w:t>
            </w:r>
          </w:p>
        </w:tc>
      </w:tr>
      <w:tr w:rsidR="007F632C" w:rsidRPr="00523A3E" w14:paraId="3BAD4911" w14:textId="77777777" w:rsidTr="008D2149">
        <w:trPr>
          <w:trHeight w:val="982"/>
        </w:trPr>
        <w:tc>
          <w:tcPr>
            <w:tcW w:w="2340" w:type="dxa"/>
            <w:tcBorders>
              <w:top w:val="double" w:sz="4" w:space="0" w:color="auto"/>
              <w:left w:val="double" w:sz="4" w:space="0" w:color="auto"/>
              <w:bottom w:val="double" w:sz="4" w:space="0" w:color="auto"/>
              <w:right w:val="double" w:sz="4" w:space="0" w:color="auto"/>
            </w:tcBorders>
          </w:tcPr>
          <w:p w14:paraId="096C27F7" w14:textId="77777777" w:rsidR="007F632C" w:rsidRPr="007F632C" w:rsidRDefault="007F632C" w:rsidP="007F632C">
            <w:pPr>
              <w:rPr>
                <w:rFonts w:ascii="Arial" w:hAnsi="Arial" w:cs="Arial"/>
                <w:color w:val="000000"/>
                <w:sz w:val="18"/>
                <w:szCs w:val="18"/>
              </w:rPr>
            </w:pPr>
            <w:r w:rsidRPr="007F632C">
              <w:rPr>
                <w:b/>
                <w:bCs/>
                <w:color w:val="000000"/>
              </w:rPr>
              <w:lastRenderedPageBreak/>
              <w:t>Bendradarbiavimas su trečiosiomis šalimis migracijos srityje. Šiaurės Afrika / Vakarų Balkanai</w:t>
            </w:r>
          </w:p>
          <w:p w14:paraId="1545F0BF" w14:textId="77777777" w:rsidR="007F632C" w:rsidRPr="007F632C" w:rsidRDefault="007F632C" w:rsidP="007F632C">
            <w:pPr>
              <w:rPr>
                <w:rFonts w:ascii="Arial" w:hAnsi="Arial" w:cs="Arial"/>
                <w:color w:val="000000"/>
                <w:sz w:val="18"/>
                <w:szCs w:val="18"/>
              </w:rPr>
            </w:pPr>
            <w:r w:rsidRPr="007F632C">
              <w:rPr>
                <w:i/>
                <w:iCs/>
                <w:color w:val="000000"/>
              </w:rPr>
              <w:t>- Pirmininkaujančios valstybės narės ir Komisijos pranešimas</w:t>
            </w:r>
          </w:p>
          <w:p w14:paraId="4544FF01" w14:textId="77777777" w:rsidR="007F632C" w:rsidRDefault="007F632C" w:rsidP="00D930D1">
            <w:pPr>
              <w:pStyle w:val="Betarp"/>
              <w:tabs>
                <w:tab w:val="left" w:pos="1843"/>
              </w:tabs>
              <w:rPr>
                <w:rFonts w:ascii="Times New Roman" w:hAnsi="Times New Roman"/>
                <w:b/>
                <w:sz w:val="24"/>
              </w:rPr>
            </w:pPr>
          </w:p>
        </w:tc>
        <w:tc>
          <w:tcPr>
            <w:tcW w:w="6120" w:type="dxa"/>
            <w:tcBorders>
              <w:top w:val="double" w:sz="4" w:space="0" w:color="auto"/>
              <w:left w:val="double" w:sz="4" w:space="0" w:color="auto"/>
              <w:bottom w:val="double" w:sz="4" w:space="0" w:color="auto"/>
              <w:right w:val="double" w:sz="4" w:space="0" w:color="auto"/>
            </w:tcBorders>
          </w:tcPr>
          <w:p w14:paraId="44A7A63F" w14:textId="74A015FE" w:rsidR="00D82271" w:rsidRPr="007B6922" w:rsidRDefault="007B6922" w:rsidP="00497F5F">
            <w:pPr>
              <w:spacing w:after="120"/>
              <w:jc w:val="both"/>
              <w:rPr>
                <w:bCs/>
                <w:color w:val="000000"/>
              </w:rPr>
            </w:pPr>
            <w:r w:rsidRPr="007B6922">
              <w:rPr>
                <w:bCs/>
                <w:color w:val="000000"/>
              </w:rPr>
              <w:t xml:space="preserve">Pirmininkaujanti šalis ir Europos Komisija ministrams pristatys informaciją apie bendradarbiavimo su Š. Afrikos ir Vakarų Balkanų šalimis migracijos srityje iniciatyvas. </w:t>
            </w:r>
            <w:r w:rsidRPr="007B6922">
              <w:t xml:space="preserve">Tai bus labiau informacinis darbotvarkės punktas, skirtas pasidalinti esama padėtimi </w:t>
            </w:r>
            <w:r>
              <w:t xml:space="preserve">su </w:t>
            </w:r>
            <w:r w:rsidRPr="007B6922">
              <w:t xml:space="preserve">VN ir pristatyti </w:t>
            </w:r>
            <w:r>
              <w:t xml:space="preserve">joms </w:t>
            </w:r>
            <w:r w:rsidRPr="007B6922">
              <w:t xml:space="preserve">ateities žingsnius. </w:t>
            </w:r>
          </w:p>
          <w:p w14:paraId="3BCF67E2" w14:textId="77777777" w:rsidR="00D82271" w:rsidRPr="00D82271" w:rsidRDefault="00D82271" w:rsidP="00D82271">
            <w:pPr>
              <w:jc w:val="both"/>
              <w:rPr>
                <w:color w:val="000000"/>
              </w:rPr>
            </w:pPr>
            <w:r w:rsidRPr="00D82271">
              <w:rPr>
                <w:b/>
                <w:bCs/>
                <w:color w:val="000000"/>
              </w:rPr>
              <w:t>Šiaurės Afrika</w:t>
            </w:r>
          </w:p>
          <w:p w14:paraId="55C3A56A" w14:textId="31A5C057" w:rsidR="00D82271" w:rsidRPr="00D82271" w:rsidRDefault="00D82271" w:rsidP="00497F5F">
            <w:pPr>
              <w:spacing w:after="120"/>
              <w:jc w:val="both"/>
              <w:rPr>
                <w:color w:val="000000"/>
              </w:rPr>
            </w:pPr>
            <w:r w:rsidRPr="00D82271">
              <w:rPr>
                <w:color w:val="000000"/>
              </w:rPr>
              <w:t>Iniciatyvos tikslas, laikantis „Europos komandos“ modelio tęsti ir stiprinti bendradarbiavimą kovos su neteisėtu migrantų gabenimu ir sienų valdymo srityse su Šiaurės Afrikos partneriais (Tunisu, Maroku, Alžyru, Libija ir Mauritanija). Taip siekiama papildyti jau esamas ES iniciatyvas ir paramą, įskaitant valstybių narių dvišales ir regionines iniciatyvas ir paramą, siekiant užtikrinti, kad Europos Sąjunga ir jos valstybės narės toliau koordinuotų savo pastangas, kalbėtų vienu balsu ir palaikytų Afrikos partnerius kovojant su neteisėtu migrantų gabenimu, be kita ko, sprendžiant susijusius sienų valdymo klausimus. Taip tikimasi sustiprinti valstybių narių ir ES veiklos Šiaurės Afrikos regione sinergiją.</w:t>
            </w:r>
          </w:p>
          <w:p w14:paraId="4DADBCEE" w14:textId="77777777" w:rsidR="00D82271" w:rsidRPr="00D82271" w:rsidRDefault="00D82271" w:rsidP="00D82271">
            <w:pPr>
              <w:jc w:val="both"/>
              <w:rPr>
                <w:color w:val="000000"/>
              </w:rPr>
            </w:pPr>
            <w:r w:rsidRPr="00D82271">
              <w:rPr>
                <w:b/>
                <w:bCs/>
                <w:color w:val="000000"/>
              </w:rPr>
              <w:t>Vakarų Balkanai.</w:t>
            </w:r>
          </w:p>
          <w:p w14:paraId="1D35E61B" w14:textId="77777777" w:rsidR="00D82271" w:rsidRPr="00D82271" w:rsidRDefault="00D82271" w:rsidP="00D82271">
            <w:pPr>
              <w:jc w:val="both"/>
              <w:rPr>
                <w:rFonts w:ascii="Arial" w:hAnsi="Arial" w:cs="Arial"/>
                <w:color w:val="000000"/>
                <w:sz w:val="18"/>
                <w:szCs w:val="18"/>
              </w:rPr>
            </w:pPr>
            <w:r w:rsidRPr="00D82271">
              <w:rPr>
                <w:color w:val="000000"/>
              </w:rPr>
              <w:t xml:space="preserve">Numatoma sukurti „Rytų Viduržemio jūros regiono maršruto operacinę platformą“ (OP EMR) siekiant geriau koordinuoti kovos su neteisėta migracija regione priemones. Ši platforma </w:t>
            </w:r>
            <w:r w:rsidRPr="00D82271">
              <w:rPr>
                <w:color w:val="000000"/>
              </w:rPr>
              <w:lastRenderedPageBreak/>
              <w:t>koncentruosis į geresnį priemonių koordinavimą tarp valstybių narių ir Vakarų Balkanų partnerių, siekiant užtikrinti nuosekliausią išteklių naudojimą sienų valdymo, grąžinimo ir readmisijos, migrantų kontrabandos ir prieglobsčio srityse. Ji skirta prisidėti prie visapusiškos migracijos situacijos ir susijusių problemų apžvalgos, taip pat palengvinti greitą poreikių derinimą su papildomos paramos pasiūlymais, įskaitant dalyvių tinklų kūrimą, siūlomos paramos koordinavimą ir jos įgyvendinimą. Vakarų Balkanų partneriai, suinteresuotos ES valstybės narės, „Frontex“, EASO ir Europolas, taip pat ES Komisija ir kiti atitinkami veikėjai dalyvaus apibrėžiant procesą ir būsimą platformos veiklą, vykdomą pagal koordinavimo mechanizmą.</w:t>
            </w:r>
          </w:p>
          <w:p w14:paraId="02F7A455" w14:textId="77777777" w:rsidR="007F632C" w:rsidRPr="009D486C" w:rsidRDefault="007F632C" w:rsidP="007F632C">
            <w:pPr>
              <w:ind w:right="3" w:firstLine="514"/>
              <w:jc w:val="both"/>
              <w:rPr>
                <w:rFonts w:ascii="Verdana" w:hAnsi="Verdana" w:cs="Arial"/>
                <w:sz w:val="17"/>
                <w:szCs w:val="17"/>
              </w:rPr>
            </w:pPr>
          </w:p>
        </w:tc>
        <w:tc>
          <w:tcPr>
            <w:tcW w:w="6750" w:type="dxa"/>
            <w:tcBorders>
              <w:top w:val="double" w:sz="4" w:space="0" w:color="auto"/>
              <w:left w:val="double" w:sz="4" w:space="0" w:color="auto"/>
              <w:bottom w:val="double" w:sz="4" w:space="0" w:color="auto"/>
              <w:right w:val="double" w:sz="4" w:space="0" w:color="auto"/>
            </w:tcBorders>
          </w:tcPr>
          <w:p w14:paraId="737E8355" w14:textId="28B10106" w:rsidR="00D82271" w:rsidRPr="00D82271" w:rsidRDefault="00D82271" w:rsidP="00D82271">
            <w:pPr>
              <w:spacing w:after="120"/>
              <w:jc w:val="both"/>
              <w:rPr>
                <w:color w:val="000000"/>
              </w:rPr>
            </w:pPr>
            <w:r w:rsidRPr="00D82271">
              <w:rPr>
                <w:b/>
                <w:bCs/>
                <w:color w:val="000000"/>
              </w:rPr>
              <w:lastRenderedPageBreak/>
              <w:t>Dėl Šiaurės Afrikos</w:t>
            </w:r>
          </w:p>
          <w:p w14:paraId="6434BA3F" w14:textId="77777777" w:rsidR="00D82271" w:rsidRDefault="00D82271" w:rsidP="00D82271">
            <w:pPr>
              <w:spacing w:after="120"/>
              <w:jc w:val="both"/>
              <w:rPr>
                <w:color w:val="000000"/>
              </w:rPr>
            </w:pPr>
            <w:r w:rsidRPr="00D82271">
              <w:rPr>
                <w:color w:val="000000"/>
              </w:rPr>
              <w:t>Suprantame bendradarbiavimo su Šiaurės Afrikos partneriais šiose srityse svarbą, todėl palaikome pirmininkaujančios valstybės požiūrį ir siūlomą tolesnį kelią.</w:t>
            </w:r>
          </w:p>
          <w:p w14:paraId="032ABC87" w14:textId="77777777" w:rsidR="00D82271" w:rsidRDefault="00D82271" w:rsidP="00D82271">
            <w:pPr>
              <w:spacing w:after="120"/>
              <w:jc w:val="both"/>
              <w:rPr>
                <w:color w:val="000000"/>
              </w:rPr>
            </w:pPr>
            <w:r w:rsidRPr="00D82271">
              <w:rPr>
                <w:color w:val="000000"/>
              </w:rPr>
              <w:t>Šiuo metu bei per pastaraisiais metais neturėjome dvišalio bendradarbiavimo vidaus reikalų srityje patirties nė su viena iš 5 nagrinėjamų Afrikos šalių, tačiau esame pasirengę apsvarstyti galimybę ateityje prisidėti prie ES iniciatyvų.</w:t>
            </w:r>
          </w:p>
          <w:p w14:paraId="2C34ECD3" w14:textId="77777777" w:rsidR="00D82271" w:rsidRDefault="00D82271" w:rsidP="00D82271">
            <w:pPr>
              <w:spacing w:after="120"/>
              <w:jc w:val="both"/>
              <w:rPr>
                <w:color w:val="000000"/>
              </w:rPr>
            </w:pPr>
            <w:r w:rsidRPr="00D82271">
              <w:rPr>
                <w:color w:val="000000"/>
              </w:rPr>
              <w:t>Pažymėtina, kad veiksmingas sienų valdymas ir kova su migrantų kontrabanda yra išties labai svarbūs bendro migracijos valdymo visuose migracijos keliuose elementai.</w:t>
            </w:r>
          </w:p>
          <w:p w14:paraId="15F9AD2C" w14:textId="2E85F4F6" w:rsidR="00D82271" w:rsidRDefault="00D82271" w:rsidP="00D82271">
            <w:pPr>
              <w:spacing w:after="120"/>
              <w:jc w:val="both"/>
              <w:rPr>
                <w:color w:val="000000"/>
              </w:rPr>
            </w:pPr>
            <w:r w:rsidRPr="00D82271">
              <w:rPr>
                <w:color w:val="000000"/>
              </w:rPr>
              <w:t>Šiuo atžvilgiu turėtume išlikti budrūs ir sutelkti dėmesį į visus regionus, kuriuose egzistuoja arba gali kilti neproporcingo migracijos spaudimo grėsmė.</w:t>
            </w:r>
          </w:p>
          <w:p w14:paraId="77693002" w14:textId="77777777" w:rsidR="00D82271" w:rsidRPr="00D82271" w:rsidRDefault="00D82271" w:rsidP="00D82271">
            <w:pPr>
              <w:spacing w:after="120"/>
              <w:jc w:val="both"/>
              <w:rPr>
                <w:color w:val="000000"/>
              </w:rPr>
            </w:pPr>
            <w:r w:rsidRPr="00D82271">
              <w:rPr>
                <w:b/>
                <w:bCs/>
                <w:color w:val="000000"/>
              </w:rPr>
              <w:t>Dėl Vakarų Balkanų</w:t>
            </w:r>
          </w:p>
          <w:p w14:paraId="23A41901" w14:textId="77777777" w:rsidR="00D82271" w:rsidRPr="00D82271" w:rsidRDefault="00D82271" w:rsidP="00D82271">
            <w:pPr>
              <w:spacing w:after="120"/>
              <w:jc w:val="both"/>
              <w:rPr>
                <w:color w:val="000000"/>
              </w:rPr>
            </w:pPr>
            <w:r w:rsidRPr="00D82271">
              <w:rPr>
                <w:color w:val="000000"/>
              </w:rPr>
              <w:t>Remiame ES pastangas rasti migracijos Viduržemio jūros rytiniu keliu valdymo sprendimus.</w:t>
            </w:r>
          </w:p>
          <w:p w14:paraId="695FFEF2" w14:textId="53B0682B" w:rsidR="00D82271" w:rsidRPr="00D82271" w:rsidRDefault="00D82271" w:rsidP="00D82271">
            <w:pPr>
              <w:spacing w:after="120"/>
              <w:jc w:val="both"/>
              <w:rPr>
                <w:color w:val="000000"/>
              </w:rPr>
            </w:pPr>
            <w:r w:rsidRPr="00D82271">
              <w:rPr>
                <w:color w:val="000000"/>
              </w:rPr>
              <w:t xml:space="preserve">Palaikome dėmesį geresniam priemonių koordinavimui, grįstam poreikių vertinimu ir spragų analize, siekiant suteikti </w:t>
            </w:r>
            <w:r w:rsidRPr="00D82271">
              <w:rPr>
                <w:color w:val="000000"/>
              </w:rPr>
              <w:lastRenderedPageBreak/>
              <w:t>reikiamą paramą Vakarų Balkanų šalims, patiriančioms migracijos spaudimą.</w:t>
            </w:r>
          </w:p>
          <w:p w14:paraId="22C483F9" w14:textId="3199254B" w:rsidR="00D82271" w:rsidRPr="00D82271" w:rsidRDefault="00D82271" w:rsidP="00D82271">
            <w:pPr>
              <w:spacing w:after="120"/>
              <w:jc w:val="both"/>
              <w:rPr>
                <w:color w:val="000000"/>
              </w:rPr>
            </w:pPr>
            <w:r w:rsidRPr="00D82271">
              <w:rPr>
                <w:color w:val="000000"/>
              </w:rPr>
              <w:t>Šiuo atžvilgiu svarbu visapusiškai pasinaudoti ES agentūrų, ypač „Frontex“, įgaliojimais.</w:t>
            </w:r>
          </w:p>
          <w:p w14:paraId="6807BD2C" w14:textId="5B3888C2" w:rsidR="00D82271" w:rsidRPr="00D82271" w:rsidRDefault="00D82271" w:rsidP="00D82271">
            <w:pPr>
              <w:spacing w:after="120"/>
              <w:jc w:val="both"/>
              <w:rPr>
                <w:color w:val="000000"/>
              </w:rPr>
            </w:pPr>
            <w:r w:rsidRPr="00D82271">
              <w:rPr>
                <w:color w:val="000000"/>
              </w:rPr>
              <w:t>Svarbi parama Balkanų partneriams gali būti suteikta per „Frontex“ operacijas. Lietuvos pasieniečių pareigūnai reguliariai dalyvauja įvairiose operacijose, taip pat ir Vakarų Balkanuose, ir tai tęsis ateityje.</w:t>
            </w:r>
          </w:p>
          <w:p w14:paraId="7167F19F" w14:textId="22E36481" w:rsidR="007F632C" w:rsidRPr="00D82271" w:rsidRDefault="00D82271" w:rsidP="00D82271">
            <w:pPr>
              <w:spacing w:after="120"/>
              <w:jc w:val="both"/>
              <w:rPr>
                <w:rFonts w:ascii="Arial" w:hAnsi="Arial" w:cs="Arial"/>
                <w:color w:val="000000"/>
                <w:sz w:val="18"/>
                <w:szCs w:val="18"/>
              </w:rPr>
            </w:pPr>
            <w:r w:rsidRPr="00D82271">
              <w:rPr>
                <w:color w:val="000000"/>
              </w:rPr>
              <w:t>Statuso susitarimai vaidina svarbų vaidmenį, todėl derybų su Bosnija ir Hercegovina dėl statuso susitarimo užbaigimas būtų didelis laimėjimas ir tvirtas pagrindas tolesnėms paramos priemonėms sienų apsaugos ir kovos su tarpvalstybiniu nusikalstamumu srityje, prisidėtų prie tvirtesnės partnerystės kūrimo.</w:t>
            </w:r>
          </w:p>
        </w:tc>
      </w:tr>
      <w:tr w:rsidR="007F632C" w:rsidRPr="00523A3E" w14:paraId="4B883E05" w14:textId="77777777" w:rsidTr="008D2149">
        <w:trPr>
          <w:trHeight w:val="982"/>
        </w:trPr>
        <w:tc>
          <w:tcPr>
            <w:tcW w:w="2340" w:type="dxa"/>
            <w:tcBorders>
              <w:top w:val="double" w:sz="4" w:space="0" w:color="auto"/>
              <w:left w:val="double" w:sz="4" w:space="0" w:color="auto"/>
              <w:bottom w:val="double" w:sz="4" w:space="0" w:color="auto"/>
              <w:right w:val="double" w:sz="4" w:space="0" w:color="auto"/>
            </w:tcBorders>
          </w:tcPr>
          <w:p w14:paraId="096B3579" w14:textId="77777777" w:rsidR="00D82271" w:rsidRPr="00D82271" w:rsidRDefault="00D82271" w:rsidP="00D82271">
            <w:pPr>
              <w:ind w:left="28" w:right="544"/>
              <w:rPr>
                <w:rFonts w:ascii="Arial" w:hAnsi="Arial" w:cs="Arial"/>
                <w:color w:val="000000"/>
                <w:sz w:val="18"/>
                <w:szCs w:val="18"/>
              </w:rPr>
            </w:pPr>
            <w:r w:rsidRPr="00D82271">
              <w:rPr>
                <w:b/>
                <w:bCs/>
                <w:color w:val="000000"/>
              </w:rPr>
              <w:lastRenderedPageBreak/>
              <w:t>Europos policijos partnerystė. Tolesni strateginiai veiksmai</w:t>
            </w:r>
          </w:p>
          <w:p w14:paraId="12A81019" w14:textId="1E875A25" w:rsidR="007F632C" w:rsidRPr="00D82271" w:rsidRDefault="00D82271" w:rsidP="00D82271">
            <w:pPr>
              <w:rPr>
                <w:rFonts w:ascii="Arial" w:hAnsi="Arial" w:cs="Arial"/>
                <w:color w:val="000000"/>
                <w:sz w:val="18"/>
                <w:szCs w:val="18"/>
              </w:rPr>
            </w:pPr>
            <w:r w:rsidRPr="00D82271">
              <w:rPr>
                <w:i/>
                <w:iCs/>
                <w:color w:val="000000"/>
              </w:rPr>
              <w:t>- Pasikeitimas nuomonėmis</w:t>
            </w:r>
          </w:p>
        </w:tc>
        <w:tc>
          <w:tcPr>
            <w:tcW w:w="6120" w:type="dxa"/>
            <w:tcBorders>
              <w:top w:val="double" w:sz="4" w:space="0" w:color="auto"/>
              <w:left w:val="double" w:sz="4" w:space="0" w:color="auto"/>
              <w:bottom w:val="double" w:sz="4" w:space="0" w:color="auto"/>
              <w:right w:val="double" w:sz="4" w:space="0" w:color="auto"/>
            </w:tcBorders>
          </w:tcPr>
          <w:p w14:paraId="50B72EE3" w14:textId="77777777" w:rsidR="00EF72C9" w:rsidRDefault="00EF72C9" w:rsidP="001D3FE2">
            <w:pPr>
              <w:spacing w:after="120"/>
              <w:jc w:val="both"/>
              <w:rPr>
                <w:color w:val="000000"/>
              </w:rPr>
            </w:pPr>
            <w:r w:rsidRPr="00EF72C9">
              <w:rPr>
                <w:color w:val="000000"/>
              </w:rPr>
              <w:t xml:space="preserve">Europos Policijos partnerystės iniciatyva yra vienas iš ES Tarybai pirmininkaujančios DE prioritetų TVR srityje. </w:t>
            </w:r>
          </w:p>
          <w:p w14:paraId="1C06CE6A" w14:textId="03F31AF6" w:rsidR="00EF72C9" w:rsidRDefault="00EF72C9" w:rsidP="001D3FE2">
            <w:pPr>
              <w:spacing w:after="120"/>
              <w:jc w:val="both"/>
              <w:rPr>
                <w:color w:val="000000"/>
              </w:rPr>
            </w:pPr>
            <w:r w:rsidRPr="00EF72C9">
              <w:rPr>
                <w:color w:val="000000"/>
              </w:rPr>
              <w:t xml:space="preserve">Šia iniciatyva siekiama toliau stiprinti ES teisėsaugos bendradarbiavimą. Norima užtikrinti, kad policijos pareigūnai visada galėtų operatyviai pasiekti jiems reikiamą informaciją, kuria disponuoja kitos VN teisėsaugos institucijos. </w:t>
            </w:r>
            <w:r>
              <w:rPr>
                <w:color w:val="000000"/>
              </w:rPr>
              <w:t>Todėl siekiama</w:t>
            </w:r>
            <w:r w:rsidRPr="00EF72C9">
              <w:rPr>
                <w:color w:val="000000"/>
              </w:rPr>
              <w:t xml:space="preserve"> optimizuoti esamus tarptautinio policijos bendradarbiavimo įrankius ir kanalus, gerinti keitimąsi informacija tarp VN ir TVR agentūrų, stiprinti TVR agentūrų veiklą, skiriant joms pakankamus finansinius resursus, reikalingus efektyviai vykdyti joms keliamas užduotis ir funkcijas.</w:t>
            </w:r>
            <w:r>
              <w:rPr>
                <w:color w:val="000000"/>
              </w:rPr>
              <w:t xml:space="preserve"> Kartu būtina stiprinti turim</w:t>
            </w:r>
            <w:r w:rsidR="00BD7772">
              <w:rPr>
                <w:color w:val="000000"/>
              </w:rPr>
              <w:t>o</w:t>
            </w:r>
            <w:r>
              <w:rPr>
                <w:color w:val="000000"/>
              </w:rPr>
              <w:t xml:space="preserve"> </w:t>
            </w:r>
            <w:r w:rsidR="00BD7772">
              <w:rPr>
                <w:color w:val="000000"/>
              </w:rPr>
              <w:t xml:space="preserve">didelio </w:t>
            </w:r>
            <w:r>
              <w:rPr>
                <w:color w:val="000000"/>
              </w:rPr>
              <w:t>duomenų</w:t>
            </w:r>
            <w:r w:rsidR="00BD7772">
              <w:rPr>
                <w:color w:val="000000"/>
              </w:rPr>
              <w:t xml:space="preserve"> kiekio</w:t>
            </w:r>
            <w:r>
              <w:rPr>
                <w:color w:val="000000"/>
              </w:rPr>
              <w:t xml:space="preserve"> analizės</w:t>
            </w:r>
            <w:r w:rsidR="00BD7772">
              <w:rPr>
                <w:color w:val="000000"/>
              </w:rPr>
              <w:t xml:space="preserve"> pajėgumus, tam pasitelkiant naujausias technologijas, visų pirma, dirbtinį intelektą.</w:t>
            </w:r>
            <w:r w:rsidRPr="00EF72C9">
              <w:rPr>
                <w:color w:val="000000"/>
              </w:rPr>
              <w:t xml:space="preserve"> Taip pat akcentuojama bendradarbiavimo su trečiosiomis šalimis </w:t>
            </w:r>
            <w:r w:rsidRPr="00EF72C9">
              <w:rPr>
                <w:color w:val="000000"/>
              </w:rPr>
              <w:lastRenderedPageBreak/>
              <w:t>svarba.  Europos policijos pajėgoms turi būti sudarytos galimybės intensyviau bendradarbiauti su trečiosiomis šalimis. Reikia veiksmingų priemonių ir procesų, tokių kaip bendros informacinės sistemos, kad būtų galima realiuoju laiku dalytis informacija su patikimomis trečiosiomis šalimis.</w:t>
            </w:r>
          </w:p>
          <w:p w14:paraId="58CF482F" w14:textId="205E1235" w:rsidR="001D3FE2" w:rsidRPr="005B19DA" w:rsidRDefault="001D3FE2" w:rsidP="001D3FE2">
            <w:pPr>
              <w:spacing w:after="120"/>
              <w:jc w:val="both"/>
              <w:rPr>
                <w:b/>
                <w:color w:val="000000"/>
                <w:u w:val="single"/>
              </w:rPr>
            </w:pPr>
            <w:r w:rsidRPr="001D3FE2">
              <w:rPr>
                <w:color w:val="000000"/>
              </w:rPr>
              <w:t>Diskusiniame d</w:t>
            </w:r>
            <w:r w:rsidRPr="00421404">
              <w:rPr>
                <w:color w:val="000000"/>
              </w:rPr>
              <w:t xml:space="preserve">okumente </w:t>
            </w:r>
            <w:r w:rsidR="00533ACF">
              <w:rPr>
                <w:color w:val="000000"/>
              </w:rPr>
              <w:t>išskiri</w:t>
            </w:r>
            <w:r w:rsidR="00336C63">
              <w:rPr>
                <w:color w:val="000000"/>
              </w:rPr>
              <w:t>a</w:t>
            </w:r>
            <w:r w:rsidR="00533ACF">
              <w:rPr>
                <w:color w:val="000000"/>
              </w:rPr>
              <w:t>mi</w:t>
            </w:r>
            <w:r w:rsidRPr="00421404">
              <w:rPr>
                <w:color w:val="000000"/>
              </w:rPr>
              <w:t xml:space="preserve"> </w:t>
            </w:r>
            <w:r w:rsidR="005B19DA">
              <w:rPr>
                <w:color w:val="000000"/>
              </w:rPr>
              <w:t xml:space="preserve">tokie </w:t>
            </w:r>
            <w:r w:rsidRPr="00421404">
              <w:rPr>
                <w:b/>
                <w:color w:val="000000"/>
                <w:u w:val="single"/>
              </w:rPr>
              <w:t xml:space="preserve">trys kertiniai </w:t>
            </w:r>
            <w:r w:rsidRPr="005B19DA">
              <w:rPr>
                <w:b/>
                <w:color w:val="000000"/>
                <w:u w:val="single"/>
              </w:rPr>
              <w:t xml:space="preserve">Europos </w:t>
            </w:r>
            <w:r w:rsidR="00533ACF" w:rsidRPr="005B19DA">
              <w:rPr>
                <w:b/>
                <w:color w:val="000000"/>
                <w:u w:val="single"/>
              </w:rPr>
              <w:t>p</w:t>
            </w:r>
            <w:r w:rsidRPr="005B19DA">
              <w:rPr>
                <w:b/>
                <w:color w:val="000000"/>
                <w:u w:val="single"/>
              </w:rPr>
              <w:t xml:space="preserve">olicijos </w:t>
            </w:r>
            <w:r w:rsidR="00533ACF" w:rsidRPr="005B19DA">
              <w:rPr>
                <w:b/>
                <w:color w:val="000000"/>
                <w:u w:val="single"/>
              </w:rPr>
              <w:t>p</w:t>
            </w:r>
            <w:r w:rsidRPr="005B19DA">
              <w:rPr>
                <w:b/>
                <w:color w:val="000000"/>
                <w:u w:val="single"/>
              </w:rPr>
              <w:t xml:space="preserve">artnerystės iniciatyvos </w:t>
            </w:r>
            <w:r w:rsidRPr="00421404">
              <w:rPr>
                <w:b/>
                <w:color w:val="000000"/>
                <w:u w:val="single"/>
              </w:rPr>
              <w:t>tikslai:</w:t>
            </w:r>
          </w:p>
          <w:p w14:paraId="23110FC3" w14:textId="7C41494F" w:rsidR="001D3FE2" w:rsidRPr="00533ACF" w:rsidRDefault="00533ACF" w:rsidP="00533ACF">
            <w:pPr>
              <w:pStyle w:val="Sraopastraipa"/>
              <w:numPr>
                <w:ilvl w:val="0"/>
                <w:numId w:val="4"/>
              </w:numPr>
              <w:spacing w:after="40"/>
              <w:jc w:val="both"/>
              <w:rPr>
                <w:color w:val="000000"/>
              </w:rPr>
            </w:pPr>
            <w:r>
              <w:rPr>
                <w:color w:val="000000"/>
              </w:rPr>
              <w:t>D</w:t>
            </w:r>
            <w:r w:rsidR="001D3FE2" w:rsidRPr="00533ACF">
              <w:rPr>
                <w:color w:val="000000"/>
              </w:rPr>
              <w:t>irbtinio intelekto panaudojimas siekiant geriau išnaudoti turimą informaciją;</w:t>
            </w:r>
          </w:p>
          <w:p w14:paraId="609679C3" w14:textId="261293D4" w:rsidR="001D3FE2" w:rsidRPr="00533ACF" w:rsidRDefault="001D3FE2" w:rsidP="00533ACF">
            <w:pPr>
              <w:pStyle w:val="Sraopastraipa"/>
              <w:numPr>
                <w:ilvl w:val="0"/>
                <w:numId w:val="4"/>
              </w:numPr>
              <w:spacing w:after="40"/>
              <w:jc w:val="both"/>
              <w:rPr>
                <w:color w:val="000000"/>
              </w:rPr>
            </w:pPr>
            <w:r w:rsidRPr="00533ACF">
              <w:rPr>
                <w:color w:val="000000"/>
              </w:rPr>
              <w:t>Policijos partnerystės stiprinimas ES viduje;</w:t>
            </w:r>
          </w:p>
          <w:p w14:paraId="7C060B55" w14:textId="3B50EC47" w:rsidR="00421404" w:rsidRPr="00EF72C9" w:rsidRDefault="001D3FE2" w:rsidP="00EF72C9">
            <w:pPr>
              <w:pStyle w:val="Sraopastraipa"/>
              <w:numPr>
                <w:ilvl w:val="0"/>
                <w:numId w:val="4"/>
              </w:numPr>
              <w:spacing w:after="40"/>
              <w:jc w:val="both"/>
              <w:rPr>
                <w:color w:val="000000"/>
              </w:rPr>
            </w:pPr>
            <w:r w:rsidRPr="00533ACF">
              <w:rPr>
                <w:color w:val="000000"/>
              </w:rPr>
              <w:t>Europos, kaip aktyvaus policijos bendradarbiavimo partnerio pasauliniu lygiu, įtvirtinimas.</w:t>
            </w:r>
          </w:p>
          <w:p w14:paraId="0EEDC0E1" w14:textId="77777777" w:rsidR="00533ACF" w:rsidRPr="00533ACF" w:rsidRDefault="00533ACF" w:rsidP="00533ACF">
            <w:pPr>
              <w:spacing w:before="100" w:beforeAutospacing="1" w:after="100" w:afterAutospacing="1"/>
              <w:rPr>
                <w:b/>
                <w:color w:val="000000"/>
                <w:u w:val="single"/>
              </w:rPr>
            </w:pPr>
            <w:r w:rsidRPr="00533ACF">
              <w:rPr>
                <w:b/>
                <w:color w:val="000000"/>
                <w:u w:val="single"/>
              </w:rPr>
              <w:t>Ministrų diskusijai keliami tokie klausimai:</w:t>
            </w:r>
          </w:p>
          <w:p w14:paraId="520D3B19" w14:textId="6F318EB5" w:rsidR="00533ACF" w:rsidRPr="00533ACF" w:rsidRDefault="00533ACF" w:rsidP="009E448B">
            <w:pPr>
              <w:spacing w:after="120"/>
              <w:jc w:val="both"/>
              <w:rPr>
                <w:i/>
                <w:color w:val="000000"/>
              </w:rPr>
            </w:pPr>
            <w:r w:rsidRPr="00533ACF">
              <w:rPr>
                <w:i/>
                <w:color w:val="000000"/>
              </w:rPr>
              <w:t>1. Ar sutinkate, kad trys iškelti tikslai yra kertiniai akmenys siekiant s</w:t>
            </w:r>
            <w:r w:rsidR="00336C63">
              <w:rPr>
                <w:i/>
                <w:color w:val="000000"/>
              </w:rPr>
              <w:t>a</w:t>
            </w:r>
            <w:r w:rsidRPr="00533ACF">
              <w:rPr>
                <w:i/>
                <w:color w:val="000000"/>
              </w:rPr>
              <w:t>ugios Europos?</w:t>
            </w:r>
          </w:p>
          <w:p w14:paraId="547E5477" w14:textId="5B3CA4F2" w:rsidR="00533ACF" w:rsidRPr="00533ACF" w:rsidRDefault="00533ACF" w:rsidP="009E448B">
            <w:pPr>
              <w:spacing w:after="120"/>
              <w:jc w:val="both"/>
              <w:rPr>
                <w:i/>
                <w:color w:val="000000"/>
              </w:rPr>
            </w:pPr>
            <w:r w:rsidRPr="00533ACF">
              <w:rPr>
                <w:i/>
                <w:color w:val="000000"/>
              </w:rPr>
              <w:t>2. Ar sutinkate, kad turėtume paskirti atsakingus Tarybos organus toliau dirbti ties šiomis priemonėmis ir informuoti mus apie esamą padėtį š.</w:t>
            </w:r>
            <w:r w:rsidR="00336C63">
              <w:rPr>
                <w:i/>
                <w:color w:val="000000"/>
              </w:rPr>
              <w:t xml:space="preserve"> </w:t>
            </w:r>
            <w:r w:rsidRPr="00533ACF">
              <w:rPr>
                <w:i/>
                <w:color w:val="000000"/>
              </w:rPr>
              <w:t>m. gruodžio mėn. taryboje, siekiant patvirtinti Tarybos išvadas?</w:t>
            </w:r>
          </w:p>
        </w:tc>
        <w:tc>
          <w:tcPr>
            <w:tcW w:w="6750" w:type="dxa"/>
            <w:tcBorders>
              <w:top w:val="double" w:sz="4" w:space="0" w:color="auto"/>
              <w:left w:val="double" w:sz="4" w:space="0" w:color="auto"/>
              <w:bottom w:val="double" w:sz="4" w:space="0" w:color="auto"/>
              <w:right w:val="double" w:sz="4" w:space="0" w:color="auto"/>
            </w:tcBorders>
          </w:tcPr>
          <w:p w14:paraId="45B7A9E2" w14:textId="53ED2FA1" w:rsidR="00197F94" w:rsidRDefault="009E448B" w:rsidP="00B3170A">
            <w:pPr>
              <w:spacing w:after="120"/>
              <w:jc w:val="both"/>
              <w:rPr>
                <w:bCs/>
              </w:rPr>
            </w:pPr>
            <w:r>
              <w:rPr>
                <w:bCs/>
              </w:rPr>
              <w:lastRenderedPageBreak/>
              <w:t xml:space="preserve">Pritariame </w:t>
            </w:r>
            <w:r w:rsidR="00197F94">
              <w:rPr>
                <w:bCs/>
              </w:rPr>
              <w:t xml:space="preserve">trims </w:t>
            </w:r>
            <w:r>
              <w:rPr>
                <w:bCs/>
              </w:rPr>
              <w:t xml:space="preserve">Europos policijos partnerystės iniciatyvos rėmuose </w:t>
            </w:r>
            <w:r w:rsidR="00C52F57">
              <w:rPr>
                <w:bCs/>
              </w:rPr>
              <w:t>keliamiems</w:t>
            </w:r>
            <w:r>
              <w:rPr>
                <w:bCs/>
              </w:rPr>
              <w:t xml:space="preserve"> tikslams ir sutinkame atsakingiems Tarybos parengiamiesiems org</w:t>
            </w:r>
            <w:r w:rsidR="0033297E">
              <w:rPr>
                <w:bCs/>
              </w:rPr>
              <w:t>a</w:t>
            </w:r>
            <w:r>
              <w:rPr>
                <w:bCs/>
              </w:rPr>
              <w:t xml:space="preserve">nams pavesti </w:t>
            </w:r>
            <w:r w:rsidR="00197F94">
              <w:rPr>
                <w:bCs/>
              </w:rPr>
              <w:t>toliau dirbti su šiais klausimais, siekiant parengti ir</w:t>
            </w:r>
            <w:r>
              <w:rPr>
                <w:bCs/>
              </w:rPr>
              <w:t xml:space="preserve"> gruodžio mėn. patvirtinti</w:t>
            </w:r>
            <w:r w:rsidR="00197F94">
              <w:rPr>
                <w:bCs/>
              </w:rPr>
              <w:t xml:space="preserve"> Tarybos</w:t>
            </w:r>
            <w:r>
              <w:rPr>
                <w:bCs/>
              </w:rPr>
              <w:t xml:space="preserve"> išvadas.</w:t>
            </w:r>
          </w:p>
          <w:p w14:paraId="47AACECC" w14:textId="7C52299D" w:rsidR="00C52F57" w:rsidRPr="00B3170A" w:rsidRDefault="00C52F57" w:rsidP="00B3170A">
            <w:pPr>
              <w:spacing w:after="120"/>
              <w:jc w:val="both"/>
              <w:rPr>
                <w:color w:val="000000"/>
              </w:rPr>
            </w:pPr>
            <w:r w:rsidRPr="004B218B">
              <w:rPr>
                <w:bCs/>
              </w:rPr>
              <w:t>Dėl pirmojo tikslo manome, kad jis galėtų būti kiek ambicingesnis, orientuotas į</w:t>
            </w:r>
            <w:r w:rsidRPr="004B218B">
              <w:rPr>
                <w:color w:val="000000"/>
              </w:rPr>
              <w:t xml:space="preserve"> </w:t>
            </w:r>
            <w:r w:rsidRPr="00421404">
              <w:rPr>
                <w:color w:val="000000"/>
              </w:rPr>
              <w:t>teisėsaugos institucijų skaitmenizavim</w:t>
            </w:r>
            <w:r w:rsidRPr="004B218B">
              <w:rPr>
                <w:color w:val="000000"/>
              </w:rPr>
              <w:t>ą</w:t>
            </w:r>
            <w:r w:rsidRPr="00421404">
              <w:rPr>
                <w:color w:val="000000"/>
              </w:rPr>
              <w:t xml:space="preserve"> ir naujųjų technologijų </w:t>
            </w:r>
            <w:r w:rsidRPr="004B218B">
              <w:rPr>
                <w:color w:val="000000"/>
              </w:rPr>
              <w:t xml:space="preserve">išnaudojimą jų veikloje plačiąja prasme, nes  dirbtinis intelektas yra tik vienas instrumentas iš </w:t>
            </w:r>
            <w:r w:rsidR="004B218B">
              <w:rPr>
                <w:color w:val="000000"/>
              </w:rPr>
              <w:t>modernių</w:t>
            </w:r>
            <w:r w:rsidRPr="004B218B">
              <w:rPr>
                <w:color w:val="000000"/>
              </w:rPr>
              <w:t xml:space="preserve"> technologijų</w:t>
            </w:r>
            <w:r w:rsidR="004B218B" w:rsidRPr="004B218B">
              <w:rPr>
                <w:color w:val="000000"/>
              </w:rPr>
              <w:t xml:space="preserve"> atveriam</w:t>
            </w:r>
            <w:r w:rsidR="004B218B">
              <w:rPr>
                <w:color w:val="000000"/>
              </w:rPr>
              <w:t>o</w:t>
            </w:r>
            <w:r w:rsidRPr="004B218B">
              <w:rPr>
                <w:color w:val="000000"/>
              </w:rPr>
              <w:t xml:space="preserve"> priemonių spektro.</w:t>
            </w:r>
          </w:p>
          <w:p w14:paraId="76A0EC58" w14:textId="4D490C0E" w:rsidR="004B218B" w:rsidRDefault="004B218B" w:rsidP="00B3170A">
            <w:pPr>
              <w:spacing w:after="120"/>
              <w:jc w:val="both"/>
              <w:rPr>
                <w:bCs/>
              </w:rPr>
            </w:pPr>
            <w:r w:rsidRPr="004B218B">
              <w:rPr>
                <w:bCs/>
              </w:rPr>
              <w:t>Atsižvelgdami į naujausi</w:t>
            </w:r>
            <w:r>
              <w:rPr>
                <w:bCs/>
              </w:rPr>
              <w:t>ą</w:t>
            </w:r>
            <w:r w:rsidRPr="004B218B">
              <w:rPr>
                <w:bCs/>
              </w:rPr>
              <w:t xml:space="preserve"> </w:t>
            </w:r>
            <w:r>
              <w:rPr>
                <w:bCs/>
              </w:rPr>
              <w:t>pažangą</w:t>
            </w:r>
            <w:r w:rsidRPr="004B218B">
              <w:rPr>
                <w:bCs/>
              </w:rPr>
              <w:t xml:space="preserve"> dirbtinio intelekto </w:t>
            </w:r>
            <w:r>
              <w:rPr>
                <w:bCs/>
              </w:rPr>
              <w:t>srityje</w:t>
            </w:r>
            <w:r w:rsidRPr="004B218B">
              <w:rPr>
                <w:bCs/>
              </w:rPr>
              <w:t xml:space="preserve">, </w:t>
            </w:r>
            <w:r>
              <w:rPr>
                <w:bCs/>
              </w:rPr>
              <w:t>palaikome siekį</w:t>
            </w:r>
            <w:r w:rsidRPr="004B218B">
              <w:rPr>
                <w:bCs/>
              </w:rPr>
              <w:t xml:space="preserve">, kad dirbtinis intelektas </w:t>
            </w:r>
            <w:r>
              <w:rPr>
                <w:bCs/>
              </w:rPr>
              <w:t>taptų</w:t>
            </w:r>
            <w:r w:rsidRPr="004B218B">
              <w:rPr>
                <w:bCs/>
              </w:rPr>
              <w:t xml:space="preserve"> prieinama kasdienio policijos darbo priemon</w:t>
            </w:r>
            <w:r>
              <w:rPr>
                <w:bCs/>
              </w:rPr>
              <w:t>e</w:t>
            </w:r>
            <w:r w:rsidRPr="004B218B">
              <w:rPr>
                <w:bCs/>
              </w:rPr>
              <w:t xml:space="preserve">, </w:t>
            </w:r>
            <w:r>
              <w:rPr>
                <w:bCs/>
              </w:rPr>
              <w:t>kartu</w:t>
            </w:r>
            <w:r w:rsidRPr="004B218B">
              <w:rPr>
                <w:bCs/>
              </w:rPr>
              <w:t xml:space="preserve"> pripažįstant ir kruopščiai sprendžiant iššūkius</w:t>
            </w:r>
            <w:r>
              <w:rPr>
                <w:bCs/>
              </w:rPr>
              <w:t xml:space="preserve"> susijusius su pagrindinių teisių ir duomenų apsaugos klausimais</w:t>
            </w:r>
            <w:r w:rsidRPr="004B218B">
              <w:rPr>
                <w:bCs/>
              </w:rPr>
              <w:t>. Manome, kad bendr</w:t>
            </w:r>
            <w:r>
              <w:rPr>
                <w:bCs/>
              </w:rPr>
              <w:t>o</w:t>
            </w:r>
            <w:r w:rsidRPr="004B218B">
              <w:rPr>
                <w:bCs/>
              </w:rPr>
              <w:t xml:space="preserve"> ES požiūri</w:t>
            </w:r>
            <w:r>
              <w:rPr>
                <w:bCs/>
              </w:rPr>
              <w:t>o</w:t>
            </w:r>
            <w:r w:rsidRPr="004B218B">
              <w:rPr>
                <w:bCs/>
              </w:rPr>
              <w:t xml:space="preserve"> ir </w:t>
            </w:r>
            <w:r>
              <w:rPr>
                <w:bCs/>
              </w:rPr>
              <w:t>bendros teisinės bazės vystymas</w:t>
            </w:r>
            <w:r w:rsidRPr="004B218B">
              <w:rPr>
                <w:bCs/>
              </w:rPr>
              <w:t xml:space="preserve"> yra </w:t>
            </w:r>
            <w:r>
              <w:rPr>
                <w:bCs/>
              </w:rPr>
              <w:t>svarbiausi tolesni</w:t>
            </w:r>
            <w:r w:rsidRPr="004B218B">
              <w:rPr>
                <w:bCs/>
              </w:rPr>
              <w:t xml:space="preserve"> žingsniai šioje srityje. </w:t>
            </w:r>
            <w:r>
              <w:rPr>
                <w:bCs/>
              </w:rPr>
              <w:t>T</w:t>
            </w:r>
            <w:r w:rsidRPr="004B218B">
              <w:rPr>
                <w:bCs/>
              </w:rPr>
              <w:t xml:space="preserve">aip pat </w:t>
            </w:r>
            <w:r>
              <w:rPr>
                <w:bCs/>
              </w:rPr>
              <w:lastRenderedPageBreak/>
              <w:t>palaikome informacijos</w:t>
            </w:r>
            <w:r w:rsidRPr="004B218B">
              <w:rPr>
                <w:bCs/>
              </w:rPr>
              <w:t xml:space="preserve"> prieinamumo princip</w:t>
            </w:r>
            <w:r>
              <w:rPr>
                <w:bCs/>
              </w:rPr>
              <w:t>o taikymą</w:t>
            </w:r>
            <w:r w:rsidRPr="004B218B">
              <w:rPr>
                <w:bCs/>
              </w:rPr>
              <w:t xml:space="preserve"> ir </w:t>
            </w:r>
            <w:r w:rsidR="0033297E">
              <w:rPr>
                <w:bCs/>
              </w:rPr>
              <w:t>policijos</w:t>
            </w:r>
            <w:r w:rsidR="00B3170A">
              <w:rPr>
                <w:bCs/>
              </w:rPr>
              <w:t xml:space="preserve"> </w:t>
            </w:r>
            <w:r w:rsidRPr="004B218B">
              <w:rPr>
                <w:bCs/>
              </w:rPr>
              <w:t>informacijos integravim</w:t>
            </w:r>
            <w:r>
              <w:rPr>
                <w:bCs/>
              </w:rPr>
              <w:t>ą</w:t>
            </w:r>
            <w:r w:rsidRPr="004B218B">
              <w:rPr>
                <w:bCs/>
              </w:rPr>
              <w:t xml:space="preserve"> į </w:t>
            </w:r>
            <w:r>
              <w:rPr>
                <w:bCs/>
              </w:rPr>
              <w:t xml:space="preserve">bendrą </w:t>
            </w:r>
            <w:r w:rsidRPr="004B218B">
              <w:rPr>
                <w:bCs/>
              </w:rPr>
              <w:t>ES informacijos architektūrą.</w:t>
            </w:r>
          </w:p>
          <w:p w14:paraId="68E9229B" w14:textId="28C5BFE3" w:rsidR="004B218B" w:rsidRDefault="00C21798" w:rsidP="00B3170A">
            <w:pPr>
              <w:spacing w:after="120"/>
              <w:jc w:val="both"/>
              <w:rPr>
                <w:color w:val="000000"/>
              </w:rPr>
            </w:pPr>
            <w:r w:rsidRPr="002D3CDF">
              <w:rPr>
                <w:bCs/>
              </w:rPr>
              <w:t xml:space="preserve">Dėl antrojo tikslo </w:t>
            </w:r>
            <w:r w:rsidR="002D3CDF" w:rsidRPr="002D3CDF">
              <w:rPr>
                <w:bCs/>
              </w:rPr>
              <w:t xml:space="preserve">manome, kad </w:t>
            </w:r>
            <w:r w:rsidR="002D3CDF">
              <w:rPr>
                <w:bCs/>
              </w:rPr>
              <w:t>efektyvesnei teisėsaugos partnerystei ES viduje</w:t>
            </w:r>
            <w:r w:rsidR="002D3CDF" w:rsidRPr="002D3CDF">
              <w:rPr>
                <w:bCs/>
              </w:rPr>
              <w:t xml:space="preserve"> labai svarbus</w:t>
            </w:r>
            <w:r w:rsidR="002D3CDF">
              <w:rPr>
                <w:bCs/>
              </w:rPr>
              <w:t xml:space="preserve"> ES Agentūrų vaidmuo, todėl siektinas</w:t>
            </w:r>
            <w:r w:rsidR="002D3CDF" w:rsidRPr="002D3CDF">
              <w:rPr>
                <w:color w:val="000000"/>
              </w:rPr>
              <w:t xml:space="preserve"> </w:t>
            </w:r>
            <w:r w:rsidR="002D3CDF" w:rsidRPr="00421404">
              <w:rPr>
                <w:color w:val="000000"/>
              </w:rPr>
              <w:t>glaudesnio bendradarbiavimo su</w:t>
            </w:r>
            <w:r w:rsidR="002D3CDF" w:rsidRPr="002D3CDF">
              <w:rPr>
                <w:color w:val="000000"/>
              </w:rPr>
              <w:t xml:space="preserve"> kitomis</w:t>
            </w:r>
            <w:r w:rsidR="002D3CDF" w:rsidRPr="00421404">
              <w:rPr>
                <w:color w:val="000000"/>
              </w:rPr>
              <w:t xml:space="preserve"> ES agentū</w:t>
            </w:r>
            <w:r w:rsidR="002D3CDF" w:rsidRPr="002D3CDF">
              <w:rPr>
                <w:color w:val="000000"/>
              </w:rPr>
              <w:t xml:space="preserve">romis – OLAF, EPPO ir Eurojustu, užtikrinimas. </w:t>
            </w:r>
          </w:p>
          <w:p w14:paraId="2FA29C40" w14:textId="2EB7229C" w:rsidR="00EF351B" w:rsidRPr="00421404" w:rsidRDefault="00EF351B" w:rsidP="00B3170A">
            <w:pPr>
              <w:spacing w:after="120"/>
              <w:jc w:val="both"/>
              <w:rPr>
                <w:color w:val="000000"/>
              </w:rPr>
            </w:pPr>
            <w:r w:rsidRPr="00EF351B">
              <w:rPr>
                <w:color w:val="000000"/>
              </w:rPr>
              <w:t>Siekiant g</w:t>
            </w:r>
            <w:r w:rsidRPr="00421404">
              <w:rPr>
                <w:color w:val="000000"/>
              </w:rPr>
              <w:t>erin</w:t>
            </w:r>
            <w:r w:rsidRPr="00EF351B">
              <w:rPr>
                <w:color w:val="000000"/>
              </w:rPr>
              <w:t>ti</w:t>
            </w:r>
            <w:r w:rsidRPr="00421404">
              <w:rPr>
                <w:color w:val="000000"/>
              </w:rPr>
              <w:t>  ir supaprastin</w:t>
            </w:r>
            <w:r w:rsidRPr="00EF351B">
              <w:rPr>
                <w:color w:val="000000"/>
              </w:rPr>
              <w:t>ti</w:t>
            </w:r>
            <w:r w:rsidRPr="00421404">
              <w:rPr>
                <w:color w:val="000000"/>
              </w:rPr>
              <w:t xml:space="preserve"> </w:t>
            </w:r>
            <w:r w:rsidRPr="00EF351B">
              <w:rPr>
                <w:color w:val="000000"/>
              </w:rPr>
              <w:t xml:space="preserve">keitimąsi </w:t>
            </w:r>
            <w:r w:rsidRPr="00421404">
              <w:rPr>
                <w:color w:val="000000"/>
              </w:rPr>
              <w:t>informacij</w:t>
            </w:r>
            <w:r w:rsidRPr="00EF351B">
              <w:rPr>
                <w:color w:val="000000"/>
              </w:rPr>
              <w:t>a</w:t>
            </w:r>
            <w:r w:rsidRPr="00421404">
              <w:rPr>
                <w:color w:val="000000"/>
              </w:rPr>
              <w:t xml:space="preserve"> tarp ES VN policijos institucijų, </w:t>
            </w:r>
            <w:r w:rsidRPr="00EF351B">
              <w:rPr>
                <w:color w:val="000000"/>
              </w:rPr>
              <w:t>svarstytina</w:t>
            </w:r>
            <w:r w:rsidRPr="00421404">
              <w:rPr>
                <w:color w:val="000000"/>
              </w:rPr>
              <w:t xml:space="preserve"> peržiūrėti teisines nuostatas </w:t>
            </w:r>
            <w:r w:rsidRPr="00EF351B">
              <w:rPr>
                <w:color w:val="000000"/>
              </w:rPr>
              <w:t xml:space="preserve">dėl </w:t>
            </w:r>
            <w:r w:rsidRPr="00421404">
              <w:rPr>
                <w:color w:val="000000"/>
              </w:rPr>
              <w:t>informacij</w:t>
            </w:r>
            <w:r w:rsidRPr="00EF351B">
              <w:rPr>
                <w:color w:val="000000"/>
              </w:rPr>
              <w:t>os</w:t>
            </w:r>
            <w:r w:rsidR="002E2BFB">
              <w:rPr>
                <w:color w:val="000000"/>
              </w:rPr>
              <w:t xml:space="preserve"> sąrašo praplėtimo</w:t>
            </w:r>
            <w:r w:rsidRPr="00421404">
              <w:rPr>
                <w:color w:val="000000"/>
              </w:rPr>
              <w:t>, kurios gavim</w:t>
            </w:r>
            <w:r w:rsidRPr="00EF351B">
              <w:rPr>
                <w:color w:val="000000"/>
              </w:rPr>
              <w:t>ui</w:t>
            </w:r>
            <w:r w:rsidRPr="00421404">
              <w:rPr>
                <w:color w:val="000000"/>
              </w:rPr>
              <w:t xml:space="preserve"> </w:t>
            </w:r>
            <w:r w:rsidR="002E2BFB">
              <w:rPr>
                <w:color w:val="000000"/>
              </w:rPr>
              <w:t>ne</w:t>
            </w:r>
            <w:r w:rsidRPr="00EF351B">
              <w:rPr>
                <w:color w:val="000000"/>
              </w:rPr>
              <w:t xml:space="preserve">reikia Europos tyrimo orderio </w:t>
            </w:r>
            <w:r w:rsidRPr="00421404">
              <w:rPr>
                <w:color w:val="000000"/>
              </w:rPr>
              <w:t>(TIO)</w:t>
            </w:r>
            <w:r w:rsidRPr="00EF351B">
              <w:rPr>
                <w:color w:val="000000"/>
              </w:rPr>
              <w:t xml:space="preserve">. </w:t>
            </w:r>
            <w:r w:rsidRPr="00421404">
              <w:rPr>
                <w:color w:val="000000"/>
              </w:rPr>
              <w:t>  </w:t>
            </w:r>
          </w:p>
          <w:p w14:paraId="20870CDD" w14:textId="1FEEA71C" w:rsidR="00313AC0" w:rsidRDefault="00313AC0" w:rsidP="00B3170A">
            <w:pPr>
              <w:spacing w:after="120"/>
              <w:jc w:val="both"/>
              <w:rPr>
                <w:color w:val="000000"/>
              </w:rPr>
            </w:pPr>
            <w:r w:rsidRPr="00313AC0">
              <w:rPr>
                <w:color w:val="000000"/>
              </w:rPr>
              <w:t>Kitas siektinas tikslas</w:t>
            </w:r>
            <w:r w:rsidR="00EF351B" w:rsidRPr="00421404">
              <w:rPr>
                <w:color w:val="000000"/>
              </w:rPr>
              <w:t xml:space="preserve"> </w:t>
            </w:r>
            <w:r w:rsidRPr="00313AC0">
              <w:rPr>
                <w:color w:val="000000"/>
              </w:rPr>
              <w:t xml:space="preserve">- </w:t>
            </w:r>
            <w:r w:rsidR="00EF351B" w:rsidRPr="00421404">
              <w:rPr>
                <w:color w:val="000000"/>
              </w:rPr>
              <w:t>teisminėms institucijoms</w:t>
            </w:r>
            <w:r w:rsidRPr="00313AC0">
              <w:rPr>
                <w:color w:val="000000"/>
              </w:rPr>
              <w:t xml:space="preserve"> labiau</w:t>
            </w:r>
            <w:r w:rsidR="00EF351B" w:rsidRPr="00421404">
              <w:rPr>
                <w:color w:val="000000"/>
              </w:rPr>
              <w:t xml:space="preserve"> skaitmenizuoti baudžiamosios bylos procesą, kad teisėsauga kuo didesnę dalį procesinių veiksmų galėtų perkelti į </w:t>
            </w:r>
            <w:r w:rsidRPr="00313AC0">
              <w:rPr>
                <w:color w:val="000000"/>
              </w:rPr>
              <w:t>elektroninę erdvę ir tai</w:t>
            </w:r>
            <w:r w:rsidR="00EF351B" w:rsidRPr="00421404">
              <w:rPr>
                <w:color w:val="000000"/>
              </w:rPr>
              <w:t xml:space="preserve"> būtų užskaitom</w:t>
            </w:r>
            <w:r w:rsidRPr="00313AC0">
              <w:rPr>
                <w:color w:val="000000"/>
              </w:rPr>
              <w:t>a</w:t>
            </w:r>
            <w:r w:rsidR="00EF351B" w:rsidRPr="00421404">
              <w:rPr>
                <w:color w:val="000000"/>
              </w:rPr>
              <w:t xml:space="preserve"> kaip įrodymai ne tik nacionaliniu</w:t>
            </w:r>
            <w:r w:rsidRPr="00313AC0">
              <w:rPr>
                <w:color w:val="000000"/>
              </w:rPr>
              <w:t>,</w:t>
            </w:r>
            <w:r w:rsidR="00EF351B" w:rsidRPr="00421404">
              <w:rPr>
                <w:color w:val="000000"/>
              </w:rPr>
              <w:t xml:space="preserve"> bet ir </w:t>
            </w:r>
            <w:r w:rsidRPr="00313AC0">
              <w:rPr>
                <w:color w:val="000000"/>
              </w:rPr>
              <w:t>ES</w:t>
            </w:r>
            <w:r w:rsidR="00EF351B" w:rsidRPr="00421404">
              <w:rPr>
                <w:color w:val="000000"/>
              </w:rPr>
              <w:t xml:space="preserve"> lygiu. T</w:t>
            </w:r>
            <w:r w:rsidRPr="00313AC0">
              <w:rPr>
                <w:color w:val="000000"/>
              </w:rPr>
              <w:t>okiu būdu</w:t>
            </w:r>
            <w:r w:rsidR="00EF351B" w:rsidRPr="00421404">
              <w:rPr>
                <w:color w:val="000000"/>
              </w:rPr>
              <w:t xml:space="preserve"> teisėsauga, tirianti tarpvalstybinius nusikaltimus, galėtų greičiau</w:t>
            </w:r>
            <w:r w:rsidRPr="00313AC0">
              <w:rPr>
                <w:color w:val="000000"/>
              </w:rPr>
              <w:t xml:space="preserve"> ir</w:t>
            </w:r>
            <w:r w:rsidR="00EF351B" w:rsidRPr="00421404">
              <w:rPr>
                <w:color w:val="000000"/>
              </w:rPr>
              <w:t xml:space="preserve"> paprasčiau perduoti surinktą medžiagą kitai ES VN.</w:t>
            </w:r>
          </w:p>
          <w:p w14:paraId="0D7B3AB7" w14:textId="02466DEF" w:rsidR="00313AC0" w:rsidRPr="00313AC0" w:rsidRDefault="00313AC0" w:rsidP="00B3170A">
            <w:pPr>
              <w:spacing w:after="120"/>
              <w:jc w:val="both"/>
              <w:rPr>
                <w:bCs/>
              </w:rPr>
            </w:pPr>
            <w:r>
              <w:rPr>
                <w:color w:val="000000"/>
              </w:rPr>
              <w:t xml:space="preserve">Dėl trečiojo tikslo </w:t>
            </w:r>
            <w:r w:rsidR="006C2BA0">
              <w:rPr>
                <w:color w:val="000000"/>
              </w:rPr>
              <w:t>visiškai</w:t>
            </w:r>
            <w:r w:rsidR="00F45D46">
              <w:rPr>
                <w:color w:val="000000"/>
              </w:rPr>
              <w:t xml:space="preserve"> sutinkame, kad </w:t>
            </w:r>
            <w:r w:rsidR="006C2BA0">
              <w:rPr>
                <w:color w:val="000000"/>
              </w:rPr>
              <w:t xml:space="preserve">būtina stiprinti policijos bendradarbiavimą su trečiosiomis šalimis, plečiant teisėsaugos  </w:t>
            </w:r>
            <w:r w:rsidR="00A32362">
              <w:rPr>
                <w:color w:val="000000"/>
              </w:rPr>
              <w:t>galimybes</w:t>
            </w:r>
            <w:r w:rsidR="006C2BA0">
              <w:rPr>
                <w:color w:val="000000"/>
              </w:rPr>
              <w:t xml:space="preserve"> ir instrumentus efektyviai keistis </w:t>
            </w:r>
            <w:r w:rsidR="00A32362">
              <w:rPr>
                <w:color w:val="000000"/>
              </w:rPr>
              <w:t xml:space="preserve">informacija su jomis. Prie šio tikslo taip pat pridėtume, kad </w:t>
            </w:r>
            <w:r w:rsidR="00A32362">
              <w:t xml:space="preserve"> </w:t>
            </w:r>
            <w:r w:rsidR="00A32362" w:rsidRPr="00A32362">
              <w:rPr>
                <w:color w:val="000000"/>
              </w:rPr>
              <w:t xml:space="preserve">bendradarbiavimas turėtų </w:t>
            </w:r>
            <w:r w:rsidR="00A32362">
              <w:rPr>
                <w:color w:val="000000"/>
              </w:rPr>
              <w:t xml:space="preserve">būti vystomas </w:t>
            </w:r>
            <w:r w:rsidR="00A32362" w:rsidRPr="00A32362">
              <w:rPr>
                <w:color w:val="000000"/>
              </w:rPr>
              <w:t xml:space="preserve">ir su tarptautinėmis organizacijomis, </w:t>
            </w:r>
            <w:r w:rsidR="00A32362">
              <w:rPr>
                <w:color w:val="000000"/>
              </w:rPr>
              <w:t>visų pirma</w:t>
            </w:r>
            <w:r w:rsidR="00A32362" w:rsidRPr="00A32362">
              <w:rPr>
                <w:color w:val="000000"/>
              </w:rPr>
              <w:t xml:space="preserve"> Interpolu ir Jun</w:t>
            </w:r>
            <w:r w:rsidR="00A32362">
              <w:rPr>
                <w:color w:val="000000"/>
              </w:rPr>
              <w:t>gtinėmis Tautomis,</w:t>
            </w:r>
            <w:r w:rsidR="00A32362" w:rsidRPr="00A32362">
              <w:rPr>
                <w:color w:val="000000"/>
              </w:rPr>
              <w:t xml:space="preserve"> ypač kai kalba eina apie vaikų seksualinį išnaudojimą, organizuotą nusikalstamumą ir </w:t>
            </w:r>
            <w:r w:rsidR="00A32362">
              <w:rPr>
                <w:color w:val="000000"/>
              </w:rPr>
              <w:t xml:space="preserve">prekybą </w:t>
            </w:r>
            <w:r w:rsidR="00A32362" w:rsidRPr="00A32362">
              <w:rPr>
                <w:color w:val="000000"/>
              </w:rPr>
              <w:t>narkotik</w:t>
            </w:r>
            <w:r w:rsidR="00A32362">
              <w:rPr>
                <w:color w:val="000000"/>
              </w:rPr>
              <w:t>ais.</w:t>
            </w:r>
            <w:r w:rsidR="00A32362" w:rsidRPr="00A32362">
              <w:rPr>
                <w:color w:val="000000"/>
              </w:rPr>
              <w:t xml:space="preserve"> </w:t>
            </w:r>
          </w:p>
        </w:tc>
      </w:tr>
    </w:tbl>
    <w:p w14:paraId="1F2ED79F" w14:textId="4D7003E1" w:rsidR="00A32362" w:rsidRDefault="00A32362"/>
    <w:p w14:paraId="2C1538AE" w14:textId="77777777" w:rsidR="00A32362" w:rsidRPr="00A32362" w:rsidRDefault="00A32362" w:rsidP="00A32362"/>
    <w:p w14:paraId="4990ACE0" w14:textId="77777777" w:rsidR="00A32362" w:rsidRPr="00A32362" w:rsidRDefault="00A32362" w:rsidP="00A32362"/>
    <w:p w14:paraId="44D155DE" w14:textId="77777777" w:rsidR="00A32362" w:rsidRPr="00A32362" w:rsidRDefault="00A32362" w:rsidP="00A32362"/>
    <w:p w14:paraId="021C1277" w14:textId="77777777" w:rsidR="00421404" w:rsidRPr="00A32362" w:rsidRDefault="00421404" w:rsidP="00906320"/>
    <w:sectPr w:rsidR="00421404" w:rsidRPr="00A32362" w:rsidSect="00A32362">
      <w:footerReference w:type="default" r:id="rId7"/>
      <w:pgSz w:w="16838" w:h="11906" w:orient="landscape"/>
      <w:pgMar w:top="1701" w:right="536" w:bottom="1560"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2652A" w14:textId="77777777" w:rsidR="00A636A2" w:rsidRDefault="00A636A2" w:rsidP="00A32362">
      <w:r>
        <w:separator/>
      </w:r>
    </w:p>
  </w:endnote>
  <w:endnote w:type="continuationSeparator" w:id="0">
    <w:p w14:paraId="1BC27509" w14:textId="77777777" w:rsidR="00A636A2" w:rsidRDefault="00A636A2" w:rsidP="00A3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124413"/>
      <w:docPartObj>
        <w:docPartGallery w:val="Page Numbers (Bottom of Page)"/>
        <w:docPartUnique/>
      </w:docPartObj>
    </w:sdtPr>
    <w:sdtEndPr>
      <w:rPr>
        <w:noProof/>
      </w:rPr>
    </w:sdtEndPr>
    <w:sdtContent>
      <w:p w14:paraId="6D60A989" w14:textId="570A54EF" w:rsidR="00A32362" w:rsidRDefault="00A32362">
        <w:pPr>
          <w:pStyle w:val="Porat"/>
          <w:jc w:val="center"/>
        </w:pPr>
        <w:r>
          <w:fldChar w:fldCharType="begin"/>
        </w:r>
        <w:r>
          <w:instrText xml:space="preserve"> PAGE   \* MERGEFORMAT </w:instrText>
        </w:r>
        <w:r>
          <w:fldChar w:fldCharType="separate"/>
        </w:r>
        <w:r w:rsidR="00A03FC4">
          <w:rPr>
            <w:noProof/>
          </w:rPr>
          <w:t>3</w:t>
        </w:r>
        <w:r>
          <w:rPr>
            <w:noProof/>
          </w:rPr>
          <w:fldChar w:fldCharType="end"/>
        </w:r>
      </w:p>
    </w:sdtContent>
  </w:sdt>
  <w:p w14:paraId="7634D4F1" w14:textId="77777777" w:rsidR="00A32362" w:rsidRDefault="00A323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BBAD" w14:textId="77777777" w:rsidR="00A636A2" w:rsidRDefault="00A636A2" w:rsidP="00A32362">
      <w:r>
        <w:separator/>
      </w:r>
    </w:p>
  </w:footnote>
  <w:footnote w:type="continuationSeparator" w:id="0">
    <w:p w14:paraId="0CDE88DB" w14:textId="77777777" w:rsidR="00A636A2" w:rsidRDefault="00A636A2" w:rsidP="00A32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63FC"/>
    <w:multiLevelType w:val="multilevel"/>
    <w:tmpl w:val="EFC2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F5149"/>
    <w:multiLevelType w:val="hybridMultilevel"/>
    <w:tmpl w:val="EB524E4E"/>
    <w:lvl w:ilvl="0" w:tplc="47784CC8">
      <w:start w:val="1"/>
      <w:numFmt w:val="bullet"/>
      <w:suff w:val="space"/>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FE3551"/>
    <w:multiLevelType w:val="hybridMultilevel"/>
    <w:tmpl w:val="82660E44"/>
    <w:lvl w:ilvl="0" w:tplc="2AAA0816">
      <w:start w:val="1"/>
      <w:numFmt w:val="decimal"/>
      <w:suff w:val="space"/>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3C0B26"/>
    <w:multiLevelType w:val="hybridMultilevel"/>
    <w:tmpl w:val="4C3C1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C10669"/>
    <w:multiLevelType w:val="hybridMultilevel"/>
    <w:tmpl w:val="8B20DEDA"/>
    <w:lvl w:ilvl="0" w:tplc="6554B8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AEA0E7D"/>
    <w:multiLevelType w:val="multilevel"/>
    <w:tmpl w:val="02DC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27626"/>
    <w:multiLevelType w:val="hybridMultilevel"/>
    <w:tmpl w:val="B260A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6D5DBD"/>
    <w:multiLevelType w:val="hybridMultilevel"/>
    <w:tmpl w:val="FAFAF828"/>
    <w:lvl w:ilvl="0" w:tplc="FD0EBC3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FD"/>
    <w:rsid w:val="0008097A"/>
    <w:rsid w:val="000A094E"/>
    <w:rsid w:val="000F56BD"/>
    <w:rsid w:val="00197F94"/>
    <w:rsid w:val="001A7E59"/>
    <w:rsid w:val="001D3FE2"/>
    <w:rsid w:val="00242159"/>
    <w:rsid w:val="002462E9"/>
    <w:rsid w:val="002823B4"/>
    <w:rsid w:val="00295F1C"/>
    <w:rsid w:val="002D3CDF"/>
    <w:rsid w:val="002E2BFB"/>
    <w:rsid w:val="00313AC0"/>
    <w:rsid w:val="0033297E"/>
    <w:rsid w:val="00336C63"/>
    <w:rsid w:val="00337676"/>
    <w:rsid w:val="003665CC"/>
    <w:rsid w:val="003C5B23"/>
    <w:rsid w:val="003D5CBB"/>
    <w:rsid w:val="00421404"/>
    <w:rsid w:val="00456AFC"/>
    <w:rsid w:val="00497F5F"/>
    <w:rsid w:val="004B218B"/>
    <w:rsid w:val="00533ACF"/>
    <w:rsid w:val="005B19DA"/>
    <w:rsid w:val="005C76A8"/>
    <w:rsid w:val="005D551A"/>
    <w:rsid w:val="006103C4"/>
    <w:rsid w:val="00623AAB"/>
    <w:rsid w:val="006A479E"/>
    <w:rsid w:val="006C2BA0"/>
    <w:rsid w:val="00703B9F"/>
    <w:rsid w:val="00752912"/>
    <w:rsid w:val="007B6922"/>
    <w:rsid w:val="007F632C"/>
    <w:rsid w:val="00870CBB"/>
    <w:rsid w:val="00880932"/>
    <w:rsid w:val="008966FD"/>
    <w:rsid w:val="008D2149"/>
    <w:rsid w:val="008E139D"/>
    <w:rsid w:val="00906320"/>
    <w:rsid w:val="00910702"/>
    <w:rsid w:val="00924EAF"/>
    <w:rsid w:val="009C7AB9"/>
    <w:rsid w:val="009D0009"/>
    <w:rsid w:val="009D486C"/>
    <w:rsid w:val="009E448B"/>
    <w:rsid w:val="00A03FC4"/>
    <w:rsid w:val="00A240CD"/>
    <w:rsid w:val="00A32362"/>
    <w:rsid w:val="00A559E9"/>
    <w:rsid w:val="00A636A2"/>
    <w:rsid w:val="00AD1B20"/>
    <w:rsid w:val="00B3170A"/>
    <w:rsid w:val="00B75C25"/>
    <w:rsid w:val="00BA53C6"/>
    <w:rsid w:val="00BD7772"/>
    <w:rsid w:val="00BE313F"/>
    <w:rsid w:val="00C20CE9"/>
    <w:rsid w:val="00C21798"/>
    <w:rsid w:val="00C52F57"/>
    <w:rsid w:val="00CE4C34"/>
    <w:rsid w:val="00D0173A"/>
    <w:rsid w:val="00D54E7B"/>
    <w:rsid w:val="00D56450"/>
    <w:rsid w:val="00D64A9E"/>
    <w:rsid w:val="00D82271"/>
    <w:rsid w:val="00D930D1"/>
    <w:rsid w:val="00EF351B"/>
    <w:rsid w:val="00EF72C9"/>
    <w:rsid w:val="00F06491"/>
    <w:rsid w:val="00F45D46"/>
    <w:rsid w:val="00F557CE"/>
    <w:rsid w:val="00F81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80E3"/>
  <w15:chartTrackingRefBased/>
  <w15:docId w15:val="{E019DBE5-1063-4969-BE1F-63C67858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6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qFormat/>
    <w:rsid w:val="008966FD"/>
  </w:style>
  <w:style w:type="character" w:styleId="Emfaz">
    <w:name w:val="Emphasis"/>
    <w:uiPriority w:val="20"/>
    <w:qFormat/>
    <w:rsid w:val="008966FD"/>
    <w:rPr>
      <w:i/>
      <w:iCs/>
    </w:rPr>
  </w:style>
  <w:style w:type="paragraph" w:styleId="Betarp">
    <w:name w:val="No Spacing"/>
    <w:basedOn w:val="prastasis"/>
    <w:link w:val="BetarpDiagrama"/>
    <w:uiPriority w:val="1"/>
    <w:qFormat/>
    <w:rsid w:val="008966FD"/>
    <w:rPr>
      <w:rFonts w:ascii="Calibri" w:eastAsia="Calibri" w:hAnsi="Calibri"/>
      <w:sz w:val="22"/>
      <w:szCs w:val="22"/>
    </w:rPr>
  </w:style>
  <w:style w:type="character" w:customStyle="1" w:styleId="BetarpDiagrama">
    <w:name w:val="Be tarpų Diagrama"/>
    <w:link w:val="Betarp"/>
    <w:uiPriority w:val="1"/>
    <w:rsid w:val="008966FD"/>
    <w:rPr>
      <w:rFonts w:ascii="Calibri" w:eastAsia="Calibri" w:hAnsi="Calibri" w:cs="Times New Roman"/>
      <w:lang w:eastAsia="lt-LT"/>
    </w:rPr>
  </w:style>
  <w:style w:type="character" w:customStyle="1" w:styleId="st">
    <w:name w:val="st"/>
    <w:basedOn w:val="Numatytasispastraiposriftas"/>
    <w:rsid w:val="008966FD"/>
  </w:style>
  <w:style w:type="character" w:customStyle="1" w:styleId="tlid-translation">
    <w:name w:val="tlid-translation"/>
    <w:basedOn w:val="Numatytasispastraiposriftas"/>
    <w:rsid w:val="008966FD"/>
  </w:style>
  <w:style w:type="character" w:styleId="Grietas">
    <w:name w:val="Strong"/>
    <w:basedOn w:val="Numatytasispastraiposriftas"/>
    <w:uiPriority w:val="22"/>
    <w:qFormat/>
    <w:rsid w:val="007F632C"/>
    <w:rPr>
      <w:b/>
      <w:bCs/>
    </w:rPr>
  </w:style>
  <w:style w:type="paragraph" w:styleId="Sraopastraipa">
    <w:name w:val="List Paragraph"/>
    <w:basedOn w:val="prastasis"/>
    <w:uiPriority w:val="34"/>
    <w:qFormat/>
    <w:rsid w:val="00533ACF"/>
    <w:pPr>
      <w:ind w:left="720"/>
      <w:contextualSpacing/>
    </w:pPr>
  </w:style>
  <w:style w:type="paragraph" w:styleId="Antrats">
    <w:name w:val="header"/>
    <w:basedOn w:val="prastasis"/>
    <w:link w:val="AntratsDiagrama"/>
    <w:uiPriority w:val="99"/>
    <w:unhideWhenUsed/>
    <w:rsid w:val="00A32362"/>
    <w:pPr>
      <w:tabs>
        <w:tab w:val="center" w:pos="4819"/>
        <w:tab w:val="right" w:pos="9638"/>
      </w:tabs>
    </w:pPr>
  </w:style>
  <w:style w:type="character" w:customStyle="1" w:styleId="AntratsDiagrama">
    <w:name w:val="Antraštės Diagrama"/>
    <w:basedOn w:val="Numatytasispastraiposriftas"/>
    <w:link w:val="Antrats"/>
    <w:uiPriority w:val="99"/>
    <w:rsid w:val="00A3236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32362"/>
    <w:pPr>
      <w:tabs>
        <w:tab w:val="center" w:pos="4819"/>
        <w:tab w:val="right" w:pos="9638"/>
      </w:tabs>
    </w:pPr>
  </w:style>
  <w:style w:type="character" w:customStyle="1" w:styleId="PoratDiagrama">
    <w:name w:val="Poraštė Diagrama"/>
    <w:basedOn w:val="Numatytasispastraiposriftas"/>
    <w:link w:val="Porat"/>
    <w:uiPriority w:val="99"/>
    <w:rsid w:val="00A3236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751">
      <w:bodyDiv w:val="1"/>
      <w:marLeft w:val="0"/>
      <w:marRight w:val="0"/>
      <w:marTop w:val="0"/>
      <w:marBottom w:val="0"/>
      <w:divBdr>
        <w:top w:val="none" w:sz="0" w:space="0" w:color="auto"/>
        <w:left w:val="none" w:sz="0" w:space="0" w:color="auto"/>
        <w:bottom w:val="none" w:sz="0" w:space="0" w:color="auto"/>
        <w:right w:val="none" w:sz="0" w:space="0" w:color="auto"/>
      </w:divBdr>
    </w:div>
    <w:div w:id="214396599">
      <w:bodyDiv w:val="1"/>
      <w:marLeft w:val="0"/>
      <w:marRight w:val="0"/>
      <w:marTop w:val="0"/>
      <w:marBottom w:val="0"/>
      <w:divBdr>
        <w:top w:val="none" w:sz="0" w:space="0" w:color="auto"/>
        <w:left w:val="none" w:sz="0" w:space="0" w:color="auto"/>
        <w:bottom w:val="none" w:sz="0" w:space="0" w:color="auto"/>
        <w:right w:val="none" w:sz="0" w:space="0" w:color="auto"/>
      </w:divBdr>
      <w:divsChild>
        <w:div w:id="1633444297">
          <w:marLeft w:val="0"/>
          <w:marRight w:val="0"/>
          <w:marTop w:val="0"/>
          <w:marBottom w:val="0"/>
          <w:divBdr>
            <w:top w:val="none" w:sz="0" w:space="0" w:color="auto"/>
            <w:left w:val="none" w:sz="0" w:space="0" w:color="auto"/>
            <w:bottom w:val="none" w:sz="0" w:space="0" w:color="auto"/>
            <w:right w:val="none" w:sz="0" w:space="0" w:color="auto"/>
          </w:divBdr>
          <w:divsChild>
            <w:div w:id="288245130">
              <w:marLeft w:val="0"/>
              <w:marRight w:val="0"/>
              <w:marTop w:val="0"/>
              <w:marBottom w:val="0"/>
              <w:divBdr>
                <w:top w:val="single" w:sz="2" w:space="0" w:color="868B91"/>
                <w:left w:val="single" w:sz="2" w:space="0" w:color="868B91"/>
                <w:bottom w:val="single" w:sz="2" w:space="0" w:color="868B91"/>
                <w:right w:val="single" w:sz="2" w:space="0" w:color="868B91"/>
              </w:divBdr>
              <w:divsChild>
                <w:div w:id="810632811">
                  <w:marLeft w:val="0"/>
                  <w:marRight w:val="0"/>
                  <w:marTop w:val="0"/>
                  <w:marBottom w:val="0"/>
                  <w:divBdr>
                    <w:top w:val="none" w:sz="0" w:space="0" w:color="auto"/>
                    <w:left w:val="none" w:sz="0" w:space="0" w:color="auto"/>
                    <w:bottom w:val="none" w:sz="0" w:space="0" w:color="auto"/>
                    <w:right w:val="none" w:sz="0" w:space="0" w:color="auto"/>
                  </w:divBdr>
                  <w:divsChild>
                    <w:div w:id="1088959926">
                      <w:marLeft w:val="0"/>
                      <w:marRight w:val="0"/>
                      <w:marTop w:val="0"/>
                      <w:marBottom w:val="0"/>
                      <w:divBdr>
                        <w:top w:val="single" w:sz="2" w:space="0" w:color="868B91"/>
                        <w:left w:val="single" w:sz="2" w:space="0" w:color="868B91"/>
                        <w:bottom w:val="single" w:sz="2" w:space="0" w:color="868B91"/>
                        <w:right w:val="single" w:sz="2" w:space="0" w:color="868B91"/>
                      </w:divBdr>
                      <w:divsChild>
                        <w:div w:id="548153415">
                          <w:marLeft w:val="0"/>
                          <w:marRight w:val="0"/>
                          <w:marTop w:val="0"/>
                          <w:marBottom w:val="0"/>
                          <w:divBdr>
                            <w:top w:val="single" w:sz="2" w:space="0" w:color="868B91"/>
                            <w:left w:val="single" w:sz="2" w:space="0" w:color="868B91"/>
                            <w:bottom w:val="single" w:sz="2" w:space="0" w:color="868B91"/>
                            <w:right w:val="single" w:sz="2" w:space="0" w:color="868B91"/>
                          </w:divBdr>
                          <w:divsChild>
                            <w:div w:id="241525441">
                              <w:marLeft w:val="0"/>
                              <w:marRight w:val="0"/>
                              <w:marTop w:val="0"/>
                              <w:marBottom w:val="0"/>
                              <w:divBdr>
                                <w:top w:val="single" w:sz="2" w:space="0" w:color="868B91"/>
                                <w:left w:val="single" w:sz="2" w:space="0" w:color="868B91"/>
                                <w:bottom w:val="single" w:sz="2" w:space="0" w:color="868B91"/>
                                <w:right w:val="single" w:sz="2" w:space="0" w:color="868B91"/>
                              </w:divBdr>
                              <w:divsChild>
                                <w:div w:id="1311252175">
                                  <w:marLeft w:val="0"/>
                                  <w:marRight w:val="0"/>
                                  <w:marTop w:val="0"/>
                                  <w:marBottom w:val="0"/>
                                  <w:divBdr>
                                    <w:top w:val="single" w:sz="2" w:space="5" w:color="D4D4D4"/>
                                    <w:left w:val="single" w:sz="6" w:space="5" w:color="D4D4D4"/>
                                    <w:bottom w:val="single" w:sz="6" w:space="5" w:color="D4D4D4"/>
                                    <w:right w:val="single" w:sz="6" w:space="5" w:color="D4D4D4"/>
                                  </w:divBdr>
                                  <w:divsChild>
                                    <w:div w:id="1073741833">
                                      <w:marLeft w:val="0"/>
                                      <w:marRight w:val="0"/>
                                      <w:marTop w:val="75"/>
                                      <w:marBottom w:val="0"/>
                                      <w:divBdr>
                                        <w:top w:val="none" w:sz="0" w:space="0" w:color="auto"/>
                                        <w:left w:val="none" w:sz="0" w:space="0" w:color="auto"/>
                                        <w:bottom w:val="none" w:sz="0" w:space="0" w:color="auto"/>
                                        <w:right w:val="none" w:sz="0" w:space="0" w:color="auto"/>
                                      </w:divBdr>
                                      <w:divsChild>
                                        <w:div w:id="1857110075">
                                          <w:marLeft w:val="0"/>
                                          <w:marRight w:val="0"/>
                                          <w:marTop w:val="0"/>
                                          <w:marBottom w:val="0"/>
                                          <w:divBdr>
                                            <w:top w:val="none" w:sz="0" w:space="0" w:color="auto"/>
                                            <w:left w:val="none" w:sz="0" w:space="0" w:color="auto"/>
                                            <w:bottom w:val="none" w:sz="0" w:space="0" w:color="auto"/>
                                            <w:right w:val="none" w:sz="0" w:space="0" w:color="auto"/>
                                          </w:divBdr>
                                          <w:divsChild>
                                            <w:div w:id="29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1937550">
      <w:bodyDiv w:val="1"/>
      <w:marLeft w:val="0"/>
      <w:marRight w:val="0"/>
      <w:marTop w:val="0"/>
      <w:marBottom w:val="0"/>
      <w:divBdr>
        <w:top w:val="none" w:sz="0" w:space="0" w:color="auto"/>
        <w:left w:val="none" w:sz="0" w:space="0" w:color="auto"/>
        <w:bottom w:val="none" w:sz="0" w:space="0" w:color="auto"/>
        <w:right w:val="none" w:sz="0" w:space="0" w:color="auto"/>
      </w:divBdr>
      <w:divsChild>
        <w:div w:id="900748019">
          <w:marLeft w:val="0"/>
          <w:marRight w:val="0"/>
          <w:marTop w:val="0"/>
          <w:marBottom w:val="0"/>
          <w:divBdr>
            <w:top w:val="none" w:sz="0" w:space="0" w:color="auto"/>
            <w:left w:val="none" w:sz="0" w:space="0" w:color="auto"/>
            <w:bottom w:val="none" w:sz="0" w:space="0" w:color="auto"/>
            <w:right w:val="none" w:sz="0" w:space="0" w:color="auto"/>
          </w:divBdr>
          <w:divsChild>
            <w:div w:id="245310084">
              <w:marLeft w:val="0"/>
              <w:marRight w:val="0"/>
              <w:marTop w:val="0"/>
              <w:marBottom w:val="0"/>
              <w:divBdr>
                <w:top w:val="none" w:sz="0" w:space="0" w:color="auto"/>
                <w:left w:val="none" w:sz="0" w:space="0" w:color="auto"/>
                <w:bottom w:val="none" w:sz="0" w:space="0" w:color="auto"/>
                <w:right w:val="none" w:sz="0" w:space="0" w:color="auto"/>
              </w:divBdr>
              <w:divsChild>
                <w:div w:id="1971857528">
                  <w:marLeft w:val="0"/>
                  <w:marRight w:val="0"/>
                  <w:marTop w:val="0"/>
                  <w:marBottom w:val="0"/>
                  <w:divBdr>
                    <w:top w:val="none" w:sz="0" w:space="0" w:color="auto"/>
                    <w:left w:val="none" w:sz="0" w:space="0" w:color="auto"/>
                    <w:bottom w:val="none" w:sz="0" w:space="0" w:color="auto"/>
                    <w:right w:val="none" w:sz="0" w:space="0" w:color="auto"/>
                  </w:divBdr>
                  <w:divsChild>
                    <w:div w:id="1455055738">
                      <w:marLeft w:val="0"/>
                      <w:marRight w:val="0"/>
                      <w:marTop w:val="0"/>
                      <w:marBottom w:val="0"/>
                      <w:divBdr>
                        <w:top w:val="none" w:sz="0" w:space="0" w:color="auto"/>
                        <w:left w:val="none" w:sz="0" w:space="0" w:color="auto"/>
                        <w:bottom w:val="none" w:sz="0" w:space="0" w:color="auto"/>
                        <w:right w:val="none" w:sz="0" w:space="0" w:color="auto"/>
                      </w:divBdr>
                      <w:divsChild>
                        <w:div w:id="1123693276">
                          <w:marLeft w:val="0"/>
                          <w:marRight w:val="0"/>
                          <w:marTop w:val="0"/>
                          <w:marBottom w:val="120"/>
                          <w:divBdr>
                            <w:top w:val="none" w:sz="0" w:space="0" w:color="auto"/>
                            <w:left w:val="none" w:sz="0" w:space="0" w:color="auto"/>
                            <w:bottom w:val="none" w:sz="0" w:space="0" w:color="auto"/>
                            <w:right w:val="none" w:sz="0" w:space="0" w:color="auto"/>
                          </w:divBdr>
                        </w:div>
                        <w:div w:id="1836342377">
                          <w:marLeft w:val="0"/>
                          <w:marRight w:val="0"/>
                          <w:marTop w:val="0"/>
                          <w:marBottom w:val="0"/>
                          <w:divBdr>
                            <w:top w:val="none" w:sz="0" w:space="0" w:color="auto"/>
                            <w:left w:val="none" w:sz="0" w:space="0" w:color="auto"/>
                            <w:bottom w:val="none" w:sz="0" w:space="0" w:color="auto"/>
                            <w:right w:val="none" w:sz="0" w:space="0" w:color="auto"/>
                          </w:divBdr>
                          <w:divsChild>
                            <w:div w:id="1311790482">
                              <w:marLeft w:val="0"/>
                              <w:marRight w:val="300"/>
                              <w:marTop w:val="180"/>
                              <w:marBottom w:val="0"/>
                              <w:divBdr>
                                <w:top w:val="none" w:sz="0" w:space="0" w:color="auto"/>
                                <w:left w:val="none" w:sz="0" w:space="0" w:color="auto"/>
                                <w:bottom w:val="none" w:sz="0" w:space="0" w:color="auto"/>
                                <w:right w:val="none" w:sz="0" w:space="0" w:color="auto"/>
                              </w:divBdr>
                              <w:divsChild>
                                <w:div w:id="10501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465156">
          <w:marLeft w:val="0"/>
          <w:marRight w:val="0"/>
          <w:marTop w:val="0"/>
          <w:marBottom w:val="0"/>
          <w:divBdr>
            <w:top w:val="none" w:sz="0" w:space="0" w:color="auto"/>
            <w:left w:val="none" w:sz="0" w:space="0" w:color="auto"/>
            <w:bottom w:val="none" w:sz="0" w:space="0" w:color="auto"/>
            <w:right w:val="none" w:sz="0" w:space="0" w:color="auto"/>
          </w:divBdr>
          <w:divsChild>
            <w:div w:id="782649287">
              <w:marLeft w:val="0"/>
              <w:marRight w:val="0"/>
              <w:marTop w:val="0"/>
              <w:marBottom w:val="0"/>
              <w:divBdr>
                <w:top w:val="none" w:sz="0" w:space="0" w:color="auto"/>
                <w:left w:val="none" w:sz="0" w:space="0" w:color="auto"/>
                <w:bottom w:val="none" w:sz="0" w:space="0" w:color="auto"/>
                <w:right w:val="none" w:sz="0" w:space="0" w:color="auto"/>
              </w:divBdr>
              <w:divsChild>
                <w:div w:id="938220404">
                  <w:marLeft w:val="0"/>
                  <w:marRight w:val="0"/>
                  <w:marTop w:val="0"/>
                  <w:marBottom w:val="0"/>
                  <w:divBdr>
                    <w:top w:val="none" w:sz="0" w:space="0" w:color="auto"/>
                    <w:left w:val="none" w:sz="0" w:space="0" w:color="auto"/>
                    <w:bottom w:val="none" w:sz="0" w:space="0" w:color="auto"/>
                    <w:right w:val="none" w:sz="0" w:space="0" w:color="auto"/>
                  </w:divBdr>
                  <w:divsChild>
                    <w:div w:id="1633824629">
                      <w:marLeft w:val="0"/>
                      <w:marRight w:val="0"/>
                      <w:marTop w:val="0"/>
                      <w:marBottom w:val="0"/>
                      <w:divBdr>
                        <w:top w:val="none" w:sz="0" w:space="0" w:color="auto"/>
                        <w:left w:val="none" w:sz="0" w:space="0" w:color="auto"/>
                        <w:bottom w:val="none" w:sz="0" w:space="0" w:color="auto"/>
                        <w:right w:val="none" w:sz="0" w:space="0" w:color="auto"/>
                      </w:divBdr>
                      <w:divsChild>
                        <w:div w:id="17292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9551">
      <w:bodyDiv w:val="1"/>
      <w:marLeft w:val="0"/>
      <w:marRight w:val="0"/>
      <w:marTop w:val="0"/>
      <w:marBottom w:val="0"/>
      <w:divBdr>
        <w:top w:val="none" w:sz="0" w:space="0" w:color="auto"/>
        <w:left w:val="none" w:sz="0" w:space="0" w:color="auto"/>
        <w:bottom w:val="none" w:sz="0" w:space="0" w:color="auto"/>
        <w:right w:val="none" w:sz="0" w:space="0" w:color="auto"/>
      </w:divBdr>
    </w:div>
    <w:div w:id="427312488">
      <w:bodyDiv w:val="1"/>
      <w:marLeft w:val="0"/>
      <w:marRight w:val="0"/>
      <w:marTop w:val="0"/>
      <w:marBottom w:val="0"/>
      <w:divBdr>
        <w:top w:val="none" w:sz="0" w:space="0" w:color="auto"/>
        <w:left w:val="none" w:sz="0" w:space="0" w:color="auto"/>
        <w:bottom w:val="none" w:sz="0" w:space="0" w:color="auto"/>
        <w:right w:val="none" w:sz="0" w:space="0" w:color="auto"/>
      </w:divBdr>
    </w:div>
    <w:div w:id="441922315">
      <w:bodyDiv w:val="1"/>
      <w:marLeft w:val="0"/>
      <w:marRight w:val="0"/>
      <w:marTop w:val="0"/>
      <w:marBottom w:val="0"/>
      <w:divBdr>
        <w:top w:val="none" w:sz="0" w:space="0" w:color="auto"/>
        <w:left w:val="none" w:sz="0" w:space="0" w:color="auto"/>
        <w:bottom w:val="none" w:sz="0" w:space="0" w:color="auto"/>
        <w:right w:val="none" w:sz="0" w:space="0" w:color="auto"/>
      </w:divBdr>
    </w:div>
    <w:div w:id="1067261889">
      <w:bodyDiv w:val="1"/>
      <w:marLeft w:val="0"/>
      <w:marRight w:val="0"/>
      <w:marTop w:val="0"/>
      <w:marBottom w:val="0"/>
      <w:divBdr>
        <w:top w:val="none" w:sz="0" w:space="0" w:color="auto"/>
        <w:left w:val="none" w:sz="0" w:space="0" w:color="auto"/>
        <w:bottom w:val="none" w:sz="0" w:space="0" w:color="auto"/>
        <w:right w:val="none" w:sz="0" w:space="0" w:color="auto"/>
      </w:divBdr>
    </w:div>
    <w:div w:id="1597396135">
      <w:bodyDiv w:val="1"/>
      <w:marLeft w:val="0"/>
      <w:marRight w:val="0"/>
      <w:marTop w:val="0"/>
      <w:marBottom w:val="0"/>
      <w:divBdr>
        <w:top w:val="none" w:sz="0" w:space="0" w:color="auto"/>
        <w:left w:val="none" w:sz="0" w:space="0" w:color="auto"/>
        <w:bottom w:val="none" w:sz="0" w:space="0" w:color="auto"/>
        <w:right w:val="none" w:sz="0" w:space="0" w:color="auto"/>
      </w:divBdr>
    </w:div>
    <w:div w:id="1644193813">
      <w:bodyDiv w:val="1"/>
      <w:marLeft w:val="0"/>
      <w:marRight w:val="0"/>
      <w:marTop w:val="0"/>
      <w:marBottom w:val="0"/>
      <w:divBdr>
        <w:top w:val="none" w:sz="0" w:space="0" w:color="auto"/>
        <w:left w:val="none" w:sz="0" w:space="0" w:color="auto"/>
        <w:bottom w:val="none" w:sz="0" w:space="0" w:color="auto"/>
        <w:right w:val="none" w:sz="0" w:space="0" w:color="auto"/>
      </w:divBdr>
    </w:div>
    <w:div w:id="19409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7952</Words>
  <Characters>4533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Jurgis Stirblys</dc:creator>
  <cp:keywords/>
  <dc:description/>
  <cp:lastModifiedBy>Simona Jankauskaitė</cp:lastModifiedBy>
  <cp:revision>3</cp:revision>
  <dcterms:created xsi:type="dcterms:W3CDTF">2020-10-05T11:44:00Z</dcterms:created>
  <dcterms:modified xsi:type="dcterms:W3CDTF">2020-10-05T11:44:00Z</dcterms:modified>
</cp:coreProperties>
</file>