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charts/chart8.xml" ContentType="application/vnd.openxmlformats-officedocument.drawingml.chart+xml"/>
  <Override PartName="/word/charts/colors8.xml" ContentType="application/vnd.ms-office.chartcolorstyle+xml"/>
  <Override PartName="/word/charts/style8.xml" ContentType="application/vnd.ms-office.chartstyle+xml"/>
  <Override PartName="/word/charts/style7.xml" ContentType="application/vnd.ms-office.chartstyle+xml"/>
  <Override PartName="/word/charts/chart7.xml" ContentType="application/vnd.openxmlformats-officedocument.drawingml.chart+xml"/>
  <Override PartName="/word/charts/colors6.xml" ContentType="application/vnd.ms-office.chartcolorstyle+xml"/>
  <Override PartName="/word/charts/colors7.xml" ContentType="application/vnd.ms-office.chartcolorstyle+xml"/>
  <Override PartName="/word/charts/colors9.xml" ContentType="application/vnd.ms-office.chartcolorstyle+xml"/>
  <Override PartName="/word/charts/style9.xml" ContentType="application/vnd.ms-office.chartstyle+xml"/>
  <Override PartName="/word/theme/theme1.xml" ContentType="application/vnd.openxmlformats-officedocument.theme+xml"/>
  <Override PartName="/word/charts/style6.xml" ContentType="application/vnd.ms-office.chartstyle+xml"/>
  <Override PartName="/word/charts/chart9.xml" ContentType="application/vnd.openxmlformats-officedocument.drawingml.chart+xml"/>
  <Override PartName="/word/charts/chart6.xml" ContentType="application/vnd.openxmlformats-officedocument.drawingml.chart+xml"/>
  <Override PartName="/word/charts/colors2.xml" ContentType="application/vnd.ms-office.chartcolorstyle+xml"/>
  <Override PartName="/word/charts/style2.xml" ContentType="application/vnd.ms-office.chartstyle+xml"/>
  <Override PartName="/word/charts/chart2.xml" ContentType="application/vnd.openxmlformats-officedocument.drawingml.chart+xml"/>
  <Override PartName="/word/charts/colors1.xml" ContentType="application/vnd.ms-office.chartcolorstyle+xml"/>
  <Override PartName="/word/charts/style1.xml" ContentType="application/vnd.ms-office.chartstyle+xml"/>
  <Override PartName="/word/charts/chart1.xml" ContentType="application/vnd.openxmlformats-officedocument.drawingml.chart+xml"/>
  <Override PartName="/word/charts/chart3.xml" ContentType="application/vnd.openxmlformats-officedocument.drawingml.chart+xml"/>
  <Override PartName="/word/charts/colors3.xml" ContentType="application/vnd.ms-office.chartcolorstyle+xml"/>
  <Override PartName="/word/charts/colors5.xml" ContentType="application/vnd.ms-office.chartcolorstyle+xml"/>
  <Override PartName="/word/charts/style5.xml" ContentType="application/vnd.ms-office.chartstyle+xml"/>
  <Override PartName="/word/charts/chart5.xml" ContentType="application/vnd.openxmlformats-officedocument.drawingml.chart+xml"/>
  <Override PartName="/word/charts/style3.xml" ContentType="application/vnd.ms-office.chartstyle+xml"/>
  <Override PartName="/word/charts/style4.xml" ContentType="application/vnd.ms-office.chartstyle+xml"/>
  <Override PartName="/word/charts/colors4.xml" ContentType="application/vnd.ms-office.chartcolorstyle+xml"/>
  <Override PartName="/word/charts/chart4.xml" ContentType="application/vnd.openxmlformats-officedocument.drawingml.chart+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3019" w:rsidRPr="00082174" w:rsidRDefault="006309A6" w:rsidP="004A3019">
      <w:pPr>
        <w:pStyle w:val="Pavadinimas"/>
        <w:jc w:val="right"/>
        <w:rPr>
          <w:sz w:val="22"/>
          <w:szCs w:val="22"/>
        </w:rPr>
      </w:pPr>
      <w:r w:rsidRPr="00082174">
        <w:rPr>
          <w:sz w:val="22"/>
          <w:szCs w:val="22"/>
        </w:rPr>
        <w:t>5</w:t>
      </w:r>
      <w:r w:rsidR="004A3019" w:rsidRPr="00082174">
        <w:rPr>
          <w:sz w:val="22"/>
          <w:szCs w:val="22"/>
        </w:rPr>
        <w:t xml:space="preserve"> PRIEDAS</w:t>
      </w:r>
    </w:p>
    <w:p w:rsidR="006309A6" w:rsidRDefault="006309A6" w:rsidP="004A3019">
      <w:pPr>
        <w:pStyle w:val="Pavadinimas"/>
        <w:jc w:val="right"/>
      </w:pPr>
    </w:p>
    <w:p w:rsidR="00FE25FE" w:rsidRDefault="00FE25FE" w:rsidP="00FE25FE">
      <w:pPr>
        <w:pStyle w:val="Pavadinimas"/>
      </w:pPr>
      <w:r>
        <w:t>MTEP srities finansavimo struktūra Lietuvoje ir Europos Sąjungoje</w:t>
      </w:r>
    </w:p>
    <w:p w:rsidR="00FE25FE" w:rsidRDefault="00FE25FE" w:rsidP="00FE25FE">
      <w:pPr>
        <w:ind w:firstLine="426"/>
        <w:jc w:val="center"/>
      </w:pPr>
      <w:r>
        <w:t>2018-02-19</w:t>
      </w:r>
    </w:p>
    <w:p w:rsidR="00FE25FE" w:rsidRDefault="00FE25FE" w:rsidP="00FE25FE">
      <w:pPr>
        <w:ind w:firstLine="426"/>
      </w:pPr>
    </w:p>
    <w:p w:rsidR="00FE25FE" w:rsidRDefault="00FE25FE" w:rsidP="00FE25FE">
      <w:pPr>
        <w:pStyle w:val="Pagrindiniotekstotrauka"/>
      </w:pPr>
      <w:r>
        <w:t xml:space="preserve">Daugiametė mokslinių tyrimų ir eksperimentinės plėtros (toliau – MTEP) finansavimo struktūra Lietuvoje ir Europos Sąjungoje (toliau – ES) pagal finansavimo šaltinius (verslo sektorius, valstybės biudžeto lėšos, privataus ne pelno siekiančio verslo sektorius, užsienio lėšos) matyti lentelėse </w:t>
      </w:r>
      <w:r w:rsidR="009B243D">
        <w:t>Nr. 1, N</w:t>
      </w:r>
      <w:r>
        <w:t xml:space="preserve">r. 2 ir </w:t>
      </w:r>
      <w:r w:rsidR="009B243D">
        <w:t>N</w:t>
      </w:r>
      <w:r>
        <w:t>r. 3.</w:t>
      </w:r>
    </w:p>
    <w:p w:rsidR="00FE25FE" w:rsidRDefault="00FE25FE" w:rsidP="00FE25FE">
      <w:pPr>
        <w:pStyle w:val="Pagrindiniotekstotrauka"/>
      </w:pPr>
    </w:p>
    <w:p w:rsidR="00623078" w:rsidRPr="00BA45A2" w:rsidRDefault="00160547" w:rsidP="008A6538">
      <w:pPr>
        <w:ind w:firstLine="426"/>
      </w:pPr>
      <w:r w:rsidRPr="00BA45A2">
        <w:t xml:space="preserve">Lentelė </w:t>
      </w:r>
      <w:r w:rsidR="009B243D">
        <w:t>N</w:t>
      </w:r>
      <w:r w:rsidRPr="00BA45A2">
        <w:t>r. 1:</w:t>
      </w:r>
    </w:p>
    <w:p w:rsidR="00623078" w:rsidRPr="00BA45A2" w:rsidRDefault="00623078" w:rsidP="00623078">
      <w:r w:rsidRPr="00BA45A2">
        <w:rPr>
          <w:noProof/>
          <w:lang w:val="en-GB" w:eastAsia="en-GB"/>
        </w:rPr>
        <w:drawing>
          <wp:inline distT="0" distB="0" distL="0" distR="0" wp14:anchorId="595F38E9" wp14:editId="351736B6">
            <wp:extent cx="5675630" cy="4701396"/>
            <wp:effectExtent l="0" t="0" r="1270" b="4445"/>
            <wp:docPr id="7" name="Diagrama 7"/>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623078" w:rsidRPr="00BA45A2" w:rsidRDefault="00623078" w:rsidP="008A6538">
      <w:pPr>
        <w:ind w:firstLine="426"/>
      </w:pPr>
      <w:r w:rsidRPr="00BA45A2">
        <w:rPr>
          <w:sz w:val="20"/>
          <w:szCs w:val="20"/>
        </w:rPr>
        <w:t xml:space="preserve">Duomenų šaltinis: </w:t>
      </w:r>
      <w:proofErr w:type="spellStart"/>
      <w:r w:rsidRPr="00BA45A2">
        <w:rPr>
          <w:sz w:val="20"/>
          <w:szCs w:val="20"/>
        </w:rPr>
        <w:t>Eurostat</w:t>
      </w:r>
      <w:proofErr w:type="spellEnd"/>
      <w:r w:rsidR="00FE25FE">
        <w:rPr>
          <w:sz w:val="20"/>
          <w:szCs w:val="20"/>
        </w:rPr>
        <w:t>.</w:t>
      </w:r>
    </w:p>
    <w:p w:rsidR="00160547" w:rsidRPr="00BA45A2" w:rsidRDefault="00160547" w:rsidP="008A6538">
      <w:pPr>
        <w:ind w:firstLine="426"/>
      </w:pPr>
    </w:p>
    <w:p w:rsidR="00FE25FE" w:rsidRDefault="00FE25FE" w:rsidP="00FE25FE">
      <w:pPr>
        <w:ind w:firstLine="426"/>
      </w:pPr>
    </w:p>
    <w:p w:rsidR="00FE25FE" w:rsidRDefault="00FE25FE" w:rsidP="00FE25FE">
      <w:pPr>
        <w:pStyle w:val="Pagrindiniotekstotrauka"/>
      </w:pPr>
      <w:r>
        <w:t>Lietuvoje verslo, valstybės biudžeto ir užsienio sektoriai sudaro apylyges MTEP finansavimo dalis. Tačiau verta pažymėti, kad iki 2009 m. didėjęs valstybės dėmesys ir finansavimas MTEP nuo 2010 m. smuko ir ligi šiol į buvusias „</w:t>
      </w:r>
      <w:proofErr w:type="spellStart"/>
      <w:r>
        <w:t>prieškrizines</w:t>
      </w:r>
      <w:proofErr w:type="spellEnd"/>
      <w:r>
        <w:t>“ pozicijas nesugrįžo.</w:t>
      </w:r>
    </w:p>
    <w:p w:rsidR="00160547" w:rsidRPr="00BA45A2" w:rsidRDefault="00160547" w:rsidP="008A6538">
      <w:pPr>
        <w:ind w:firstLine="426"/>
      </w:pPr>
    </w:p>
    <w:p w:rsidR="00160547" w:rsidRPr="00BA45A2" w:rsidRDefault="00160547" w:rsidP="008A6538">
      <w:pPr>
        <w:ind w:firstLine="426"/>
      </w:pPr>
    </w:p>
    <w:p w:rsidR="00160547" w:rsidRPr="00BA45A2" w:rsidRDefault="00160547" w:rsidP="008A6538">
      <w:pPr>
        <w:ind w:firstLine="426"/>
      </w:pPr>
    </w:p>
    <w:p w:rsidR="00FE25FE" w:rsidRDefault="00FE25FE">
      <w:r>
        <w:br w:type="page"/>
      </w:r>
    </w:p>
    <w:p w:rsidR="00160547" w:rsidRPr="00BA45A2" w:rsidRDefault="009B243D" w:rsidP="008A6538">
      <w:pPr>
        <w:ind w:firstLine="426"/>
      </w:pPr>
      <w:r>
        <w:lastRenderedPageBreak/>
        <w:t>Lentelė N</w:t>
      </w:r>
      <w:r w:rsidR="00160547" w:rsidRPr="00BA45A2">
        <w:t>r. 2:</w:t>
      </w:r>
    </w:p>
    <w:p w:rsidR="00623078" w:rsidRPr="00BA45A2" w:rsidRDefault="00623078" w:rsidP="008A6538">
      <w:pPr>
        <w:ind w:firstLine="426"/>
      </w:pPr>
      <w:r w:rsidRPr="00BA45A2">
        <w:rPr>
          <w:noProof/>
          <w:lang w:val="en-GB" w:eastAsia="en-GB"/>
        </w:rPr>
        <w:drawing>
          <wp:inline distT="0" distB="0" distL="0" distR="0" wp14:anchorId="50C3DD0E" wp14:editId="0504466B">
            <wp:extent cx="5486400" cy="4438650"/>
            <wp:effectExtent l="0" t="0" r="0" b="0"/>
            <wp:docPr id="10" name="Diagrama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623078" w:rsidRPr="00BA45A2" w:rsidRDefault="00623078" w:rsidP="008A6538">
      <w:pPr>
        <w:ind w:firstLine="426"/>
      </w:pPr>
      <w:r w:rsidRPr="00BA45A2">
        <w:rPr>
          <w:sz w:val="20"/>
          <w:szCs w:val="20"/>
        </w:rPr>
        <w:t xml:space="preserve">Duomenų šaltinis: </w:t>
      </w:r>
      <w:proofErr w:type="spellStart"/>
      <w:r w:rsidRPr="00BA45A2">
        <w:rPr>
          <w:sz w:val="20"/>
          <w:szCs w:val="20"/>
        </w:rPr>
        <w:t>Eurostat</w:t>
      </w:r>
      <w:proofErr w:type="spellEnd"/>
      <w:r w:rsidR="00FE25FE">
        <w:rPr>
          <w:sz w:val="20"/>
          <w:szCs w:val="20"/>
        </w:rPr>
        <w:t>.</w:t>
      </w:r>
    </w:p>
    <w:p w:rsidR="00623078" w:rsidRDefault="00623078" w:rsidP="008A6538">
      <w:pPr>
        <w:ind w:firstLine="426"/>
      </w:pPr>
    </w:p>
    <w:p w:rsidR="00FE25FE" w:rsidRDefault="00FE25FE" w:rsidP="00FE25FE">
      <w:pPr>
        <w:ind w:firstLine="426"/>
      </w:pPr>
      <w:r>
        <w:t xml:space="preserve">ES mastu MTEP sričiai iš įvairių šaltinių skiriama bene dvigubai daugiau lėšų nei Lietuvoje. Svarbu ir tai, kad didžiąją dalį, daugiau nei 50 proc., MTEP finansavimo sudaro </w:t>
      </w:r>
      <w:r w:rsidR="00F719F1">
        <w:t xml:space="preserve">verslo sektoriaus </w:t>
      </w:r>
      <w:r>
        <w:t>lėšos, o valstybės finansinis indėlis lyginant su verslu yra beveik dukart mažesnis.</w:t>
      </w:r>
    </w:p>
    <w:p w:rsidR="00FE25FE" w:rsidRDefault="00FE25FE" w:rsidP="008A6538">
      <w:pPr>
        <w:ind w:firstLine="426"/>
      </w:pPr>
    </w:p>
    <w:p w:rsidR="00FE25FE" w:rsidRDefault="00FE25FE" w:rsidP="008A6538">
      <w:pPr>
        <w:ind w:firstLine="426"/>
      </w:pPr>
    </w:p>
    <w:p w:rsidR="00FE25FE" w:rsidRDefault="00FE25FE" w:rsidP="008A6538">
      <w:pPr>
        <w:ind w:firstLine="426"/>
      </w:pPr>
    </w:p>
    <w:p w:rsidR="00FE25FE" w:rsidRDefault="00FE25FE" w:rsidP="008A6538">
      <w:pPr>
        <w:ind w:firstLine="426"/>
      </w:pPr>
    </w:p>
    <w:p w:rsidR="00FE25FE" w:rsidRDefault="00FE25FE" w:rsidP="008A6538">
      <w:pPr>
        <w:ind w:firstLine="426"/>
      </w:pPr>
    </w:p>
    <w:p w:rsidR="00FE25FE" w:rsidRDefault="00FE25FE" w:rsidP="008A6538">
      <w:pPr>
        <w:ind w:firstLine="426"/>
      </w:pPr>
    </w:p>
    <w:p w:rsidR="00FE25FE" w:rsidRDefault="00FE25FE" w:rsidP="008A6538">
      <w:pPr>
        <w:ind w:firstLine="426"/>
      </w:pPr>
    </w:p>
    <w:p w:rsidR="00FE25FE" w:rsidRDefault="00FE25FE" w:rsidP="008A6538">
      <w:pPr>
        <w:ind w:firstLine="426"/>
      </w:pPr>
    </w:p>
    <w:p w:rsidR="00FE25FE" w:rsidRDefault="00FE25FE" w:rsidP="008A6538">
      <w:pPr>
        <w:ind w:firstLine="426"/>
      </w:pPr>
    </w:p>
    <w:p w:rsidR="00FE25FE" w:rsidRDefault="00FE25FE" w:rsidP="008A6538">
      <w:pPr>
        <w:ind w:firstLine="426"/>
      </w:pPr>
    </w:p>
    <w:p w:rsidR="00FE25FE" w:rsidRDefault="00FE25FE" w:rsidP="008A6538">
      <w:pPr>
        <w:ind w:firstLine="426"/>
      </w:pPr>
    </w:p>
    <w:p w:rsidR="00FE25FE" w:rsidRDefault="00FE25FE" w:rsidP="008A6538">
      <w:pPr>
        <w:ind w:firstLine="426"/>
      </w:pPr>
    </w:p>
    <w:p w:rsidR="00FE25FE" w:rsidRDefault="00FE25FE" w:rsidP="008A6538">
      <w:pPr>
        <w:ind w:firstLine="426"/>
      </w:pPr>
    </w:p>
    <w:p w:rsidR="00FE25FE" w:rsidRDefault="00FE25FE" w:rsidP="008A6538">
      <w:pPr>
        <w:ind w:firstLine="426"/>
      </w:pPr>
    </w:p>
    <w:p w:rsidR="00FE25FE" w:rsidRDefault="00FE25FE" w:rsidP="008A6538">
      <w:pPr>
        <w:ind w:firstLine="426"/>
      </w:pPr>
    </w:p>
    <w:p w:rsidR="00FE25FE" w:rsidRDefault="00FE25FE" w:rsidP="008A6538">
      <w:pPr>
        <w:ind w:firstLine="426"/>
      </w:pPr>
    </w:p>
    <w:p w:rsidR="00FE25FE" w:rsidRDefault="00FE25FE" w:rsidP="008A6538">
      <w:pPr>
        <w:ind w:firstLine="426"/>
      </w:pPr>
    </w:p>
    <w:p w:rsidR="00A47BE1" w:rsidRDefault="00A47BE1" w:rsidP="008A6538">
      <w:pPr>
        <w:ind w:firstLine="426"/>
      </w:pPr>
    </w:p>
    <w:p w:rsidR="009B243D" w:rsidRDefault="009B243D">
      <w:r>
        <w:br w:type="page"/>
      </w:r>
    </w:p>
    <w:p w:rsidR="00A47BE1" w:rsidRPr="00BA45A2" w:rsidRDefault="00A47BE1" w:rsidP="008A6538">
      <w:pPr>
        <w:ind w:firstLine="426"/>
      </w:pPr>
    </w:p>
    <w:p w:rsidR="00160547" w:rsidRPr="00BA45A2" w:rsidRDefault="00160547" w:rsidP="008A6538">
      <w:pPr>
        <w:ind w:firstLine="426"/>
      </w:pPr>
      <w:r w:rsidRPr="00BA45A2">
        <w:t xml:space="preserve">Lentelė </w:t>
      </w:r>
      <w:r w:rsidR="009B243D">
        <w:t>N</w:t>
      </w:r>
      <w:r w:rsidRPr="00BA45A2">
        <w:t>r. 3:</w:t>
      </w:r>
    </w:p>
    <w:p w:rsidR="00623078" w:rsidRPr="00BA45A2" w:rsidRDefault="00F10770" w:rsidP="008A6538">
      <w:pPr>
        <w:ind w:firstLine="426"/>
      </w:pPr>
      <w:r w:rsidRPr="00BA45A2">
        <w:rPr>
          <w:noProof/>
          <w:lang w:val="en-GB" w:eastAsia="en-GB"/>
        </w:rPr>
        <w:drawing>
          <wp:inline distT="0" distB="0" distL="0" distR="0" wp14:anchorId="6EB340F0" wp14:editId="6DCF2C26">
            <wp:extent cx="5534025" cy="3514725"/>
            <wp:effectExtent l="0" t="0" r="9525" b="9525"/>
            <wp:docPr id="4" name="Diagrama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623078" w:rsidRPr="00BA45A2" w:rsidRDefault="00623078" w:rsidP="008A6538">
      <w:pPr>
        <w:ind w:firstLine="426"/>
      </w:pPr>
      <w:r w:rsidRPr="00BA45A2">
        <w:rPr>
          <w:sz w:val="20"/>
          <w:szCs w:val="20"/>
        </w:rPr>
        <w:t xml:space="preserve">Duomenų šaltinis: </w:t>
      </w:r>
      <w:proofErr w:type="spellStart"/>
      <w:r w:rsidRPr="00BA45A2">
        <w:rPr>
          <w:sz w:val="20"/>
          <w:szCs w:val="20"/>
        </w:rPr>
        <w:t>Eurostat</w:t>
      </w:r>
      <w:proofErr w:type="spellEnd"/>
      <w:r w:rsidR="00FE25FE">
        <w:rPr>
          <w:sz w:val="20"/>
          <w:szCs w:val="20"/>
        </w:rPr>
        <w:t>.</w:t>
      </w:r>
    </w:p>
    <w:p w:rsidR="00623078" w:rsidRPr="00BA45A2" w:rsidRDefault="00623078" w:rsidP="008A6538">
      <w:pPr>
        <w:ind w:firstLine="426"/>
      </w:pPr>
    </w:p>
    <w:p w:rsidR="00FE25FE" w:rsidRDefault="00FE25FE" w:rsidP="00FE25FE">
      <w:pPr>
        <w:ind w:firstLine="426"/>
      </w:pPr>
      <w:r>
        <w:t>Palyginus Lietuvos ir ES MTEP finansavimo struktūrą nesunku pastebėti, kad:</w:t>
      </w:r>
    </w:p>
    <w:p w:rsidR="00FE25FE" w:rsidRDefault="00FE25FE" w:rsidP="00FE25FE">
      <w:pPr>
        <w:ind w:firstLine="426"/>
      </w:pPr>
      <w:r>
        <w:t>1. Lietuva pritraukia daugiau lėšų iš užsienio nei vidutiniškai ES – tai paaiškinama gaunamu ES struktūrinių fondų finansavimu;</w:t>
      </w:r>
    </w:p>
    <w:p w:rsidR="00FE25FE" w:rsidRDefault="00FE25FE" w:rsidP="00FE25FE">
      <w:pPr>
        <w:ind w:firstLine="426"/>
      </w:pPr>
      <w:r>
        <w:t>2. Lietuvos verslo sektoriaus MTEP skiriamas finansavimas beveik 4 kartus mažesnis nei ES valstybių narių vidurkis;</w:t>
      </w:r>
    </w:p>
    <w:p w:rsidR="00FE25FE" w:rsidRDefault="00FE25FE" w:rsidP="00FE25FE">
      <w:pPr>
        <w:ind w:firstLine="426"/>
      </w:pPr>
      <w:r>
        <w:t>3. Iš valstybės biudžeto MTEP sričiai skatinti Lietuvoje skiriama 41 proc. mažiau lėšų nei vidutiniškai ES.</w:t>
      </w:r>
    </w:p>
    <w:p w:rsidR="00160547" w:rsidRDefault="00160547" w:rsidP="008A6538">
      <w:pPr>
        <w:ind w:firstLine="426"/>
      </w:pPr>
    </w:p>
    <w:p w:rsidR="00FE25FE" w:rsidRDefault="00FE25FE" w:rsidP="008A6538">
      <w:pPr>
        <w:ind w:firstLine="426"/>
      </w:pPr>
    </w:p>
    <w:p w:rsidR="00FE25FE" w:rsidRDefault="00FE25FE" w:rsidP="008A6538">
      <w:pPr>
        <w:ind w:firstLine="426"/>
      </w:pPr>
    </w:p>
    <w:p w:rsidR="00FE25FE" w:rsidRDefault="00FE25FE" w:rsidP="008A6538">
      <w:pPr>
        <w:ind w:firstLine="426"/>
      </w:pPr>
    </w:p>
    <w:p w:rsidR="00FE25FE" w:rsidRDefault="00FE25FE" w:rsidP="008A6538">
      <w:pPr>
        <w:ind w:firstLine="426"/>
      </w:pPr>
    </w:p>
    <w:p w:rsidR="00FE25FE" w:rsidRDefault="00FE25FE" w:rsidP="008A6538">
      <w:pPr>
        <w:ind w:firstLine="426"/>
      </w:pPr>
    </w:p>
    <w:p w:rsidR="00FE25FE" w:rsidRPr="00BA45A2" w:rsidRDefault="00FE25FE" w:rsidP="008A6538">
      <w:pPr>
        <w:ind w:firstLine="426"/>
      </w:pPr>
    </w:p>
    <w:p w:rsidR="00160547" w:rsidRPr="00BA45A2" w:rsidRDefault="00160547" w:rsidP="008A6538">
      <w:pPr>
        <w:ind w:firstLine="426"/>
      </w:pPr>
    </w:p>
    <w:p w:rsidR="00160547" w:rsidRPr="00BA45A2" w:rsidRDefault="00160547" w:rsidP="008A6538">
      <w:pPr>
        <w:ind w:firstLine="426"/>
      </w:pPr>
    </w:p>
    <w:p w:rsidR="00160547" w:rsidRPr="00BA45A2" w:rsidRDefault="00160547" w:rsidP="008A6538">
      <w:pPr>
        <w:ind w:firstLine="426"/>
      </w:pPr>
    </w:p>
    <w:p w:rsidR="00160547" w:rsidRPr="00BA45A2" w:rsidRDefault="00160547" w:rsidP="008A6538">
      <w:pPr>
        <w:ind w:firstLine="426"/>
      </w:pPr>
    </w:p>
    <w:p w:rsidR="00160547" w:rsidRPr="00BA45A2" w:rsidRDefault="00160547" w:rsidP="008A6538">
      <w:pPr>
        <w:ind w:firstLine="426"/>
      </w:pPr>
    </w:p>
    <w:p w:rsidR="00160547" w:rsidRPr="00BA45A2" w:rsidRDefault="00160547" w:rsidP="008A6538">
      <w:pPr>
        <w:ind w:firstLine="426"/>
      </w:pPr>
    </w:p>
    <w:p w:rsidR="00160547" w:rsidRPr="00BA45A2" w:rsidRDefault="00160547" w:rsidP="008A6538">
      <w:pPr>
        <w:ind w:firstLine="426"/>
      </w:pPr>
    </w:p>
    <w:p w:rsidR="00160547" w:rsidRDefault="00160547" w:rsidP="008A6538">
      <w:pPr>
        <w:ind w:firstLine="426"/>
      </w:pPr>
    </w:p>
    <w:p w:rsidR="00A47BE1" w:rsidRPr="00BA45A2" w:rsidRDefault="00A47BE1" w:rsidP="008A6538">
      <w:pPr>
        <w:ind w:firstLine="426"/>
      </w:pPr>
    </w:p>
    <w:p w:rsidR="00160547" w:rsidRPr="00BA45A2" w:rsidRDefault="00160547" w:rsidP="008A6538">
      <w:pPr>
        <w:ind w:firstLine="426"/>
      </w:pPr>
    </w:p>
    <w:p w:rsidR="009B243D" w:rsidRDefault="009B243D">
      <w:r>
        <w:br w:type="page"/>
      </w:r>
    </w:p>
    <w:p w:rsidR="00623078" w:rsidRPr="00BA45A2" w:rsidRDefault="009B243D" w:rsidP="008A6538">
      <w:pPr>
        <w:ind w:firstLine="426"/>
      </w:pPr>
      <w:r>
        <w:lastRenderedPageBreak/>
        <w:t>Lentelė N</w:t>
      </w:r>
      <w:r w:rsidR="00160547" w:rsidRPr="00BA45A2">
        <w:t>r. 4:</w:t>
      </w:r>
    </w:p>
    <w:p w:rsidR="008A6538" w:rsidRPr="00BA45A2" w:rsidRDefault="008A6538" w:rsidP="008A6538">
      <w:pPr>
        <w:ind w:firstLine="426"/>
      </w:pPr>
      <w:r w:rsidRPr="00BA45A2">
        <w:rPr>
          <w:noProof/>
          <w:lang w:val="en-GB" w:eastAsia="en-GB"/>
        </w:rPr>
        <w:drawing>
          <wp:inline distT="0" distB="0" distL="0" distR="0">
            <wp:extent cx="5486400" cy="3200400"/>
            <wp:effectExtent l="0" t="0" r="0" b="0"/>
            <wp:docPr id="1" name="Diagrama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160547" w:rsidRPr="00BA45A2" w:rsidRDefault="00160547" w:rsidP="00160547">
      <w:pPr>
        <w:ind w:firstLine="426"/>
      </w:pPr>
      <w:r w:rsidRPr="00BA45A2">
        <w:rPr>
          <w:sz w:val="20"/>
          <w:szCs w:val="20"/>
        </w:rPr>
        <w:t xml:space="preserve">Duomenų šaltinis: </w:t>
      </w:r>
      <w:proofErr w:type="spellStart"/>
      <w:r w:rsidRPr="00BA45A2">
        <w:rPr>
          <w:sz w:val="20"/>
          <w:szCs w:val="20"/>
        </w:rPr>
        <w:t>Eurostat</w:t>
      </w:r>
      <w:proofErr w:type="spellEnd"/>
      <w:r w:rsidR="00FE25FE">
        <w:rPr>
          <w:sz w:val="20"/>
          <w:szCs w:val="20"/>
        </w:rPr>
        <w:t>.</w:t>
      </w:r>
    </w:p>
    <w:p w:rsidR="008A6538" w:rsidRPr="00BA45A2" w:rsidRDefault="008A6538" w:rsidP="008A6538">
      <w:pPr>
        <w:ind w:firstLine="426"/>
      </w:pPr>
    </w:p>
    <w:p w:rsidR="00FE25FE" w:rsidRDefault="00FE25FE" w:rsidP="00FE25FE">
      <w:pPr>
        <w:ind w:firstLine="426"/>
      </w:pPr>
      <w:r>
        <w:t xml:space="preserve">Pažymėtina, kad </w:t>
      </w:r>
      <w:r w:rsidR="00523192">
        <w:t xml:space="preserve">2005-2015 m. </w:t>
      </w:r>
      <w:r>
        <w:t>verslo sektoriaus išlaidos ES tendencingai augo, tuo tarpu Lietuvoje 2005-2007 m. stebėtas augimas sustojo ir privataus kapitalo dalis MTEP finansavimo sąrangoje iki šiol išlieka stabiliai žema.</w:t>
      </w:r>
    </w:p>
    <w:p w:rsidR="008A6538" w:rsidRPr="00BA45A2" w:rsidRDefault="008A6538" w:rsidP="008A6538">
      <w:pPr>
        <w:ind w:firstLine="426"/>
      </w:pPr>
    </w:p>
    <w:p w:rsidR="00160547" w:rsidRPr="00BA45A2" w:rsidRDefault="009B243D" w:rsidP="008A6538">
      <w:pPr>
        <w:ind w:firstLine="426"/>
      </w:pPr>
      <w:r>
        <w:t>Lentelė N</w:t>
      </w:r>
      <w:r w:rsidR="00160547" w:rsidRPr="00BA45A2">
        <w:t>r. 5:</w:t>
      </w:r>
    </w:p>
    <w:p w:rsidR="008A6538" w:rsidRPr="00BA45A2" w:rsidRDefault="006233E0" w:rsidP="008A6538">
      <w:pPr>
        <w:ind w:firstLine="426"/>
      </w:pPr>
      <w:r w:rsidRPr="00BA45A2">
        <w:rPr>
          <w:noProof/>
          <w:lang w:val="en-GB" w:eastAsia="en-GB"/>
        </w:rPr>
        <w:drawing>
          <wp:inline distT="0" distB="0" distL="0" distR="0" wp14:anchorId="01D51BC0" wp14:editId="6796532A">
            <wp:extent cx="5486400" cy="3200400"/>
            <wp:effectExtent l="0" t="0" r="0" b="0"/>
            <wp:docPr id="2" name="Diagrama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160547" w:rsidRPr="00BA45A2" w:rsidRDefault="00160547" w:rsidP="00160547">
      <w:pPr>
        <w:ind w:firstLine="426"/>
      </w:pPr>
      <w:r w:rsidRPr="00BA45A2">
        <w:rPr>
          <w:sz w:val="20"/>
          <w:szCs w:val="20"/>
        </w:rPr>
        <w:t xml:space="preserve">Duomenų šaltinis: </w:t>
      </w:r>
      <w:proofErr w:type="spellStart"/>
      <w:r w:rsidRPr="00BA45A2">
        <w:rPr>
          <w:sz w:val="20"/>
          <w:szCs w:val="20"/>
        </w:rPr>
        <w:t>Eurostat</w:t>
      </w:r>
      <w:proofErr w:type="spellEnd"/>
    </w:p>
    <w:p w:rsidR="00DE1772" w:rsidRPr="00BA45A2" w:rsidRDefault="00DE1772" w:rsidP="008A6538">
      <w:pPr>
        <w:ind w:firstLine="426"/>
      </w:pPr>
    </w:p>
    <w:p w:rsidR="00416060" w:rsidRDefault="00FE25FE" w:rsidP="00416060">
      <w:pPr>
        <w:pStyle w:val="Pagrindiniotekstotrauka"/>
      </w:pPr>
      <w:r>
        <w:t>Vidutinės ES valstybių narių skiriamos biudžeto lėšos MTEP mažai kinta jau daugelį metų. Kita vertus, Lietuva pagal skiriamą valstybinio sektoriaus dėmesį MTEP nuo ES 2015 m. atsilieka labiau nei 2009 m..</w:t>
      </w:r>
    </w:p>
    <w:p w:rsidR="009B243D" w:rsidRDefault="009B243D" w:rsidP="00416060">
      <w:pPr>
        <w:pStyle w:val="Pagrindiniotekstotrauka"/>
      </w:pPr>
      <w:r>
        <w:br w:type="page"/>
      </w:r>
    </w:p>
    <w:p w:rsidR="00FE25FE" w:rsidRDefault="00FE25FE" w:rsidP="00FE25FE">
      <w:pPr>
        <w:pStyle w:val="Pagrindiniotekstotrauka"/>
      </w:pPr>
    </w:p>
    <w:p w:rsidR="00AF5076" w:rsidRDefault="002A7042" w:rsidP="008A6538">
      <w:pPr>
        <w:ind w:firstLine="426"/>
      </w:pPr>
      <w:r w:rsidRPr="00BA45A2">
        <w:rPr>
          <w:noProof/>
          <w:lang w:val="en-GB" w:eastAsia="en-GB"/>
        </w:rPr>
        <w:drawing>
          <wp:anchor distT="0" distB="0" distL="114300" distR="114300" simplePos="0" relativeHeight="251664384" behindDoc="0" locked="0" layoutInCell="1" allowOverlap="1" wp14:anchorId="4C99E340" wp14:editId="46AFDF53">
            <wp:simplePos x="0" y="0"/>
            <wp:positionH relativeFrom="column">
              <wp:posOffset>66675</wp:posOffset>
            </wp:positionH>
            <wp:positionV relativeFrom="paragraph">
              <wp:posOffset>293370</wp:posOffset>
            </wp:positionV>
            <wp:extent cx="6150610" cy="3200400"/>
            <wp:effectExtent l="0" t="0" r="2540" b="0"/>
            <wp:wrapSquare wrapText="bothSides"/>
            <wp:docPr id="8" name="Diagrama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margin">
              <wp14:pctWidth>0</wp14:pctWidth>
            </wp14:sizeRelH>
            <wp14:sizeRelV relativeFrom="margin">
              <wp14:pctHeight>0</wp14:pctHeight>
            </wp14:sizeRelV>
          </wp:anchor>
        </w:drawing>
      </w:r>
      <w:r w:rsidR="009B243D">
        <w:t>Lentelė N</w:t>
      </w:r>
      <w:r w:rsidR="00D42009">
        <w:t xml:space="preserve">r. </w:t>
      </w:r>
      <w:r>
        <w:t>6</w:t>
      </w:r>
      <w:r w:rsidR="00D42009">
        <w:t>:</w:t>
      </w:r>
    </w:p>
    <w:p w:rsidR="00D42009" w:rsidRPr="00BA45A2" w:rsidRDefault="00D42009" w:rsidP="00D42009">
      <w:pPr>
        <w:ind w:firstLine="426"/>
      </w:pPr>
      <w:r w:rsidRPr="00BA45A2">
        <w:rPr>
          <w:sz w:val="20"/>
          <w:szCs w:val="20"/>
        </w:rPr>
        <w:t xml:space="preserve">Duomenų šaltinis: </w:t>
      </w:r>
      <w:proofErr w:type="spellStart"/>
      <w:r w:rsidRPr="00BA45A2">
        <w:rPr>
          <w:sz w:val="20"/>
          <w:szCs w:val="20"/>
        </w:rPr>
        <w:t>Eurostat</w:t>
      </w:r>
      <w:proofErr w:type="spellEnd"/>
      <w:r w:rsidR="002A7042">
        <w:rPr>
          <w:sz w:val="20"/>
          <w:szCs w:val="20"/>
        </w:rPr>
        <w:t>, 2015.</w:t>
      </w:r>
      <w:r w:rsidR="002A7042">
        <w:rPr>
          <w:rStyle w:val="Puslapioinaosnuoroda"/>
          <w:sz w:val="20"/>
          <w:szCs w:val="20"/>
        </w:rPr>
        <w:footnoteReference w:id="1"/>
      </w:r>
    </w:p>
    <w:p w:rsidR="00407D48" w:rsidRPr="00BA45A2" w:rsidRDefault="00407D48" w:rsidP="008A6538">
      <w:pPr>
        <w:ind w:firstLine="426"/>
      </w:pPr>
    </w:p>
    <w:p w:rsidR="002A7042" w:rsidRDefault="00523192" w:rsidP="002A7042">
      <w:pPr>
        <w:pStyle w:val="Pagrindiniotekstotrauka"/>
      </w:pPr>
      <w:r>
        <w:t>Atkreiptinas dėmesys į tai</w:t>
      </w:r>
      <w:r w:rsidR="002A7042">
        <w:t>, jog Lietuva konkuruodama ir besilygindama su tokiais Rytų Europos sėkmės pavyzdžiais kaip Estija ar Slovėnija MTEP srityje skiria mažesnį (nei Slovėnijos) ar gerokai mažesnį (nei Estijos) valstybinį finansavimą inovacijų ciklo palaikymui. Taigi siekiama tikslų net valstybiniu lygmeniu nesuteikiant deramų įrankių juos įgyvendinti.</w:t>
      </w:r>
    </w:p>
    <w:p w:rsidR="00407D48" w:rsidRPr="00BA45A2" w:rsidRDefault="00407D48" w:rsidP="008A6538">
      <w:pPr>
        <w:ind w:firstLine="426"/>
      </w:pPr>
    </w:p>
    <w:p w:rsidR="00DD3F33" w:rsidRPr="00BA45A2" w:rsidRDefault="00DD3F33" w:rsidP="008A6538">
      <w:pPr>
        <w:ind w:firstLine="426"/>
      </w:pPr>
    </w:p>
    <w:p w:rsidR="00DD3F33" w:rsidRPr="00BA45A2" w:rsidRDefault="00DD3F33" w:rsidP="008A6538">
      <w:pPr>
        <w:ind w:firstLine="426"/>
      </w:pPr>
    </w:p>
    <w:p w:rsidR="00DD3F33" w:rsidRPr="00BA45A2" w:rsidRDefault="00DD3F33" w:rsidP="008A6538">
      <w:pPr>
        <w:ind w:firstLine="426"/>
      </w:pPr>
    </w:p>
    <w:p w:rsidR="00DD3F33" w:rsidRPr="00BA45A2" w:rsidRDefault="00DD3F33" w:rsidP="008A6538">
      <w:pPr>
        <w:ind w:firstLine="426"/>
      </w:pPr>
    </w:p>
    <w:p w:rsidR="00DD3F33" w:rsidRPr="00BA45A2" w:rsidRDefault="00DD3F33" w:rsidP="008A6538">
      <w:pPr>
        <w:ind w:firstLine="426"/>
      </w:pPr>
    </w:p>
    <w:p w:rsidR="004358B3" w:rsidRPr="00BA45A2" w:rsidRDefault="004358B3" w:rsidP="008A6538">
      <w:pPr>
        <w:ind w:firstLine="426"/>
      </w:pPr>
    </w:p>
    <w:p w:rsidR="003D2D48" w:rsidRPr="00BA45A2" w:rsidRDefault="003D2D48" w:rsidP="008A6538">
      <w:pPr>
        <w:ind w:firstLine="426"/>
      </w:pPr>
    </w:p>
    <w:p w:rsidR="00B12D3C" w:rsidRPr="00BA45A2" w:rsidRDefault="00B12D3C" w:rsidP="008A6538">
      <w:pPr>
        <w:ind w:firstLine="426"/>
      </w:pPr>
    </w:p>
    <w:p w:rsidR="00B12D3C" w:rsidRPr="00BA45A2" w:rsidRDefault="00B12D3C" w:rsidP="008A6538">
      <w:pPr>
        <w:ind w:firstLine="426"/>
      </w:pPr>
    </w:p>
    <w:p w:rsidR="00B76D3A" w:rsidRPr="00BA45A2" w:rsidRDefault="00B76D3A" w:rsidP="008A6538">
      <w:pPr>
        <w:ind w:firstLine="426"/>
      </w:pPr>
    </w:p>
    <w:p w:rsidR="00B76D3A" w:rsidRPr="00BA45A2" w:rsidRDefault="00B76D3A" w:rsidP="008A6538">
      <w:pPr>
        <w:ind w:firstLine="426"/>
      </w:pPr>
    </w:p>
    <w:p w:rsidR="00B76D3A" w:rsidRPr="00BA45A2" w:rsidRDefault="00B76D3A" w:rsidP="008A6538">
      <w:pPr>
        <w:ind w:firstLine="426"/>
      </w:pPr>
    </w:p>
    <w:p w:rsidR="00B76D3A" w:rsidRPr="00BA45A2" w:rsidRDefault="00F75616" w:rsidP="008A6538">
      <w:pPr>
        <w:ind w:firstLine="426"/>
      </w:pPr>
      <w:r w:rsidRPr="00BA45A2">
        <w:rPr>
          <w:noProof/>
          <w:lang w:val="en-GB" w:eastAsia="en-GB"/>
        </w:rPr>
        <w:lastRenderedPageBreak/>
        <w:drawing>
          <wp:anchor distT="0" distB="0" distL="114300" distR="114300" simplePos="0" relativeHeight="251660288" behindDoc="0" locked="0" layoutInCell="1" allowOverlap="1" wp14:anchorId="70D0CDD7" wp14:editId="157596A3">
            <wp:simplePos x="0" y="0"/>
            <wp:positionH relativeFrom="column">
              <wp:posOffset>-1905</wp:posOffset>
            </wp:positionH>
            <wp:positionV relativeFrom="paragraph">
              <wp:posOffset>314816</wp:posOffset>
            </wp:positionV>
            <wp:extent cx="6150610" cy="3200400"/>
            <wp:effectExtent l="0" t="0" r="2540" b="0"/>
            <wp:wrapSquare wrapText="bothSides"/>
            <wp:docPr id="12" name="Diagrama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margin">
              <wp14:pctWidth>0</wp14:pctWidth>
            </wp14:sizeRelH>
            <wp14:sizeRelV relativeFrom="margin">
              <wp14:pctHeight>0</wp14:pctHeight>
            </wp14:sizeRelV>
          </wp:anchor>
        </w:drawing>
      </w:r>
      <w:r w:rsidR="00BA45A2" w:rsidRPr="00BA45A2">
        <w:t>Lentelė</w:t>
      </w:r>
      <w:r w:rsidR="009B243D">
        <w:t xml:space="preserve"> N</w:t>
      </w:r>
      <w:r w:rsidR="00BA45A2">
        <w:t xml:space="preserve">r. </w:t>
      </w:r>
      <w:r w:rsidR="002A7042">
        <w:t>7</w:t>
      </w:r>
      <w:r w:rsidR="00BA45A2">
        <w:t>:</w:t>
      </w:r>
    </w:p>
    <w:p w:rsidR="00BA45A2" w:rsidRPr="00BA45A2" w:rsidRDefault="00BA45A2" w:rsidP="00BA45A2">
      <w:pPr>
        <w:ind w:firstLine="426"/>
      </w:pPr>
      <w:r w:rsidRPr="00BA45A2">
        <w:rPr>
          <w:sz w:val="20"/>
          <w:szCs w:val="20"/>
        </w:rPr>
        <w:t xml:space="preserve">Duomenų šaltinis: </w:t>
      </w:r>
      <w:proofErr w:type="spellStart"/>
      <w:r w:rsidRPr="00BA45A2">
        <w:rPr>
          <w:sz w:val="20"/>
          <w:szCs w:val="20"/>
        </w:rPr>
        <w:t>Eurostat</w:t>
      </w:r>
      <w:proofErr w:type="spellEnd"/>
      <w:r w:rsidR="002A7042">
        <w:rPr>
          <w:sz w:val="20"/>
          <w:szCs w:val="20"/>
        </w:rPr>
        <w:t>, 2015.</w:t>
      </w:r>
      <w:r w:rsidR="002A7042">
        <w:rPr>
          <w:rStyle w:val="Puslapioinaosnuoroda"/>
          <w:sz w:val="20"/>
          <w:szCs w:val="20"/>
        </w:rPr>
        <w:footnoteReference w:id="2"/>
      </w:r>
    </w:p>
    <w:p w:rsidR="00F75616" w:rsidRPr="00BA45A2" w:rsidRDefault="00F75616" w:rsidP="008A6538">
      <w:pPr>
        <w:ind w:firstLine="426"/>
      </w:pPr>
    </w:p>
    <w:p w:rsidR="002A7042" w:rsidRDefault="002A7042" w:rsidP="002A7042">
      <w:pPr>
        <w:ind w:firstLine="426"/>
      </w:pPr>
      <w:r>
        <w:t>Lietuvoje trūksta žinioms imlaus verslo. Lietuvos verslas yra tarp mažiausiai lėšų MTEP skiriančiųjų visoje Europos Sąjungoje.</w:t>
      </w:r>
    </w:p>
    <w:p w:rsidR="002A7042" w:rsidRDefault="002A7042" w:rsidP="00416060">
      <w:pPr>
        <w:pStyle w:val="Pagrindiniotekstotrauka"/>
      </w:pPr>
      <w:r>
        <w:t xml:space="preserve">Kita vertus, pagal viešojo sektoriaus pritrauktas verslo lėšas Lietuva ES užima antrąją vietą, į pirmąją poziciją užleisdama tik Vokietiją. Tai reiškia, kad esamas žinioms imlaus verslo sektorius Lietuvoje labai aktyvus, o valstybės vykdoma esamų mokslo institucijų ir žinioms imlaus verslo įmonių bendradarbiavimo politika pasiteisina, yra efektyvi. Tačiau problema tampa inovacijų kultūros diegimas verslo įmonėse – </w:t>
      </w:r>
      <w:r w:rsidR="00523192">
        <w:t xml:space="preserve">Lietuvos </w:t>
      </w:r>
      <w:r>
        <w:t>žinioms imlaus verslo sektorius ES mastu yra labai nedidelis.</w:t>
      </w:r>
    </w:p>
    <w:p w:rsidR="00F75616" w:rsidRPr="00BA45A2" w:rsidRDefault="00F75616" w:rsidP="008A6538">
      <w:pPr>
        <w:ind w:firstLine="426"/>
      </w:pPr>
      <w:r w:rsidRPr="00BA45A2">
        <w:rPr>
          <w:noProof/>
          <w:lang w:val="en-GB" w:eastAsia="en-GB"/>
        </w:rPr>
        <w:drawing>
          <wp:anchor distT="0" distB="0" distL="114300" distR="114300" simplePos="0" relativeHeight="251662336" behindDoc="0" locked="0" layoutInCell="1" allowOverlap="1" wp14:anchorId="026D99A1" wp14:editId="41AB775A">
            <wp:simplePos x="0" y="0"/>
            <wp:positionH relativeFrom="margin">
              <wp:align>left</wp:align>
            </wp:positionH>
            <wp:positionV relativeFrom="paragraph">
              <wp:posOffset>263525</wp:posOffset>
            </wp:positionV>
            <wp:extent cx="6150610" cy="2857500"/>
            <wp:effectExtent l="0" t="0" r="2540" b="0"/>
            <wp:wrapSquare wrapText="bothSides"/>
            <wp:docPr id="13" name="Diagrama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margin">
              <wp14:pctWidth>0</wp14:pctWidth>
            </wp14:sizeRelH>
            <wp14:sizeRelV relativeFrom="margin">
              <wp14:pctHeight>0</wp14:pctHeight>
            </wp14:sizeRelV>
          </wp:anchor>
        </w:drawing>
      </w:r>
      <w:r w:rsidR="009B243D">
        <w:t>Lentelė N</w:t>
      </w:r>
      <w:r w:rsidR="00BA45A2">
        <w:t xml:space="preserve">r. </w:t>
      </w:r>
      <w:r w:rsidR="000D707B">
        <w:t>8</w:t>
      </w:r>
      <w:r w:rsidR="00BA45A2">
        <w:t>:</w:t>
      </w:r>
    </w:p>
    <w:p w:rsidR="000D707B" w:rsidRDefault="000D707B" w:rsidP="000D707B">
      <w:pPr>
        <w:ind w:firstLine="426"/>
        <w:rPr>
          <w:sz w:val="20"/>
          <w:szCs w:val="20"/>
        </w:rPr>
      </w:pPr>
      <w:r>
        <w:rPr>
          <w:sz w:val="20"/>
          <w:szCs w:val="20"/>
        </w:rPr>
        <w:t xml:space="preserve">Duomenų šaltinis: </w:t>
      </w:r>
      <w:proofErr w:type="spellStart"/>
      <w:r>
        <w:rPr>
          <w:sz w:val="20"/>
          <w:szCs w:val="20"/>
        </w:rPr>
        <w:t>Eurostat</w:t>
      </w:r>
      <w:proofErr w:type="spellEnd"/>
      <w:r>
        <w:rPr>
          <w:sz w:val="20"/>
          <w:szCs w:val="20"/>
        </w:rPr>
        <w:t>, 2015.</w:t>
      </w:r>
      <w:r>
        <w:rPr>
          <w:rStyle w:val="Puslapioinaosnuoroda"/>
          <w:sz w:val="20"/>
          <w:szCs w:val="20"/>
        </w:rPr>
        <w:footnoteReference w:id="3"/>
      </w:r>
    </w:p>
    <w:p w:rsidR="000D707B" w:rsidRDefault="000D707B" w:rsidP="000D707B">
      <w:pPr>
        <w:ind w:firstLine="426"/>
        <w:rPr>
          <w:b/>
          <w:bCs/>
        </w:rPr>
      </w:pPr>
      <w:r>
        <w:rPr>
          <w:b/>
          <w:bCs/>
        </w:rPr>
        <w:lastRenderedPageBreak/>
        <w:t>Struktūrinės MTEP srities problemos:</w:t>
      </w:r>
    </w:p>
    <w:p w:rsidR="000D707B" w:rsidRDefault="000D707B" w:rsidP="000D707B">
      <w:pPr>
        <w:numPr>
          <w:ilvl w:val="0"/>
          <w:numId w:val="1"/>
        </w:numPr>
      </w:pPr>
      <w:r>
        <w:t>per mažas, siekių masto neatitinkantis valstybės dėmesys (ir finansavimas) MTEP sričiai;</w:t>
      </w:r>
    </w:p>
    <w:p w:rsidR="000D707B" w:rsidRDefault="000D707B" w:rsidP="000D707B">
      <w:pPr>
        <w:numPr>
          <w:ilvl w:val="0"/>
          <w:numId w:val="1"/>
        </w:numPr>
      </w:pPr>
      <w:r>
        <w:t>žinioms imlaus verslo trūkumas.</w:t>
      </w:r>
    </w:p>
    <w:p w:rsidR="00B12D3C" w:rsidRPr="00BA45A2" w:rsidRDefault="00B12D3C" w:rsidP="008A6538">
      <w:pPr>
        <w:ind w:firstLine="426"/>
      </w:pPr>
    </w:p>
    <w:p w:rsidR="00B12D3C" w:rsidRPr="00BA45A2" w:rsidRDefault="0035079B" w:rsidP="0035079B">
      <w:pPr>
        <w:ind w:firstLine="426"/>
        <w:jc w:val="both"/>
      </w:pPr>
      <w:r>
        <w:t xml:space="preserve">Minimas srities problemas iš dalies maskuoja ES vis dar skiriamų struktūrinių fondų lėšos. Kita vertus, negalutiniais </w:t>
      </w:r>
      <w:proofErr w:type="spellStart"/>
      <w:r>
        <w:t>Eurostat</w:t>
      </w:r>
      <w:proofErr w:type="spellEnd"/>
      <w:r>
        <w:t xml:space="preserve"> duomenimis bendras MTEP skiriamas finansavimas Lietuvoje 2016 m. sumažėjo </w:t>
      </w:r>
      <w:r w:rsidR="00877AF9">
        <w:t xml:space="preserve">daugiau nei ketvirtadaliu </w:t>
      </w:r>
      <w:r>
        <w:t xml:space="preserve">ir nuo 1,04 proc. nuo BVP 2015 m. nukrito iki 0,74 proc. nuo BVP 2016 m.. ES valstybių narių </w:t>
      </w:r>
      <w:r w:rsidR="00877AF9">
        <w:t xml:space="preserve">vidutinės </w:t>
      </w:r>
      <w:r>
        <w:t>išlaidos MTEP nepakito –</w:t>
      </w:r>
      <w:r w:rsidR="00877AF9">
        <w:t xml:space="preserve"> </w:t>
      </w:r>
      <w:r>
        <w:t>sudarė vidutiniškai 2,03 proc. nuo BVP</w:t>
      </w:r>
      <w:r w:rsidR="002908FE">
        <w:t xml:space="preserve"> ir 2016 m.</w:t>
      </w:r>
      <w:r w:rsidR="005971B6">
        <w:t xml:space="preserve"> (žr. Lentelė </w:t>
      </w:r>
      <w:r w:rsidR="00416060">
        <w:t>N</w:t>
      </w:r>
      <w:r w:rsidR="005971B6">
        <w:t>r. 9)</w:t>
      </w:r>
      <w:r w:rsidR="00877AF9">
        <w:t>.</w:t>
      </w:r>
    </w:p>
    <w:p w:rsidR="00B12D3C" w:rsidRDefault="00B12D3C" w:rsidP="008A6538">
      <w:pPr>
        <w:ind w:firstLine="426"/>
      </w:pPr>
    </w:p>
    <w:p w:rsidR="00971F88" w:rsidRDefault="00971F88" w:rsidP="008A6538">
      <w:pPr>
        <w:ind w:firstLine="426"/>
      </w:pPr>
      <w:bookmarkStart w:id="0" w:name="_GoBack"/>
      <w:bookmarkEnd w:id="0"/>
      <w:r>
        <w:t xml:space="preserve">Lentelė </w:t>
      </w:r>
      <w:r w:rsidR="00A47BE1">
        <w:t>N</w:t>
      </w:r>
      <w:r>
        <w:t>r. 9</w:t>
      </w:r>
      <w:r w:rsidR="005971B6">
        <w:t>:</w:t>
      </w:r>
    </w:p>
    <w:p w:rsidR="0030392B" w:rsidRDefault="0030392B" w:rsidP="008A6538">
      <w:pPr>
        <w:ind w:firstLine="426"/>
      </w:pPr>
      <w:r w:rsidRPr="00BA45A2">
        <w:rPr>
          <w:noProof/>
          <w:lang w:val="en-GB" w:eastAsia="en-GB"/>
        </w:rPr>
        <w:drawing>
          <wp:inline distT="0" distB="0" distL="0" distR="0" wp14:anchorId="557B41A6" wp14:editId="74926A8C">
            <wp:extent cx="5486400" cy="3200400"/>
            <wp:effectExtent l="0" t="0" r="0" b="0"/>
            <wp:docPr id="3" name="Diagrama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30392B" w:rsidRPr="00BA45A2" w:rsidRDefault="00971F88" w:rsidP="008A6538">
      <w:pPr>
        <w:ind w:firstLine="426"/>
      </w:pPr>
      <w:r>
        <w:rPr>
          <w:sz w:val="20"/>
          <w:szCs w:val="20"/>
        </w:rPr>
        <w:t xml:space="preserve">Duomenų šaltinis: </w:t>
      </w:r>
      <w:proofErr w:type="spellStart"/>
      <w:r>
        <w:rPr>
          <w:sz w:val="20"/>
          <w:szCs w:val="20"/>
        </w:rPr>
        <w:t>Eurostat</w:t>
      </w:r>
      <w:proofErr w:type="spellEnd"/>
      <w:r>
        <w:rPr>
          <w:sz w:val="20"/>
          <w:szCs w:val="20"/>
        </w:rPr>
        <w:t>.</w:t>
      </w:r>
    </w:p>
    <w:p w:rsidR="00B12D3C" w:rsidRPr="00BA45A2" w:rsidRDefault="00B12D3C" w:rsidP="008A6538">
      <w:pPr>
        <w:ind w:firstLine="426"/>
      </w:pPr>
    </w:p>
    <w:p w:rsidR="00B12D3C" w:rsidRPr="00BA45A2" w:rsidRDefault="00B12D3C" w:rsidP="008A6538">
      <w:pPr>
        <w:ind w:firstLine="426"/>
      </w:pPr>
    </w:p>
    <w:p w:rsidR="00B12D3C" w:rsidRPr="00BA45A2" w:rsidRDefault="00B12D3C" w:rsidP="008A6538">
      <w:pPr>
        <w:ind w:firstLine="426"/>
      </w:pPr>
    </w:p>
    <w:sectPr w:rsidR="00B12D3C" w:rsidRPr="00BA45A2" w:rsidSect="006309A6">
      <w:footerReference w:type="default" r:id="rId17"/>
      <w:pgSz w:w="11906" w:h="16838"/>
      <w:pgMar w:top="1276"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5A3B" w:rsidRDefault="00075A3B" w:rsidP="00407D48">
      <w:pPr>
        <w:spacing w:line="240" w:lineRule="auto"/>
      </w:pPr>
      <w:r>
        <w:separator/>
      </w:r>
    </w:p>
  </w:endnote>
  <w:endnote w:type="continuationSeparator" w:id="0">
    <w:p w:rsidR="00075A3B" w:rsidRDefault="00075A3B" w:rsidP="00407D4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9032713"/>
      <w:docPartObj>
        <w:docPartGallery w:val="Page Numbers (Bottom of Page)"/>
        <w:docPartUnique/>
      </w:docPartObj>
    </w:sdtPr>
    <w:sdtEndPr/>
    <w:sdtContent>
      <w:p w:rsidR="00407D48" w:rsidRDefault="00407D48">
        <w:pPr>
          <w:pStyle w:val="Porat"/>
          <w:jc w:val="right"/>
        </w:pPr>
        <w:r>
          <w:fldChar w:fldCharType="begin"/>
        </w:r>
        <w:r>
          <w:instrText>PAGE   \* MERGEFORMAT</w:instrText>
        </w:r>
        <w:r>
          <w:fldChar w:fldCharType="separate"/>
        </w:r>
        <w:r w:rsidR="00416060">
          <w:rPr>
            <w:noProof/>
          </w:rPr>
          <w:t>7</w:t>
        </w:r>
        <w:r>
          <w:fldChar w:fldCharType="end"/>
        </w:r>
      </w:p>
    </w:sdtContent>
  </w:sdt>
  <w:p w:rsidR="00407D48" w:rsidRDefault="00407D48">
    <w:pPr>
      <w:pStyle w:val="Por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5A3B" w:rsidRDefault="00075A3B" w:rsidP="00407D48">
      <w:pPr>
        <w:spacing w:line="240" w:lineRule="auto"/>
      </w:pPr>
      <w:r>
        <w:separator/>
      </w:r>
    </w:p>
  </w:footnote>
  <w:footnote w:type="continuationSeparator" w:id="0">
    <w:p w:rsidR="00075A3B" w:rsidRDefault="00075A3B" w:rsidP="00407D48">
      <w:pPr>
        <w:spacing w:line="240" w:lineRule="auto"/>
      </w:pPr>
      <w:r>
        <w:continuationSeparator/>
      </w:r>
    </w:p>
  </w:footnote>
  <w:footnote w:id="1">
    <w:p w:rsidR="002A7042" w:rsidRDefault="002A7042">
      <w:pPr>
        <w:pStyle w:val="Puslapioinaostekstas"/>
      </w:pPr>
      <w:r>
        <w:rPr>
          <w:rStyle w:val="Puslapioinaosnuoroda"/>
        </w:rPr>
        <w:footnoteRef/>
      </w:r>
      <w:r>
        <w:t xml:space="preserve"> Naujausi, 2015 m., </w:t>
      </w:r>
      <w:proofErr w:type="spellStart"/>
      <w:r>
        <w:t>Eurostat</w:t>
      </w:r>
      <w:proofErr w:type="spellEnd"/>
      <w:r>
        <w:t xml:space="preserve"> pateikiami duomenys neatspindi Prancūzijos ir Švedijos pozicijų.</w:t>
      </w:r>
    </w:p>
  </w:footnote>
  <w:footnote w:id="2">
    <w:p w:rsidR="002A7042" w:rsidRDefault="002A7042">
      <w:pPr>
        <w:pStyle w:val="Puslapioinaostekstas"/>
      </w:pPr>
      <w:r>
        <w:rPr>
          <w:rStyle w:val="Puslapioinaosnuoroda"/>
        </w:rPr>
        <w:footnoteRef/>
      </w:r>
      <w:r>
        <w:t xml:space="preserve"> </w:t>
      </w:r>
      <w:r>
        <w:t xml:space="preserve">Naujausi, 2015 m., </w:t>
      </w:r>
      <w:proofErr w:type="spellStart"/>
      <w:r>
        <w:t>Eurostat</w:t>
      </w:r>
      <w:proofErr w:type="spellEnd"/>
      <w:r>
        <w:t xml:space="preserve"> pateikiami duomenys neatspindi Prancūzijos pozicijų.</w:t>
      </w:r>
    </w:p>
  </w:footnote>
  <w:footnote w:id="3">
    <w:p w:rsidR="000D707B" w:rsidRDefault="000D707B" w:rsidP="000D707B">
      <w:pPr>
        <w:pStyle w:val="Puslapioinaostekstas"/>
      </w:pPr>
      <w:r>
        <w:rPr>
          <w:rStyle w:val="Puslapioinaosnuoroda"/>
        </w:rPr>
        <w:footnoteRef/>
      </w:r>
      <w:r>
        <w:t xml:space="preserve"> </w:t>
      </w:r>
      <w:r>
        <w:t xml:space="preserve">Naujausi, 2015 m., </w:t>
      </w:r>
      <w:proofErr w:type="spellStart"/>
      <w:r>
        <w:t>Eurostat</w:t>
      </w:r>
      <w:proofErr w:type="spellEnd"/>
      <w:r>
        <w:t xml:space="preserve"> pateikiami duomenys neatspindi Prancūzijos pozicijų.</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74B7F1D"/>
    <w:multiLevelType w:val="hybridMultilevel"/>
    <w:tmpl w:val="E9AE8014"/>
    <w:lvl w:ilvl="0" w:tplc="77AEB60E">
      <w:start w:val="1"/>
      <w:numFmt w:val="decimal"/>
      <w:lvlText w:val="%1."/>
      <w:lvlJc w:val="left"/>
      <w:pPr>
        <w:tabs>
          <w:tab w:val="num" w:pos="786"/>
        </w:tabs>
        <w:ind w:left="786" w:hanging="360"/>
      </w:pPr>
      <w:rPr>
        <w:rFonts w:ascii="Times New Roman" w:hAnsi="Times New Roman" w:cs="Times New Roman" w:hint="default"/>
      </w:rPr>
    </w:lvl>
    <w:lvl w:ilvl="1" w:tplc="04090019">
      <w:start w:val="1"/>
      <w:numFmt w:val="lowerLetter"/>
      <w:lvlText w:val="%2."/>
      <w:lvlJc w:val="left"/>
      <w:pPr>
        <w:tabs>
          <w:tab w:val="num" w:pos="1506"/>
        </w:tabs>
        <w:ind w:left="1506" w:hanging="360"/>
      </w:pPr>
      <w:rPr>
        <w:rFonts w:ascii="Times New Roman" w:hAnsi="Times New Roman" w:cs="Times New Roman"/>
      </w:rPr>
    </w:lvl>
    <w:lvl w:ilvl="2" w:tplc="0409001B">
      <w:start w:val="1"/>
      <w:numFmt w:val="lowerRoman"/>
      <w:lvlText w:val="%3."/>
      <w:lvlJc w:val="right"/>
      <w:pPr>
        <w:tabs>
          <w:tab w:val="num" w:pos="2226"/>
        </w:tabs>
        <w:ind w:left="2226" w:hanging="180"/>
      </w:pPr>
      <w:rPr>
        <w:rFonts w:ascii="Times New Roman" w:hAnsi="Times New Roman" w:cs="Times New Roman"/>
      </w:rPr>
    </w:lvl>
    <w:lvl w:ilvl="3" w:tplc="0409000F">
      <w:start w:val="1"/>
      <w:numFmt w:val="decimal"/>
      <w:lvlText w:val="%4."/>
      <w:lvlJc w:val="left"/>
      <w:pPr>
        <w:tabs>
          <w:tab w:val="num" w:pos="2946"/>
        </w:tabs>
        <w:ind w:left="2946" w:hanging="360"/>
      </w:pPr>
      <w:rPr>
        <w:rFonts w:ascii="Times New Roman" w:hAnsi="Times New Roman" w:cs="Times New Roman"/>
      </w:rPr>
    </w:lvl>
    <w:lvl w:ilvl="4" w:tplc="04090019">
      <w:start w:val="1"/>
      <w:numFmt w:val="lowerLetter"/>
      <w:lvlText w:val="%5."/>
      <w:lvlJc w:val="left"/>
      <w:pPr>
        <w:tabs>
          <w:tab w:val="num" w:pos="3666"/>
        </w:tabs>
        <w:ind w:left="3666" w:hanging="360"/>
      </w:pPr>
      <w:rPr>
        <w:rFonts w:ascii="Times New Roman" w:hAnsi="Times New Roman" w:cs="Times New Roman"/>
      </w:rPr>
    </w:lvl>
    <w:lvl w:ilvl="5" w:tplc="0409001B">
      <w:start w:val="1"/>
      <w:numFmt w:val="lowerRoman"/>
      <w:lvlText w:val="%6."/>
      <w:lvlJc w:val="right"/>
      <w:pPr>
        <w:tabs>
          <w:tab w:val="num" w:pos="4386"/>
        </w:tabs>
        <w:ind w:left="4386" w:hanging="180"/>
      </w:pPr>
      <w:rPr>
        <w:rFonts w:ascii="Times New Roman" w:hAnsi="Times New Roman" w:cs="Times New Roman"/>
      </w:rPr>
    </w:lvl>
    <w:lvl w:ilvl="6" w:tplc="0409000F">
      <w:start w:val="1"/>
      <w:numFmt w:val="decimal"/>
      <w:lvlText w:val="%7."/>
      <w:lvlJc w:val="left"/>
      <w:pPr>
        <w:tabs>
          <w:tab w:val="num" w:pos="5106"/>
        </w:tabs>
        <w:ind w:left="5106" w:hanging="360"/>
      </w:pPr>
      <w:rPr>
        <w:rFonts w:ascii="Times New Roman" w:hAnsi="Times New Roman" w:cs="Times New Roman"/>
      </w:rPr>
    </w:lvl>
    <w:lvl w:ilvl="7" w:tplc="04090019">
      <w:start w:val="1"/>
      <w:numFmt w:val="lowerLetter"/>
      <w:lvlText w:val="%8."/>
      <w:lvlJc w:val="left"/>
      <w:pPr>
        <w:tabs>
          <w:tab w:val="num" w:pos="5826"/>
        </w:tabs>
        <w:ind w:left="5826" w:hanging="360"/>
      </w:pPr>
      <w:rPr>
        <w:rFonts w:ascii="Times New Roman" w:hAnsi="Times New Roman" w:cs="Times New Roman"/>
      </w:rPr>
    </w:lvl>
    <w:lvl w:ilvl="8" w:tplc="0409001B">
      <w:start w:val="1"/>
      <w:numFmt w:val="lowerRoman"/>
      <w:lvlText w:val="%9."/>
      <w:lvlJc w:val="right"/>
      <w:pPr>
        <w:tabs>
          <w:tab w:val="num" w:pos="6546"/>
        </w:tabs>
        <w:ind w:left="6546" w:hanging="180"/>
      </w:pPr>
      <w:rPr>
        <w:rFonts w:ascii="Times New Roman" w:hAnsi="Times New Roman"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5A62"/>
    <w:rsid w:val="00031736"/>
    <w:rsid w:val="0004156E"/>
    <w:rsid w:val="00075A3B"/>
    <w:rsid w:val="00082174"/>
    <w:rsid w:val="00087873"/>
    <w:rsid w:val="000921D8"/>
    <w:rsid w:val="000D0D1D"/>
    <w:rsid w:val="000D707B"/>
    <w:rsid w:val="000D7390"/>
    <w:rsid w:val="000F7822"/>
    <w:rsid w:val="00116333"/>
    <w:rsid w:val="001465AC"/>
    <w:rsid w:val="00160547"/>
    <w:rsid w:val="00160F86"/>
    <w:rsid w:val="00183640"/>
    <w:rsid w:val="001E3708"/>
    <w:rsid w:val="001F3AC0"/>
    <w:rsid w:val="00251882"/>
    <w:rsid w:val="002857C6"/>
    <w:rsid w:val="002908FE"/>
    <w:rsid w:val="002A7042"/>
    <w:rsid w:val="0030392B"/>
    <w:rsid w:val="00327E27"/>
    <w:rsid w:val="0035079B"/>
    <w:rsid w:val="0036270C"/>
    <w:rsid w:val="003923D3"/>
    <w:rsid w:val="003929EB"/>
    <w:rsid w:val="003D2D48"/>
    <w:rsid w:val="00407D48"/>
    <w:rsid w:val="00416060"/>
    <w:rsid w:val="00432038"/>
    <w:rsid w:val="004358B3"/>
    <w:rsid w:val="004A3019"/>
    <w:rsid w:val="004C29E3"/>
    <w:rsid w:val="004F6702"/>
    <w:rsid w:val="00523192"/>
    <w:rsid w:val="005471C0"/>
    <w:rsid w:val="005971B6"/>
    <w:rsid w:val="00623078"/>
    <w:rsid w:val="006233E0"/>
    <w:rsid w:val="00623C6D"/>
    <w:rsid w:val="006309A6"/>
    <w:rsid w:val="00673BAE"/>
    <w:rsid w:val="00685F74"/>
    <w:rsid w:val="0071161E"/>
    <w:rsid w:val="00721EE8"/>
    <w:rsid w:val="00737453"/>
    <w:rsid w:val="00751952"/>
    <w:rsid w:val="007D6FC0"/>
    <w:rsid w:val="007F30C9"/>
    <w:rsid w:val="008173F9"/>
    <w:rsid w:val="00862681"/>
    <w:rsid w:val="00877AF9"/>
    <w:rsid w:val="008A6538"/>
    <w:rsid w:val="00905709"/>
    <w:rsid w:val="0094268D"/>
    <w:rsid w:val="00971F88"/>
    <w:rsid w:val="0099161D"/>
    <w:rsid w:val="009B243D"/>
    <w:rsid w:val="009D11E0"/>
    <w:rsid w:val="009D4B47"/>
    <w:rsid w:val="009D714C"/>
    <w:rsid w:val="009D7F74"/>
    <w:rsid w:val="00A00DA0"/>
    <w:rsid w:val="00A47BE1"/>
    <w:rsid w:val="00A609D3"/>
    <w:rsid w:val="00A85A62"/>
    <w:rsid w:val="00AF5076"/>
    <w:rsid w:val="00B12D3C"/>
    <w:rsid w:val="00B40B03"/>
    <w:rsid w:val="00B63BA7"/>
    <w:rsid w:val="00B76D3A"/>
    <w:rsid w:val="00B83562"/>
    <w:rsid w:val="00BA45A2"/>
    <w:rsid w:val="00BC6FE0"/>
    <w:rsid w:val="00C91979"/>
    <w:rsid w:val="00C91C09"/>
    <w:rsid w:val="00D1271A"/>
    <w:rsid w:val="00D318D4"/>
    <w:rsid w:val="00D42009"/>
    <w:rsid w:val="00D56ADD"/>
    <w:rsid w:val="00D730CB"/>
    <w:rsid w:val="00D7619E"/>
    <w:rsid w:val="00D76526"/>
    <w:rsid w:val="00D82FEE"/>
    <w:rsid w:val="00D869E2"/>
    <w:rsid w:val="00D91A38"/>
    <w:rsid w:val="00DD3F33"/>
    <w:rsid w:val="00DE1772"/>
    <w:rsid w:val="00DE3E64"/>
    <w:rsid w:val="00E30091"/>
    <w:rsid w:val="00E548B8"/>
    <w:rsid w:val="00E55419"/>
    <w:rsid w:val="00EB4105"/>
    <w:rsid w:val="00ED6B3E"/>
    <w:rsid w:val="00F10770"/>
    <w:rsid w:val="00F30494"/>
    <w:rsid w:val="00F65C3D"/>
    <w:rsid w:val="00F719F1"/>
    <w:rsid w:val="00F727E4"/>
    <w:rsid w:val="00F75616"/>
    <w:rsid w:val="00F91CC7"/>
    <w:rsid w:val="00FA11A6"/>
    <w:rsid w:val="00FA7D2A"/>
    <w:rsid w:val="00FE25F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720CDA"/>
  <w15:chartTrackingRefBased/>
  <w15:docId w15:val="{1510A4E2-078E-4D6F-8C8C-0BC4916C1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lt-LT"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407D48"/>
    <w:pPr>
      <w:tabs>
        <w:tab w:val="center" w:pos="4819"/>
        <w:tab w:val="right" w:pos="9638"/>
      </w:tabs>
      <w:spacing w:line="240" w:lineRule="auto"/>
    </w:pPr>
  </w:style>
  <w:style w:type="character" w:customStyle="1" w:styleId="AntratsDiagrama">
    <w:name w:val="Antraštės Diagrama"/>
    <w:basedOn w:val="Numatytasispastraiposriftas"/>
    <w:link w:val="Antrats"/>
    <w:uiPriority w:val="99"/>
    <w:rsid w:val="00407D48"/>
  </w:style>
  <w:style w:type="paragraph" w:styleId="Porat">
    <w:name w:val="footer"/>
    <w:basedOn w:val="prastasis"/>
    <w:link w:val="PoratDiagrama"/>
    <w:uiPriority w:val="99"/>
    <w:unhideWhenUsed/>
    <w:rsid w:val="00407D48"/>
    <w:pPr>
      <w:tabs>
        <w:tab w:val="center" w:pos="4819"/>
        <w:tab w:val="right" w:pos="9638"/>
      </w:tabs>
      <w:spacing w:line="240" w:lineRule="auto"/>
    </w:pPr>
  </w:style>
  <w:style w:type="character" w:customStyle="1" w:styleId="PoratDiagrama">
    <w:name w:val="Poraštė Diagrama"/>
    <w:basedOn w:val="Numatytasispastraiposriftas"/>
    <w:link w:val="Porat"/>
    <w:uiPriority w:val="99"/>
    <w:rsid w:val="00407D48"/>
  </w:style>
  <w:style w:type="character" w:styleId="Komentaronuoroda">
    <w:name w:val="annotation reference"/>
    <w:basedOn w:val="Numatytasispastraiposriftas"/>
    <w:uiPriority w:val="99"/>
    <w:semiHidden/>
    <w:unhideWhenUsed/>
    <w:rsid w:val="00B12D3C"/>
    <w:rPr>
      <w:sz w:val="16"/>
      <w:szCs w:val="16"/>
    </w:rPr>
  </w:style>
  <w:style w:type="paragraph" w:styleId="Komentarotekstas">
    <w:name w:val="annotation text"/>
    <w:basedOn w:val="prastasis"/>
    <w:link w:val="KomentarotekstasDiagrama"/>
    <w:uiPriority w:val="99"/>
    <w:semiHidden/>
    <w:unhideWhenUsed/>
    <w:rsid w:val="00B12D3C"/>
    <w:pPr>
      <w:spacing w:after="160" w:line="240" w:lineRule="auto"/>
    </w:pPr>
    <w:rPr>
      <w:rFonts w:asciiTheme="minorHAnsi" w:hAnsiTheme="minorHAnsi" w:cstheme="minorBidi"/>
      <w:sz w:val="20"/>
      <w:szCs w:val="20"/>
    </w:rPr>
  </w:style>
  <w:style w:type="character" w:customStyle="1" w:styleId="KomentarotekstasDiagrama">
    <w:name w:val="Komentaro tekstas Diagrama"/>
    <w:basedOn w:val="Numatytasispastraiposriftas"/>
    <w:link w:val="Komentarotekstas"/>
    <w:uiPriority w:val="99"/>
    <w:semiHidden/>
    <w:rsid w:val="00B12D3C"/>
    <w:rPr>
      <w:rFonts w:asciiTheme="minorHAnsi" w:hAnsiTheme="minorHAnsi" w:cstheme="minorBidi"/>
      <w:sz w:val="20"/>
      <w:szCs w:val="20"/>
    </w:rPr>
  </w:style>
  <w:style w:type="paragraph" w:styleId="Debesliotekstas">
    <w:name w:val="Balloon Text"/>
    <w:basedOn w:val="prastasis"/>
    <w:link w:val="DebesliotekstasDiagrama"/>
    <w:uiPriority w:val="99"/>
    <w:semiHidden/>
    <w:unhideWhenUsed/>
    <w:rsid w:val="00B12D3C"/>
    <w:pPr>
      <w:spacing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12D3C"/>
    <w:rPr>
      <w:rFonts w:ascii="Segoe UI" w:hAnsi="Segoe UI" w:cs="Segoe UI"/>
      <w:sz w:val="18"/>
      <w:szCs w:val="18"/>
    </w:rPr>
  </w:style>
  <w:style w:type="paragraph" w:styleId="Sraopastraipa">
    <w:name w:val="List Paragraph"/>
    <w:basedOn w:val="prastasis"/>
    <w:uiPriority w:val="34"/>
    <w:qFormat/>
    <w:rsid w:val="00623078"/>
    <w:pPr>
      <w:ind w:left="720"/>
      <w:contextualSpacing/>
    </w:pPr>
  </w:style>
  <w:style w:type="paragraph" w:styleId="Pagrindiniotekstotrauka">
    <w:name w:val="Body Text Indent"/>
    <w:basedOn w:val="prastasis"/>
    <w:link w:val="PagrindiniotekstotraukaDiagrama"/>
    <w:semiHidden/>
    <w:rsid w:val="00FE25FE"/>
    <w:pPr>
      <w:ind w:firstLine="426"/>
      <w:jc w:val="both"/>
    </w:pPr>
    <w:rPr>
      <w:rFonts w:eastAsia="Times New Roman"/>
    </w:rPr>
  </w:style>
  <w:style w:type="character" w:customStyle="1" w:styleId="PagrindiniotekstotraukaDiagrama">
    <w:name w:val="Pagrindinio teksto įtrauka Diagrama"/>
    <w:basedOn w:val="Numatytasispastraiposriftas"/>
    <w:link w:val="Pagrindiniotekstotrauka"/>
    <w:semiHidden/>
    <w:rsid w:val="00FE25FE"/>
    <w:rPr>
      <w:rFonts w:eastAsia="Times New Roman"/>
    </w:rPr>
  </w:style>
  <w:style w:type="paragraph" w:styleId="Pavadinimas">
    <w:name w:val="Title"/>
    <w:basedOn w:val="prastasis"/>
    <w:link w:val="PavadinimasDiagrama"/>
    <w:qFormat/>
    <w:rsid w:val="00FE25FE"/>
    <w:pPr>
      <w:ind w:firstLine="426"/>
      <w:jc w:val="center"/>
    </w:pPr>
    <w:rPr>
      <w:rFonts w:eastAsia="Times New Roman"/>
      <w:b/>
      <w:bCs/>
    </w:rPr>
  </w:style>
  <w:style w:type="character" w:customStyle="1" w:styleId="PavadinimasDiagrama">
    <w:name w:val="Pavadinimas Diagrama"/>
    <w:basedOn w:val="Numatytasispastraiposriftas"/>
    <w:link w:val="Pavadinimas"/>
    <w:rsid w:val="00FE25FE"/>
    <w:rPr>
      <w:rFonts w:eastAsia="Times New Roman"/>
      <w:b/>
      <w:bCs/>
    </w:rPr>
  </w:style>
  <w:style w:type="paragraph" w:styleId="Puslapioinaostekstas">
    <w:name w:val="footnote text"/>
    <w:basedOn w:val="prastasis"/>
    <w:link w:val="PuslapioinaostekstasDiagrama"/>
    <w:semiHidden/>
    <w:unhideWhenUsed/>
    <w:rsid w:val="002A7042"/>
    <w:pPr>
      <w:spacing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2A7042"/>
    <w:rPr>
      <w:sz w:val="20"/>
      <w:szCs w:val="20"/>
    </w:rPr>
  </w:style>
  <w:style w:type="character" w:styleId="Puslapioinaosnuoroda">
    <w:name w:val="footnote reference"/>
    <w:basedOn w:val="Numatytasispastraiposriftas"/>
    <w:semiHidden/>
    <w:unhideWhenUsed/>
    <w:rsid w:val="002A704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384159">
      <w:marLeft w:val="0"/>
      <w:marRight w:val="0"/>
      <w:marTop w:val="0"/>
      <w:marBottom w:val="0"/>
      <w:divBdr>
        <w:top w:val="none" w:sz="0" w:space="0" w:color="auto"/>
        <w:left w:val="none" w:sz="0" w:space="0" w:color="auto"/>
        <w:bottom w:val="none" w:sz="0" w:space="0" w:color="auto"/>
        <w:right w:val="none" w:sz="0" w:space="0" w:color="auto"/>
      </w:divBdr>
    </w:div>
    <w:div w:id="178004429">
      <w:marLeft w:val="0"/>
      <w:marRight w:val="0"/>
      <w:marTop w:val="0"/>
      <w:marBottom w:val="0"/>
      <w:divBdr>
        <w:top w:val="none" w:sz="0" w:space="0" w:color="auto"/>
        <w:left w:val="none" w:sz="0" w:space="0" w:color="auto"/>
        <w:bottom w:val="none" w:sz="0" w:space="0" w:color="auto"/>
        <w:right w:val="none" w:sz="0" w:space="0" w:color="auto"/>
      </w:divBdr>
    </w:div>
    <w:div w:id="407073182">
      <w:marLeft w:val="0"/>
      <w:marRight w:val="0"/>
      <w:marTop w:val="0"/>
      <w:marBottom w:val="0"/>
      <w:divBdr>
        <w:top w:val="none" w:sz="0" w:space="0" w:color="auto"/>
        <w:left w:val="none" w:sz="0" w:space="0" w:color="auto"/>
        <w:bottom w:val="none" w:sz="0" w:space="0" w:color="auto"/>
        <w:right w:val="none" w:sz="0" w:space="0" w:color="auto"/>
      </w:divBdr>
    </w:div>
    <w:div w:id="462843881">
      <w:marLeft w:val="0"/>
      <w:marRight w:val="0"/>
      <w:marTop w:val="0"/>
      <w:marBottom w:val="0"/>
      <w:divBdr>
        <w:top w:val="none" w:sz="0" w:space="0" w:color="auto"/>
        <w:left w:val="none" w:sz="0" w:space="0" w:color="auto"/>
        <w:bottom w:val="none" w:sz="0" w:space="0" w:color="auto"/>
        <w:right w:val="none" w:sz="0" w:space="0" w:color="auto"/>
      </w:divBdr>
    </w:div>
    <w:div w:id="495456405">
      <w:marLeft w:val="0"/>
      <w:marRight w:val="0"/>
      <w:marTop w:val="0"/>
      <w:marBottom w:val="0"/>
      <w:divBdr>
        <w:top w:val="none" w:sz="0" w:space="0" w:color="auto"/>
        <w:left w:val="none" w:sz="0" w:space="0" w:color="auto"/>
        <w:bottom w:val="none" w:sz="0" w:space="0" w:color="auto"/>
        <w:right w:val="none" w:sz="0" w:space="0" w:color="auto"/>
      </w:divBdr>
    </w:div>
    <w:div w:id="580798902">
      <w:marLeft w:val="0"/>
      <w:marRight w:val="0"/>
      <w:marTop w:val="0"/>
      <w:marBottom w:val="0"/>
      <w:divBdr>
        <w:top w:val="none" w:sz="0" w:space="0" w:color="auto"/>
        <w:left w:val="none" w:sz="0" w:space="0" w:color="auto"/>
        <w:bottom w:val="none" w:sz="0" w:space="0" w:color="auto"/>
        <w:right w:val="none" w:sz="0" w:space="0" w:color="auto"/>
      </w:divBdr>
    </w:div>
    <w:div w:id="588468251">
      <w:marLeft w:val="0"/>
      <w:marRight w:val="0"/>
      <w:marTop w:val="0"/>
      <w:marBottom w:val="0"/>
      <w:divBdr>
        <w:top w:val="none" w:sz="0" w:space="0" w:color="auto"/>
        <w:left w:val="none" w:sz="0" w:space="0" w:color="auto"/>
        <w:bottom w:val="none" w:sz="0" w:space="0" w:color="auto"/>
        <w:right w:val="none" w:sz="0" w:space="0" w:color="auto"/>
      </w:divBdr>
    </w:div>
    <w:div w:id="711618275">
      <w:marLeft w:val="0"/>
      <w:marRight w:val="0"/>
      <w:marTop w:val="0"/>
      <w:marBottom w:val="0"/>
      <w:divBdr>
        <w:top w:val="none" w:sz="0" w:space="0" w:color="auto"/>
        <w:left w:val="none" w:sz="0" w:space="0" w:color="auto"/>
        <w:bottom w:val="none" w:sz="0" w:space="0" w:color="auto"/>
        <w:right w:val="none" w:sz="0" w:space="0" w:color="auto"/>
      </w:divBdr>
    </w:div>
    <w:div w:id="721439322">
      <w:marLeft w:val="0"/>
      <w:marRight w:val="0"/>
      <w:marTop w:val="0"/>
      <w:marBottom w:val="0"/>
      <w:divBdr>
        <w:top w:val="none" w:sz="0" w:space="0" w:color="auto"/>
        <w:left w:val="none" w:sz="0" w:space="0" w:color="auto"/>
        <w:bottom w:val="none" w:sz="0" w:space="0" w:color="auto"/>
        <w:right w:val="none" w:sz="0" w:space="0" w:color="auto"/>
      </w:divBdr>
    </w:div>
    <w:div w:id="785857281">
      <w:marLeft w:val="0"/>
      <w:marRight w:val="0"/>
      <w:marTop w:val="0"/>
      <w:marBottom w:val="0"/>
      <w:divBdr>
        <w:top w:val="none" w:sz="0" w:space="0" w:color="auto"/>
        <w:left w:val="none" w:sz="0" w:space="0" w:color="auto"/>
        <w:bottom w:val="none" w:sz="0" w:space="0" w:color="auto"/>
        <w:right w:val="none" w:sz="0" w:space="0" w:color="auto"/>
      </w:divBdr>
    </w:div>
    <w:div w:id="800685566">
      <w:marLeft w:val="0"/>
      <w:marRight w:val="0"/>
      <w:marTop w:val="0"/>
      <w:marBottom w:val="0"/>
      <w:divBdr>
        <w:top w:val="none" w:sz="0" w:space="0" w:color="auto"/>
        <w:left w:val="none" w:sz="0" w:space="0" w:color="auto"/>
        <w:bottom w:val="none" w:sz="0" w:space="0" w:color="auto"/>
        <w:right w:val="none" w:sz="0" w:space="0" w:color="auto"/>
      </w:divBdr>
    </w:div>
    <w:div w:id="909460475">
      <w:marLeft w:val="0"/>
      <w:marRight w:val="0"/>
      <w:marTop w:val="0"/>
      <w:marBottom w:val="0"/>
      <w:divBdr>
        <w:top w:val="none" w:sz="0" w:space="0" w:color="auto"/>
        <w:left w:val="none" w:sz="0" w:space="0" w:color="auto"/>
        <w:bottom w:val="none" w:sz="0" w:space="0" w:color="auto"/>
        <w:right w:val="none" w:sz="0" w:space="0" w:color="auto"/>
      </w:divBdr>
    </w:div>
    <w:div w:id="1020662541">
      <w:marLeft w:val="0"/>
      <w:marRight w:val="0"/>
      <w:marTop w:val="0"/>
      <w:marBottom w:val="0"/>
      <w:divBdr>
        <w:top w:val="none" w:sz="0" w:space="0" w:color="auto"/>
        <w:left w:val="none" w:sz="0" w:space="0" w:color="auto"/>
        <w:bottom w:val="none" w:sz="0" w:space="0" w:color="auto"/>
        <w:right w:val="none" w:sz="0" w:space="0" w:color="auto"/>
      </w:divBdr>
    </w:div>
    <w:div w:id="1080060665">
      <w:marLeft w:val="0"/>
      <w:marRight w:val="0"/>
      <w:marTop w:val="0"/>
      <w:marBottom w:val="0"/>
      <w:divBdr>
        <w:top w:val="none" w:sz="0" w:space="0" w:color="auto"/>
        <w:left w:val="none" w:sz="0" w:space="0" w:color="auto"/>
        <w:bottom w:val="none" w:sz="0" w:space="0" w:color="auto"/>
        <w:right w:val="none" w:sz="0" w:space="0" w:color="auto"/>
      </w:divBdr>
    </w:div>
    <w:div w:id="1088888361">
      <w:marLeft w:val="0"/>
      <w:marRight w:val="0"/>
      <w:marTop w:val="0"/>
      <w:marBottom w:val="0"/>
      <w:divBdr>
        <w:top w:val="none" w:sz="0" w:space="0" w:color="auto"/>
        <w:left w:val="none" w:sz="0" w:space="0" w:color="auto"/>
        <w:bottom w:val="none" w:sz="0" w:space="0" w:color="auto"/>
        <w:right w:val="none" w:sz="0" w:space="0" w:color="auto"/>
      </w:divBdr>
    </w:div>
    <w:div w:id="1359231541">
      <w:marLeft w:val="0"/>
      <w:marRight w:val="0"/>
      <w:marTop w:val="0"/>
      <w:marBottom w:val="0"/>
      <w:divBdr>
        <w:top w:val="none" w:sz="0" w:space="0" w:color="auto"/>
        <w:left w:val="none" w:sz="0" w:space="0" w:color="auto"/>
        <w:bottom w:val="none" w:sz="0" w:space="0" w:color="auto"/>
        <w:right w:val="none" w:sz="0" w:space="0" w:color="auto"/>
      </w:divBdr>
    </w:div>
    <w:div w:id="1387483615">
      <w:marLeft w:val="0"/>
      <w:marRight w:val="0"/>
      <w:marTop w:val="0"/>
      <w:marBottom w:val="0"/>
      <w:divBdr>
        <w:top w:val="none" w:sz="0" w:space="0" w:color="auto"/>
        <w:left w:val="none" w:sz="0" w:space="0" w:color="auto"/>
        <w:bottom w:val="none" w:sz="0" w:space="0" w:color="auto"/>
        <w:right w:val="none" w:sz="0" w:space="0" w:color="auto"/>
      </w:divBdr>
    </w:div>
    <w:div w:id="1444611280">
      <w:marLeft w:val="0"/>
      <w:marRight w:val="0"/>
      <w:marTop w:val="0"/>
      <w:marBottom w:val="0"/>
      <w:divBdr>
        <w:top w:val="none" w:sz="0" w:space="0" w:color="auto"/>
        <w:left w:val="none" w:sz="0" w:space="0" w:color="auto"/>
        <w:bottom w:val="none" w:sz="0" w:space="0" w:color="auto"/>
        <w:right w:val="none" w:sz="0" w:space="0" w:color="auto"/>
      </w:divBdr>
    </w:div>
    <w:div w:id="1643388120">
      <w:bodyDiv w:val="1"/>
      <w:marLeft w:val="0"/>
      <w:marRight w:val="0"/>
      <w:marTop w:val="0"/>
      <w:marBottom w:val="0"/>
      <w:divBdr>
        <w:top w:val="none" w:sz="0" w:space="0" w:color="auto"/>
        <w:left w:val="none" w:sz="0" w:space="0" w:color="auto"/>
        <w:bottom w:val="none" w:sz="0" w:space="0" w:color="auto"/>
        <w:right w:val="none" w:sz="0" w:space="0" w:color="auto"/>
      </w:divBdr>
    </w:div>
    <w:div w:id="1764715635">
      <w:marLeft w:val="0"/>
      <w:marRight w:val="0"/>
      <w:marTop w:val="0"/>
      <w:marBottom w:val="0"/>
      <w:divBdr>
        <w:top w:val="none" w:sz="0" w:space="0" w:color="auto"/>
        <w:left w:val="none" w:sz="0" w:space="0" w:color="auto"/>
        <w:bottom w:val="none" w:sz="0" w:space="0" w:color="auto"/>
        <w:right w:val="none" w:sz="0" w:space="0" w:color="auto"/>
      </w:divBdr>
    </w:div>
    <w:div w:id="1798335150">
      <w:marLeft w:val="0"/>
      <w:marRight w:val="0"/>
      <w:marTop w:val="0"/>
      <w:marBottom w:val="0"/>
      <w:divBdr>
        <w:top w:val="none" w:sz="0" w:space="0" w:color="auto"/>
        <w:left w:val="none" w:sz="0" w:space="0" w:color="auto"/>
        <w:bottom w:val="none" w:sz="0" w:space="0" w:color="auto"/>
        <w:right w:val="none" w:sz="0" w:space="0" w:color="auto"/>
      </w:divBdr>
    </w:div>
    <w:div w:id="1815565245">
      <w:marLeft w:val="0"/>
      <w:marRight w:val="0"/>
      <w:marTop w:val="0"/>
      <w:marBottom w:val="0"/>
      <w:divBdr>
        <w:top w:val="none" w:sz="0" w:space="0" w:color="auto"/>
        <w:left w:val="none" w:sz="0" w:space="0" w:color="auto"/>
        <w:bottom w:val="none" w:sz="0" w:space="0" w:color="auto"/>
        <w:right w:val="none" w:sz="0" w:space="0" w:color="auto"/>
      </w:divBdr>
    </w:div>
    <w:div w:id="1866822985">
      <w:marLeft w:val="0"/>
      <w:marRight w:val="0"/>
      <w:marTop w:val="0"/>
      <w:marBottom w:val="0"/>
      <w:divBdr>
        <w:top w:val="none" w:sz="0" w:space="0" w:color="auto"/>
        <w:left w:val="none" w:sz="0" w:space="0" w:color="auto"/>
        <w:bottom w:val="none" w:sz="0" w:space="0" w:color="auto"/>
        <w:right w:val="none" w:sz="0" w:space="0" w:color="auto"/>
      </w:divBdr>
    </w:div>
    <w:div w:id="1928147406">
      <w:marLeft w:val="0"/>
      <w:marRight w:val="0"/>
      <w:marTop w:val="0"/>
      <w:marBottom w:val="0"/>
      <w:divBdr>
        <w:top w:val="none" w:sz="0" w:space="0" w:color="auto"/>
        <w:left w:val="none" w:sz="0" w:space="0" w:color="auto"/>
        <w:bottom w:val="none" w:sz="0" w:space="0" w:color="auto"/>
        <w:right w:val="none" w:sz="0" w:space="0" w:color="auto"/>
      </w:divBdr>
    </w:div>
    <w:div w:id="2034459520">
      <w:marLeft w:val="0"/>
      <w:marRight w:val="0"/>
      <w:marTop w:val="0"/>
      <w:marBottom w:val="0"/>
      <w:divBdr>
        <w:top w:val="none" w:sz="0" w:space="0" w:color="auto"/>
        <w:left w:val="none" w:sz="0" w:space="0" w:color="auto"/>
        <w:bottom w:val="none" w:sz="0" w:space="0" w:color="auto"/>
        <w:right w:val="none" w:sz="0" w:space="0" w:color="auto"/>
      </w:divBdr>
    </w:div>
    <w:div w:id="211867100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chart" Target="charts/chart9.xm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chart" Target="charts/chart8.xml"/><Relationship Id="rId10" Type="http://schemas.openxmlformats.org/officeDocument/2006/relationships/chart" Target="charts/chart3.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 Id="rId22" Type="http://schemas.openxmlformats.org/officeDocument/2006/relationships/customXml" Target="../customXml/item4.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darbalapis.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darbalapis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darbalapis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darbalapis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darbalapis4.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darbalapis5.xlsx"/><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package" Target="../embeddings/Microsoft_Excel_darbalapis6.xlsx"/><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package" Target="../embeddings/Microsoft_Excel_darbalapis7.xlsx"/><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package" Target="../embeddings/Microsoft_Excel_darbalapis8.xlsx"/><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cap="all" spc="50" baseline="0">
                <a:solidFill>
                  <a:schemeClr val="tx1">
                    <a:lumMod val="65000"/>
                    <a:lumOff val="35000"/>
                  </a:schemeClr>
                </a:solidFill>
                <a:latin typeface="+mn-lt"/>
                <a:ea typeface="+mn-ea"/>
                <a:cs typeface="+mn-cs"/>
              </a:defRPr>
            </a:pPr>
            <a:r>
              <a:rPr lang="lt-LT" sz="1400" b="0" cap="none">
                <a:latin typeface="+mn-lt"/>
              </a:rPr>
              <a:t>Lietuvos lėšos MTEP pagal finansavimo šaltinius </a:t>
            </a:r>
          </a:p>
          <a:p>
            <a:pPr>
              <a:defRPr/>
            </a:pPr>
            <a:r>
              <a:rPr lang="lt-LT" sz="1400" b="0" cap="none">
                <a:latin typeface="+mn-lt"/>
              </a:rPr>
              <a:t>(proc. nuo BVP)</a:t>
            </a:r>
          </a:p>
        </c:rich>
      </c:tx>
      <c:overlay val="0"/>
      <c:spPr>
        <a:noFill/>
        <a:ln>
          <a:noFill/>
        </a:ln>
        <a:effectLst/>
      </c:spPr>
      <c:txPr>
        <a:bodyPr rot="0" spcFirstLastPara="1" vertOverflow="ellipsis" vert="horz" wrap="square" anchor="ctr" anchorCtr="1"/>
        <a:lstStyle/>
        <a:p>
          <a:pPr>
            <a:defRPr sz="1800" b="1" i="0" u="none" strike="noStrike" kern="1200" cap="all" spc="5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stacked"/>
        <c:varyColors val="0"/>
        <c:ser>
          <c:idx val="0"/>
          <c:order val="0"/>
          <c:tx>
            <c:strRef>
              <c:f>Lapas1!$B$1</c:f>
              <c:strCache>
                <c:ptCount val="1"/>
                <c:pt idx="0">
                  <c:v>Verslas</c:v>
                </c:pt>
              </c:strCache>
            </c:strRef>
          </c:tx>
          <c:spPr>
            <a:solidFill>
              <a:schemeClr val="accent1">
                <a:alpha val="7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Lapas1!$A$2:$A$12</c:f>
              <c:strCache>
                <c:ptCount val="11"/>
                <c:pt idx="0">
                  <c:v>2005 </c:v>
                </c:pt>
                <c:pt idx="1">
                  <c:v>2006 </c:v>
                </c:pt>
                <c:pt idx="2">
                  <c:v>2007 </c:v>
                </c:pt>
                <c:pt idx="3">
                  <c:v>2008 </c:v>
                </c:pt>
                <c:pt idx="4">
                  <c:v>2009 </c:v>
                </c:pt>
                <c:pt idx="5">
                  <c:v>2010 </c:v>
                </c:pt>
                <c:pt idx="6">
                  <c:v>2011 </c:v>
                </c:pt>
                <c:pt idx="7">
                  <c:v>2012 </c:v>
                </c:pt>
                <c:pt idx="8">
                  <c:v>2013 </c:v>
                </c:pt>
                <c:pt idx="9">
                  <c:v>2014 </c:v>
                </c:pt>
                <c:pt idx="10">
                  <c:v>2015</c:v>
                </c:pt>
              </c:strCache>
            </c:strRef>
          </c:cat>
          <c:val>
            <c:numRef>
              <c:f>Lapas1!$B$2:$B$12</c:f>
              <c:numCache>
                <c:formatCode>0.00</c:formatCode>
                <c:ptCount val="11"/>
                <c:pt idx="0">
                  <c:v>0.15600000000000003</c:v>
                </c:pt>
                <c:pt idx="1">
                  <c:v>0.20698</c:v>
                </c:pt>
                <c:pt idx="2">
                  <c:v>0.26239999999999997</c:v>
                </c:pt>
                <c:pt idx="3">
                  <c:v>0.23147000000000004</c:v>
                </c:pt>
                <c:pt idx="4">
                  <c:v>0.25563999999999998</c:v>
                </c:pt>
                <c:pt idx="5">
                  <c:v>0.25272</c:v>
                </c:pt>
                <c:pt idx="6">
                  <c:v>0.25379999999999997</c:v>
                </c:pt>
                <c:pt idx="7">
                  <c:v>0.23585</c:v>
                </c:pt>
                <c:pt idx="8">
                  <c:v>0.26124999999999998</c:v>
                </c:pt>
                <c:pt idx="9">
                  <c:v>0.33681000000000005</c:v>
                </c:pt>
                <c:pt idx="10">
                  <c:v>0.2964</c:v>
                </c:pt>
              </c:numCache>
            </c:numRef>
          </c:val>
          <c:extLst>
            <c:ext xmlns:c16="http://schemas.microsoft.com/office/drawing/2014/chart" uri="{C3380CC4-5D6E-409C-BE32-E72D297353CC}">
              <c16:uniqueId val="{00000000-1B94-4AC5-A85B-A335929050BF}"/>
            </c:ext>
          </c:extLst>
        </c:ser>
        <c:ser>
          <c:idx val="1"/>
          <c:order val="1"/>
          <c:tx>
            <c:strRef>
              <c:f>Lapas1!$C$1</c:f>
              <c:strCache>
                <c:ptCount val="1"/>
                <c:pt idx="0">
                  <c:v>A.mokslas</c:v>
                </c:pt>
              </c:strCache>
            </c:strRef>
          </c:tx>
          <c:spPr>
            <a:solidFill>
              <a:schemeClr val="accent2">
                <a:alpha val="7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Lapas1!$A$2:$A$12</c:f>
              <c:strCache>
                <c:ptCount val="11"/>
                <c:pt idx="0">
                  <c:v>2005 </c:v>
                </c:pt>
                <c:pt idx="1">
                  <c:v>2006 </c:v>
                </c:pt>
                <c:pt idx="2">
                  <c:v>2007 </c:v>
                </c:pt>
                <c:pt idx="3">
                  <c:v>2008 </c:v>
                </c:pt>
                <c:pt idx="4">
                  <c:v>2009 </c:v>
                </c:pt>
                <c:pt idx="5">
                  <c:v>2010 </c:v>
                </c:pt>
                <c:pt idx="6">
                  <c:v>2011 </c:v>
                </c:pt>
                <c:pt idx="7">
                  <c:v>2012 </c:v>
                </c:pt>
                <c:pt idx="8">
                  <c:v>2013 </c:v>
                </c:pt>
                <c:pt idx="9">
                  <c:v>2014 </c:v>
                </c:pt>
                <c:pt idx="10">
                  <c:v>2015</c:v>
                </c:pt>
              </c:strCache>
            </c:strRef>
          </c:cat>
          <c:val>
            <c:numRef>
              <c:f>Lapas1!$C$2:$C$12</c:f>
              <c:numCache>
                <c:formatCode>0.00</c:formatCode>
                <c:ptCount val="11"/>
                <c:pt idx="0">
                  <c:v>4.2750000000000003E-2</c:v>
                </c:pt>
                <c:pt idx="1">
                  <c:v>4.1870000000000004E-2</c:v>
                </c:pt>
                <c:pt idx="2">
                  <c:v>1.6000000000000003E-3</c:v>
                </c:pt>
                <c:pt idx="3">
                  <c:v>2.3700000000000001E-3</c:v>
                </c:pt>
                <c:pt idx="4">
                  <c:v>2.656E-2</c:v>
                </c:pt>
                <c:pt idx="5">
                  <c:v>1.17E-2</c:v>
                </c:pt>
                <c:pt idx="6">
                  <c:v>9.0000000000000011E-3</c:v>
                </c:pt>
                <c:pt idx="7">
                  <c:v>4.45E-3</c:v>
                </c:pt>
                <c:pt idx="8">
                  <c:v>9.5E-4</c:v>
                </c:pt>
                <c:pt idx="9">
                  <c:v>2.0600000000000002E-3</c:v>
                </c:pt>
                <c:pt idx="10">
                  <c:v>1.5600000000000001E-2</c:v>
                </c:pt>
              </c:numCache>
            </c:numRef>
          </c:val>
          <c:extLst>
            <c:ext xmlns:c16="http://schemas.microsoft.com/office/drawing/2014/chart" uri="{C3380CC4-5D6E-409C-BE32-E72D297353CC}">
              <c16:uniqueId val="{00000001-1B94-4AC5-A85B-A335929050BF}"/>
            </c:ext>
          </c:extLst>
        </c:ser>
        <c:ser>
          <c:idx val="2"/>
          <c:order val="2"/>
          <c:tx>
            <c:strRef>
              <c:f>Lapas1!$D$1</c:f>
              <c:strCache>
                <c:ptCount val="1"/>
                <c:pt idx="0">
                  <c:v>Valdžia</c:v>
                </c:pt>
              </c:strCache>
            </c:strRef>
          </c:tx>
          <c:spPr>
            <a:solidFill>
              <a:schemeClr val="accent3">
                <a:alpha val="7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Lapas1!$A$2:$A$12</c:f>
              <c:strCache>
                <c:ptCount val="11"/>
                <c:pt idx="0">
                  <c:v>2005 </c:v>
                </c:pt>
                <c:pt idx="1">
                  <c:v>2006 </c:v>
                </c:pt>
                <c:pt idx="2">
                  <c:v>2007 </c:v>
                </c:pt>
                <c:pt idx="3">
                  <c:v>2008 </c:v>
                </c:pt>
                <c:pt idx="4">
                  <c:v>2009 </c:v>
                </c:pt>
                <c:pt idx="5">
                  <c:v>2010 </c:v>
                </c:pt>
                <c:pt idx="6">
                  <c:v>2011 </c:v>
                </c:pt>
                <c:pt idx="7">
                  <c:v>2012 </c:v>
                </c:pt>
                <c:pt idx="8">
                  <c:v>2013 </c:v>
                </c:pt>
                <c:pt idx="9">
                  <c:v>2014 </c:v>
                </c:pt>
                <c:pt idx="10">
                  <c:v>2015</c:v>
                </c:pt>
              </c:strCache>
            </c:strRef>
          </c:cat>
          <c:val>
            <c:numRef>
              <c:f>Lapas1!$D$2:$D$12</c:f>
              <c:numCache>
                <c:formatCode>0.00</c:formatCode>
                <c:ptCount val="11"/>
                <c:pt idx="0">
                  <c:v>0.47025000000000006</c:v>
                </c:pt>
                <c:pt idx="1">
                  <c:v>0.42344000000000004</c:v>
                </c:pt>
                <c:pt idx="2">
                  <c:v>0.37520000000000003</c:v>
                </c:pt>
                <c:pt idx="3">
                  <c:v>0.43134</c:v>
                </c:pt>
                <c:pt idx="4">
                  <c:v>0.43741000000000002</c:v>
                </c:pt>
                <c:pt idx="5">
                  <c:v>0.35880000000000001</c:v>
                </c:pt>
                <c:pt idx="6">
                  <c:v>0.37980000000000003</c:v>
                </c:pt>
                <c:pt idx="7">
                  <c:v>0.35333000000000009</c:v>
                </c:pt>
                <c:pt idx="8">
                  <c:v>0.32774999999999999</c:v>
                </c:pt>
                <c:pt idx="9">
                  <c:v>0.34093000000000007</c:v>
                </c:pt>
                <c:pt idx="10">
                  <c:v>0.36711999999999995</c:v>
                </c:pt>
              </c:numCache>
            </c:numRef>
          </c:val>
          <c:extLst>
            <c:ext xmlns:c16="http://schemas.microsoft.com/office/drawing/2014/chart" uri="{C3380CC4-5D6E-409C-BE32-E72D297353CC}">
              <c16:uniqueId val="{00000002-1B94-4AC5-A85B-A335929050BF}"/>
            </c:ext>
          </c:extLst>
        </c:ser>
        <c:ser>
          <c:idx val="3"/>
          <c:order val="3"/>
          <c:tx>
            <c:strRef>
              <c:f>Lapas1!$E$1</c:f>
              <c:strCache>
                <c:ptCount val="1"/>
                <c:pt idx="0">
                  <c:v>Priv. ne pelno</c:v>
                </c:pt>
              </c:strCache>
            </c:strRef>
          </c:tx>
          <c:spPr>
            <a:solidFill>
              <a:schemeClr val="accent4">
                <a:alpha val="7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Lapas1!$A$2:$A$12</c:f>
              <c:strCache>
                <c:ptCount val="11"/>
                <c:pt idx="0">
                  <c:v>2005 </c:v>
                </c:pt>
                <c:pt idx="1">
                  <c:v>2006 </c:v>
                </c:pt>
                <c:pt idx="2">
                  <c:v>2007 </c:v>
                </c:pt>
                <c:pt idx="3">
                  <c:v>2008 </c:v>
                </c:pt>
                <c:pt idx="4">
                  <c:v>2009 </c:v>
                </c:pt>
                <c:pt idx="5">
                  <c:v>2010 </c:v>
                </c:pt>
                <c:pt idx="6">
                  <c:v>2011 </c:v>
                </c:pt>
                <c:pt idx="7">
                  <c:v>2012 </c:v>
                </c:pt>
                <c:pt idx="8">
                  <c:v>2013 </c:v>
                </c:pt>
                <c:pt idx="9">
                  <c:v>2014 </c:v>
                </c:pt>
                <c:pt idx="10">
                  <c:v>2015</c:v>
                </c:pt>
              </c:strCache>
            </c:strRef>
          </c:cat>
          <c:val>
            <c:numRef>
              <c:f>Lapas1!$E$2:$E$12</c:f>
              <c:numCache>
                <c:formatCode>0.00</c:formatCode>
                <c:ptCount val="11"/>
                <c:pt idx="0">
                  <c:v>1.5000000000000002E-3</c:v>
                </c:pt>
                <c:pt idx="1">
                  <c:v>4.7400000000000003E-3</c:v>
                </c:pt>
                <c:pt idx="2">
                  <c:v>4.0000000000000001E-3</c:v>
                </c:pt>
                <c:pt idx="3">
                  <c:v>2.3700000000000001E-3</c:v>
                </c:pt>
                <c:pt idx="4">
                  <c:v>2.4899999999999996E-3</c:v>
                </c:pt>
                <c:pt idx="5">
                  <c:v>1.5600000000000004E-3</c:v>
                </c:pt>
                <c:pt idx="6">
                  <c:v>1.8000000000000002E-3</c:v>
                </c:pt>
                <c:pt idx="7">
                  <c:v>1.7800000000000003E-3</c:v>
                </c:pt>
                <c:pt idx="8">
                  <c:v>6.6499999999999997E-3</c:v>
                </c:pt>
                <c:pt idx="9">
                  <c:v>2.0600000000000002E-3</c:v>
                </c:pt>
                <c:pt idx="10">
                  <c:v>3.1199999999999999E-3</c:v>
                </c:pt>
              </c:numCache>
            </c:numRef>
          </c:val>
          <c:extLst>
            <c:ext xmlns:c16="http://schemas.microsoft.com/office/drawing/2014/chart" uri="{C3380CC4-5D6E-409C-BE32-E72D297353CC}">
              <c16:uniqueId val="{00000003-1B94-4AC5-A85B-A335929050BF}"/>
            </c:ext>
          </c:extLst>
        </c:ser>
        <c:ser>
          <c:idx val="4"/>
          <c:order val="4"/>
          <c:tx>
            <c:strRef>
              <c:f>Lapas1!$F$1</c:f>
              <c:strCache>
                <c:ptCount val="1"/>
                <c:pt idx="0">
                  <c:v>Užsienis</c:v>
                </c:pt>
              </c:strCache>
            </c:strRef>
          </c:tx>
          <c:spPr>
            <a:solidFill>
              <a:schemeClr val="accent5">
                <a:alpha val="7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Lapas1!$A$2:$A$12</c:f>
              <c:strCache>
                <c:ptCount val="11"/>
                <c:pt idx="0">
                  <c:v>2005 </c:v>
                </c:pt>
                <c:pt idx="1">
                  <c:v>2006 </c:v>
                </c:pt>
                <c:pt idx="2">
                  <c:v>2007 </c:v>
                </c:pt>
                <c:pt idx="3">
                  <c:v>2008 </c:v>
                </c:pt>
                <c:pt idx="4">
                  <c:v>2009 </c:v>
                </c:pt>
                <c:pt idx="5">
                  <c:v>2010 </c:v>
                </c:pt>
                <c:pt idx="6">
                  <c:v>2011 </c:v>
                </c:pt>
                <c:pt idx="7">
                  <c:v>2012 </c:v>
                </c:pt>
                <c:pt idx="8">
                  <c:v>2013 </c:v>
                </c:pt>
                <c:pt idx="9">
                  <c:v>2014 </c:v>
                </c:pt>
                <c:pt idx="10">
                  <c:v>2015</c:v>
                </c:pt>
              </c:strCache>
            </c:strRef>
          </c:cat>
          <c:val>
            <c:numRef>
              <c:f>Lapas1!$F$2:$F$12</c:f>
              <c:numCache>
                <c:formatCode>0.00</c:formatCode>
                <c:ptCount val="11"/>
                <c:pt idx="0">
                  <c:v>7.8750000000000001E-2</c:v>
                </c:pt>
                <c:pt idx="1">
                  <c:v>0.11297000000000001</c:v>
                </c:pt>
                <c:pt idx="2">
                  <c:v>0.15680000000000002</c:v>
                </c:pt>
                <c:pt idx="3">
                  <c:v>0.12245000000000002</c:v>
                </c:pt>
                <c:pt idx="4">
                  <c:v>0.1079</c:v>
                </c:pt>
                <c:pt idx="5">
                  <c:v>0.15522</c:v>
                </c:pt>
                <c:pt idx="6">
                  <c:v>0.25559999999999999</c:v>
                </c:pt>
                <c:pt idx="7">
                  <c:v>0.29548000000000002</c:v>
                </c:pt>
                <c:pt idx="8">
                  <c:v>0.35244999999999999</c:v>
                </c:pt>
                <c:pt idx="9">
                  <c:v>0.34814000000000001</c:v>
                </c:pt>
                <c:pt idx="10">
                  <c:v>0.35671999999999998</c:v>
                </c:pt>
              </c:numCache>
            </c:numRef>
          </c:val>
          <c:extLst>
            <c:ext xmlns:c16="http://schemas.microsoft.com/office/drawing/2014/chart" uri="{C3380CC4-5D6E-409C-BE32-E72D297353CC}">
              <c16:uniqueId val="{00000004-1B94-4AC5-A85B-A335929050BF}"/>
            </c:ext>
          </c:extLst>
        </c:ser>
        <c:dLbls>
          <c:dLblPos val="ctr"/>
          <c:showLegendKey val="0"/>
          <c:showVal val="1"/>
          <c:showCatName val="0"/>
          <c:showSerName val="0"/>
          <c:showPercent val="0"/>
          <c:showBubbleSize val="0"/>
        </c:dLbls>
        <c:gapWidth val="50"/>
        <c:overlap val="100"/>
        <c:axId val="301560992"/>
        <c:axId val="301560600"/>
      </c:barChart>
      <c:catAx>
        <c:axId val="301560992"/>
        <c:scaling>
          <c:orientation val="minMax"/>
        </c:scaling>
        <c:delete val="0"/>
        <c:axPos val="b"/>
        <c:numFmt formatCode="General" sourceLinked="1"/>
        <c:majorTickMark val="none"/>
        <c:minorTickMark val="none"/>
        <c:tickLblPos val="nextTo"/>
        <c:spPr>
          <a:noFill/>
          <a:ln w="9525" cap="flat" cmpd="sng" algn="ctr">
            <a:solidFill>
              <a:schemeClr val="tx1">
                <a:lumMod val="25000"/>
                <a:lumOff val="75000"/>
              </a:schemeClr>
            </a:solidFill>
            <a:round/>
            <a:headEnd type="none" w="sm" len="sm"/>
            <a:tailEnd type="none" w="sm" len="sm"/>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01560600"/>
        <c:crosses val="autoZero"/>
        <c:auto val="1"/>
        <c:lblAlgn val="ctr"/>
        <c:lblOffset val="100"/>
        <c:noMultiLvlLbl val="0"/>
      </c:catAx>
      <c:valAx>
        <c:axId val="301560600"/>
        <c:scaling>
          <c:orientation val="minMax"/>
        </c:scaling>
        <c:delete val="0"/>
        <c:axPos val="l"/>
        <c:majorGridlines>
          <c:spPr>
            <a:ln w="9525" cap="flat" cmpd="sng" algn="ctr">
              <a:gradFill>
                <a:gsLst>
                  <a:gs pos="0">
                    <a:schemeClr val="tx1">
                      <a:lumMod val="5000"/>
                      <a:lumOff val="95000"/>
                    </a:schemeClr>
                  </a:gs>
                  <a:gs pos="100000">
                    <a:schemeClr val="tx1">
                      <a:lumMod val="15000"/>
                      <a:lumOff val="85000"/>
                    </a:schemeClr>
                  </a:gs>
                </a:gsLst>
                <a:lin ang="5400000" scaled="0"/>
              </a:gra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0156099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t-LT" sz="1400"/>
              <a:t>ES lėšos MTEP pagal finansavimo šaltinius (proc. nuo BVP) </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stacked"/>
        <c:varyColors val="0"/>
        <c:ser>
          <c:idx val="0"/>
          <c:order val="0"/>
          <c:tx>
            <c:strRef>
              <c:f>Lapas1!$B$1</c:f>
              <c:strCache>
                <c:ptCount val="1"/>
                <c:pt idx="0">
                  <c:v>Verslas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Lapas1!$A$2:$A$12</c:f>
              <c:strCache>
                <c:ptCount val="11"/>
                <c:pt idx="0">
                  <c:v>2005 </c:v>
                </c:pt>
                <c:pt idx="1">
                  <c:v>2006 </c:v>
                </c:pt>
                <c:pt idx="2">
                  <c:v>2007 </c:v>
                </c:pt>
                <c:pt idx="3">
                  <c:v>2008 </c:v>
                </c:pt>
                <c:pt idx="4">
                  <c:v>2009 </c:v>
                </c:pt>
                <c:pt idx="5">
                  <c:v>2010 </c:v>
                </c:pt>
                <c:pt idx="6">
                  <c:v>2011 </c:v>
                </c:pt>
                <c:pt idx="7">
                  <c:v>2012 </c:v>
                </c:pt>
                <c:pt idx="8">
                  <c:v>2013 </c:v>
                </c:pt>
                <c:pt idx="9">
                  <c:v>2014 </c:v>
                </c:pt>
                <c:pt idx="10">
                  <c:v>2015</c:v>
                </c:pt>
              </c:strCache>
            </c:strRef>
          </c:cat>
          <c:val>
            <c:numRef>
              <c:f>Lapas1!$B$2:$B$12</c:f>
              <c:numCache>
                <c:formatCode>0.00</c:formatCode>
                <c:ptCount val="11"/>
                <c:pt idx="0">
                  <c:v>0.94</c:v>
                </c:pt>
                <c:pt idx="1">
                  <c:v>0.97</c:v>
                </c:pt>
                <c:pt idx="2">
                  <c:v>0.97</c:v>
                </c:pt>
                <c:pt idx="3">
                  <c:v>1.01</c:v>
                </c:pt>
                <c:pt idx="4">
                  <c:v>1.04</c:v>
                </c:pt>
                <c:pt idx="5">
                  <c:v>1.04</c:v>
                </c:pt>
                <c:pt idx="6">
                  <c:v>1.08</c:v>
                </c:pt>
                <c:pt idx="7">
                  <c:v>1.1100000000000001</c:v>
                </c:pt>
                <c:pt idx="8">
                  <c:v>1.1200000000000001</c:v>
                </c:pt>
                <c:pt idx="9" formatCode="General">
                  <c:v>1.1299999999999999</c:v>
                </c:pt>
                <c:pt idx="10" formatCode="General">
                  <c:v>1.1299999999999999</c:v>
                </c:pt>
              </c:numCache>
            </c:numRef>
          </c:val>
          <c:extLst>
            <c:ext xmlns:c16="http://schemas.microsoft.com/office/drawing/2014/chart" uri="{C3380CC4-5D6E-409C-BE32-E72D297353CC}">
              <c16:uniqueId val="{00000000-2F2D-445A-813D-7031CC535181}"/>
            </c:ext>
          </c:extLst>
        </c:ser>
        <c:ser>
          <c:idx val="1"/>
          <c:order val="1"/>
          <c:tx>
            <c:strRef>
              <c:f>Lapas1!$C$1</c:f>
              <c:strCache>
                <c:ptCount val="1"/>
                <c:pt idx="0">
                  <c:v>A.mokslas</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Lapas1!$A$2:$A$12</c:f>
              <c:strCache>
                <c:ptCount val="11"/>
                <c:pt idx="0">
                  <c:v>2005 </c:v>
                </c:pt>
                <c:pt idx="1">
                  <c:v>2006 </c:v>
                </c:pt>
                <c:pt idx="2">
                  <c:v>2007 </c:v>
                </c:pt>
                <c:pt idx="3">
                  <c:v>2008 </c:v>
                </c:pt>
                <c:pt idx="4">
                  <c:v>2009 </c:v>
                </c:pt>
                <c:pt idx="5">
                  <c:v>2010 </c:v>
                </c:pt>
                <c:pt idx="6">
                  <c:v>2011 </c:v>
                </c:pt>
                <c:pt idx="7">
                  <c:v>2012 </c:v>
                </c:pt>
                <c:pt idx="8">
                  <c:v>2013 </c:v>
                </c:pt>
                <c:pt idx="9">
                  <c:v>2014 </c:v>
                </c:pt>
                <c:pt idx="10">
                  <c:v>2015</c:v>
                </c:pt>
              </c:strCache>
            </c:strRef>
          </c:cat>
          <c:val>
            <c:numRef>
              <c:f>Lapas1!$C$2:$C$12</c:f>
              <c:numCache>
                <c:formatCode>0.00</c:formatCode>
                <c:ptCount val="11"/>
                <c:pt idx="0">
                  <c:v>0.01</c:v>
                </c:pt>
                <c:pt idx="1">
                  <c:v>0.02</c:v>
                </c:pt>
                <c:pt idx="2">
                  <c:v>0.02</c:v>
                </c:pt>
                <c:pt idx="3">
                  <c:v>0.02</c:v>
                </c:pt>
                <c:pt idx="4">
                  <c:v>0.02</c:v>
                </c:pt>
                <c:pt idx="5">
                  <c:v>0.02</c:v>
                </c:pt>
                <c:pt idx="6">
                  <c:v>0.02</c:v>
                </c:pt>
                <c:pt idx="7">
                  <c:v>0.02</c:v>
                </c:pt>
                <c:pt idx="8">
                  <c:v>0.02</c:v>
                </c:pt>
                <c:pt idx="9" formatCode="General">
                  <c:v>0.02</c:v>
                </c:pt>
                <c:pt idx="10" formatCode="General">
                  <c:v>0.02</c:v>
                </c:pt>
              </c:numCache>
            </c:numRef>
          </c:val>
          <c:extLst>
            <c:ext xmlns:c16="http://schemas.microsoft.com/office/drawing/2014/chart" uri="{C3380CC4-5D6E-409C-BE32-E72D297353CC}">
              <c16:uniqueId val="{00000001-2F2D-445A-813D-7031CC535181}"/>
            </c:ext>
          </c:extLst>
        </c:ser>
        <c:ser>
          <c:idx val="2"/>
          <c:order val="2"/>
          <c:tx>
            <c:strRef>
              <c:f>Lapas1!$D$1</c:f>
              <c:strCache>
                <c:ptCount val="1"/>
                <c:pt idx="0">
                  <c:v>Valdžia</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Lapas1!$A$2:$A$12</c:f>
              <c:strCache>
                <c:ptCount val="11"/>
                <c:pt idx="0">
                  <c:v>2005 </c:v>
                </c:pt>
                <c:pt idx="1">
                  <c:v>2006 </c:v>
                </c:pt>
                <c:pt idx="2">
                  <c:v>2007 </c:v>
                </c:pt>
                <c:pt idx="3">
                  <c:v>2008 </c:v>
                </c:pt>
                <c:pt idx="4">
                  <c:v>2009 </c:v>
                </c:pt>
                <c:pt idx="5">
                  <c:v>2010 </c:v>
                </c:pt>
                <c:pt idx="6">
                  <c:v>2011 </c:v>
                </c:pt>
                <c:pt idx="7">
                  <c:v>2012 </c:v>
                </c:pt>
                <c:pt idx="8">
                  <c:v>2013 </c:v>
                </c:pt>
                <c:pt idx="9">
                  <c:v>2014 </c:v>
                </c:pt>
                <c:pt idx="10">
                  <c:v>2015</c:v>
                </c:pt>
              </c:strCache>
            </c:strRef>
          </c:cat>
          <c:val>
            <c:numRef>
              <c:f>Lapas1!$D$2:$D$12</c:f>
              <c:numCache>
                <c:formatCode>0.00</c:formatCode>
                <c:ptCount val="11"/>
                <c:pt idx="0">
                  <c:v>0.6</c:v>
                </c:pt>
                <c:pt idx="1">
                  <c:v>0.59</c:v>
                </c:pt>
                <c:pt idx="2">
                  <c:v>0.59</c:v>
                </c:pt>
                <c:pt idx="3">
                  <c:v>0.62</c:v>
                </c:pt>
                <c:pt idx="4">
                  <c:v>0.67</c:v>
                </c:pt>
                <c:pt idx="5">
                  <c:v>0.67</c:v>
                </c:pt>
                <c:pt idx="6">
                  <c:v>0.66</c:v>
                </c:pt>
                <c:pt idx="7">
                  <c:v>0.66</c:v>
                </c:pt>
                <c:pt idx="8">
                  <c:v>0.66</c:v>
                </c:pt>
                <c:pt idx="9" formatCode="General">
                  <c:v>0.65</c:v>
                </c:pt>
                <c:pt idx="10" formatCode="General">
                  <c:v>0.63</c:v>
                </c:pt>
              </c:numCache>
            </c:numRef>
          </c:val>
          <c:extLst>
            <c:ext xmlns:c16="http://schemas.microsoft.com/office/drawing/2014/chart" uri="{C3380CC4-5D6E-409C-BE32-E72D297353CC}">
              <c16:uniqueId val="{00000002-2F2D-445A-813D-7031CC535181}"/>
            </c:ext>
          </c:extLst>
        </c:ser>
        <c:ser>
          <c:idx val="3"/>
          <c:order val="3"/>
          <c:tx>
            <c:strRef>
              <c:f>Lapas1!$E$1</c:f>
              <c:strCache>
                <c:ptCount val="1"/>
                <c:pt idx="0">
                  <c:v>Priv. ne pelno</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Lapas1!$A$2:$A$12</c:f>
              <c:strCache>
                <c:ptCount val="11"/>
                <c:pt idx="0">
                  <c:v>2005 </c:v>
                </c:pt>
                <c:pt idx="1">
                  <c:v>2006 </c:v>
                </c:pt>
                <c:pt idx="2">
                  <c:v>2007 </c:v>
                </c:pt>
                <c:pt idx="3">
                  <c:v>2008 </c:v>
                </c:pt>
                <c:pt idx="4">
                  <c:v>2009 </c:v>
                </c:pt>
                <c:pt idx="5">
                  <c:v>2010 </c:v>
                </c:pt>
                <c:pt idx="6">
                  <c:v>2011 </c:v>
                </c:pt>
                <c:pt idx="7">
                  <c:v>2012 </c:v>
                </c:pt>
                <c:pt idx="8">
                  <c:v>2013 </c:v>
                </c:pt>
                <c:pt idx="9">
                  <c:v>2014 </c:v>
                </c:pt>
                <c:pt idx="10">
                  <c:v>2015</c:v>
                </c:pt>
              </c:strCache>
            </c:strRef>
          </c:cat>
          <c:val>
            <c:numRef>
              <c:f>Lapas1!$E$2:$E$12</c:f>
              <c:numCache>
                <c:formatCode>0.00</c:formatCode>
                <c:ptCount val="11"/>
                <c:pt idx="0">
                  <c:v>0.03</c:v>
                </c:pt>
                <c:pt idx="1">
                  <c:v>0.03</c:v>
                </c:pt>
                <c:pt idx="2">
                  <c:v>0.03</c:v>
                </c:pt>
                <c:pt idx="3">
                  <c:v>0.03</c:v>
                </c:pt>
                <c:pt idx="4">
                  <c:v>0.03</c:v>
                </c:pt>
                <c:pt idx="5">
                  <c:v>0.03</c:v>
                </c:pt>
                <c:pt idx="6">
                  <c:v>0.03</c:v>
                </c:pt>
                <c:pt idx="7">
                  <c:v>0.03</c:v>
                </c:pt>
                <c:pt idx="8">
                  <c:v>0.03</c:v>
                </c:pt>
                <c:pt idx="9" formatCode="General">
                  <c:v>0.03</c:v>
                </c:pt>
                <c:pt idx="10" formatCode="General">
                  <c:v>0.03</c:v>
                </c:pt>
              </c:numCache>
            </c:numRef>
          </c:val>
          <c:extLst>
            <c:ext xmlns:c16="http://schemas.microsoft.com/office/drawing/2014/chart" uri="{C3380CC4-5D6E-409C-BE32-E72D297353CC}">
              <c16:uniqueId val="{00000003-2F2D-445A-813D-7031CC535181}"/>
            </c:ext>
          </c:extLst>
        </c:ser>
        <c:ser>
          <c:idx val="4"/>
          <c:order val="4"/>
          <c:tx>
            <c:strRef>
              <c:f>Lapas1!$F$1</c:f>
              <c:strCache>
                <c:ptCount val="1"/>
                <c:pt idx="0">
                  <c:v>Užsienis</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Lapas1!$A$2:$A$12</c:f>
              <c:strCache>
                <c:ptCount val="11"/>
                <c:pt idx="0">
                  <c:v>2005 </c:v>
                </c:pt>
                <c:pt idx="1">
                  <c:v>2006 </c:v>
                </c:pt>
                <c:pt idx="2">
                  <c:v>2007 </c:v>
                </c:pt>
                <c:pt idx="3">
                  <c:v>2008 </c:v>
                </c:pt>
                <c:pt idx="4">
                  <c:v>2009 </c:v>
                </c:pt>
                <c:pt idx="5">
                  <c:v>2010 </c:v>
                </c:pt>
                <c:pt idx="6">
                  <c:v>2011 </c:v>
                </c:pt>
                <c:pt idx="7">
                  <c:v>2012 </c:v>
                </c:pt>
                <c:pt idx="8">
                  <c:v>2013 </c:v>
                </c:pt>
                <c:pt idx="9">
                  <c:v>2014 </c:v>
                </c:pt>
                <c:pt idx="10">
                  <c:v>2015</c:v>
                </c:pt>
              </c:strCache>
            </c:strRef>
          </c:cat>
          <c:val>
            <c:numRef>
              <c:f>Lapas1!$F$2:$F$12</c:f>
              <c:numCache>
                <c:formatCode>0.00</c:formatCode>
                <c:ptCount val="11"/>
                <c:pt idx="0">
                  <c:v>0.16</c:v>
                </c:pt>
                <c:pt idx="1">
                  <c:v>0.15</c:v>
                </c:pt>
                <c:pt idx="2">
                  <c:v>0.16</c:v>
                </c:pt>
                <c:pt idx="3">
                  <c:v>0.16</c:v>
                </c:pt>
                <c:pt idx="4">
                  <c:v>0.16</c:v>
                </c:pt>
                <c:pt idx="5">
                  <c:v>0.17</c:v>
                </c:pt>
                <c:pt idx="6">
                  <c:v>0.18</c:v>
                </c:pt>
                <c:pt idx="7">
                  <c:v>0.19</c:v>
                </c:pt>
                <c:pt idx="8">
                  <c:v>0.2</c:v>
                </c:pt>
                <c:pt idx="9" formatCode="General">
                  <c:v>0.21</c:v>
                </c:pt>
                <c:pt idx="10" formatCode="General">
                  <c:v>0.22</c:v>
                </c:pt>
              </c:numCache>
            </c:numRef>
          </c:val>
          <c:extLst>
            <c:ext xmlns:c16="http://schemas.microsoft.com/office/drawing/2014/chart" uri="{C3380CC4-5D6E-409C-BE32-E72D297353CC}">
              <c16:uniqueId val="{00000004-2F2D-445A-813D-7031CC535181}"/>
            </c:ext>
          </c:extLst>
        </c:ser>
        <c:dLbls>
          <c:dLblPos val="ctr"/>
          <c:showLegendKey val="0"/>
          <c:showVal val="1"/>
          <c:showCatName val="0"/>
          <c:showSerName val="0"/>
          <c:showPercent val="0"/>
          <c:showBubbleSize val="0"/>
        </c:dLbls>
        <c:gapWidth val="150"/>
        <c:overlap val="100"/>
        <c:axId val="301561776"/>
        <c:axId val="301011728"/>
      </c:barChart>
      <c:catAx>
        <c:axId val="3015617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01011728"/>
        <c:crosses val="autoZero"/>
        <c:auto val="1"/>
        <c:lblAlgn val="ctr"/>
        <c:lblOffset val="100"/>
        <c:noMultiLvlLbl val="0"/>
      </c:catAx>
      <c:valAx>
        <c:axId val="301011728"/>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0156177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t-LT"/>
              <a:t>2015 m. MTEP lėšos pagal finansavimo</a:t>
            </a:r>
            <a:r>
              <a:rPr lang="lt-LT" baseline="0"/>
              <a:t> šaltinius</a:t>
            </a:r>
          </a:p>
          <a:p>
            <a:pPr>
              <a:defRPr/>
            </a:pPr>
            <a:r>
              <a:rPr lang="lt-LT" baseline="0"/>
              <a:t>(proc. nuo BVP)</a:t>
            </a:r>
            <a:endParaRPr lang="lt-LT"/>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stacked"/>
        <c:varyColors val="0"/>
        <c:ser>
          <c:idx val="0"/>
          <c:order val="0"/>
          <c:tx>
            <c:strRef>
              <c:f>Lapas1!$B$1</c:f>
              <c:strCache>
                <c:ptCount val="1"/>
                <c:pt idx="0">
                  <c:v>Verslas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Lapas1!$A$2:$A$3</c:f>
              <c:strCache>
                <c:ptCount val="2"/>
                <c:pt idx="0">
                  <c:v>Lietuva</c:v>
                </c:pt>
                <c:pt idx="1">
                  <c:v>ES</c:v>
                </c:pt>
              </c:strCache>
            </c:strRef>
          </c:cat>
          <c:val>
            <c:numRef>
              <c:f>Lapas1!$B$2:$B$3</c:f>
              <c:numCache>
                <c:formatCode>General</c:formatCode>
                <c:ptCount val="2"/>
                <c:pt idx="0">
                  <c:v>0.3</c:v>
                </c:pt>
                <c:pt idx="1">
                  <c:v>1.1299999999999999</c:v>
                </c:pt>
              </c:numCache>
            </c:numRef>
          </c:val>
          <c:extLst>
            <c:ext xmlns:c16="http://schemas.microsoft.com/office/drawing/2014/chart" uri="{C3380CC4-5D6E-409C-BE32-E72D297353CC}">
              <c16:uniqueId val="{00000000-1501-4878-8BD4-6FE94663206E}"/>
            </c:ext>
          </c:extLst>
        </c:ser>
        <c:ser>
          <c:idx val="1"/>
          <c:order val="1"/>
          <c:tx>
            <c:strRef>
              <c:f>Lapas1!$C$1</c:f>
              <c:strCache>
                <c:ptCount val="1"/>
                <c:pt idx="0">
                  <c:v>A. mokslas</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Lapas1!$A$2:$A$3</c:f>
              <c:strCache>
                <c:ptCount val="2"/>
                <c:pt idx="0">
                  <c:v>Lietuva</c:v>
                </c:pt>
                <c:pt idx="1">
                  <c:v>ES</c:v>
                </c:pt>
              </c:strCache>
            </c:strRef>
          </c:cat>
          <c:val>
            <c:numRef>
              <c:f>Lapas1!$C$2:$C$3</c:f>
              <c:numCache>
                <c:formatCode>General</c:formatCode>
                <c:ptCount val="2"/>
                <c:pt idx="0">
                  <c:v>0.02</c:v>
                </c:pt>
                <c:pt idx="1">
                  <c:v>0.02</c:v>
                </c:pt>
              </c:numCache>
            </c:numRef>
          </c:val>
          <c:extLst>
            <c:ext xmlns:c16="http://schemas.microsoft.com/office/drawing/2014/chart" uri="{C3380CC4-5D6E-409C-BE32-E72D297353CC}">
              <c16:uniqueId val="{00000001-1501-4878-8BD4-6FE94663206E}"/>
            </c:ext>
          </c:extLst>
        </c:ser>
        <c:ser>
          <c:idx val="2"/>
          <c:order val="2"/>
          <c:tx>
            <c:strRef>
              <c:f>Lapas1!$D$1</c:f>
              <c:strCache>
                <c:ptCount val="1"/>
                <c:pt idx="0">
                  <c:v>Valdžia</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Lapas1!$A$2:$A$3</c:f>
              <c:strCache>
                <c:ptCount val="2"/>
                <c:pt idx="0">
                  <c:v>Lietuva</c:v>
                </c:pt>
                <c:pt idx="1">
                  <c:v>ES</c:v>
                </c:pt>
              </c:strCache>
            </c:strRef>
          </c:cat>
          <c:val>
            <c:numRef>
              <c:f>Lapas1!$D$2:$D$3</c:f>
              <c:numCache>
                <c:formatCode>General</c:formatCode>
                <c:ptCount val="2"/>
                <c:pt idx="0">
                  <c:v>0.37</c:v>
                </c:pt>
                <c:pt idx="1">
                  <c:v>0.63</c:v>
                </c:pt>
              </c:numCache>
            </c:numRef>
          </c:val>
          <c:extLst>
            <c:ext xmlns:c16="http://schemas.microsoft.com/office/drawing/2014/chart" uri="{C3380CC4-5D6E-409C-BE32-E72D297353CC}">
              <c16:uniqueId val="{00000002-1501-4878-8BD4-6FE94663206E}"/>
            </c:ext>
          </c:extLst>
        </c:ser>
        <c:ser>
          <c:idx val="3"/>
          <c:order val="3"/>
          <c:tx>
            <c:strRef>
              <c:f>Lapas1!$E$1</c:f>
              <c:strCache>
                <c:ptCount val="1"/>
                <c:pt idx="0">
                  <c:v>Priv. Ne pelno</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Lapas1!$A$2:$A$3</c:f>
              <c:strCache>
                <c:ptCount val="2"/>
                <c:pt idx="0">
                  <c:v>Lietuva</c:v>
                </c:pt>
                <c:pt idx="1">
                  <c:v>ES</c:v>
                </c:pt>
              </c:strCache>
            </c:strRef>
          </c:cat>
          <c:val>
            <c:numRef>
              <c:f>Lapas1!$E$2:$E$3</c:f>
              <c:numCache>
                <c:formatCode>General</c:formatCode>
                <c:ptCount val="2"/>
                <c:pt idx="0">
                  <c:v>0</c:v>
                </c:pt>
                <c:pt idx="1">
                  <c:v>0.03</c:v>
                </c:pt>
              </c:numCache>
            </c:numRef>
          </c:val>
          <c:extLst>
            <c:ext xmlns:c16="http://schemas.microsoft.com/office/drawing/2014/chart" uri="{C3380CC4-5D6E-409C-BE32-E72D297353CC}">
              <c16:uniqueId val="{00000003-1501-4878-8BD4-6FE94663206E}"/>
            </c:ext>
          </c:extLst>
        </c:ser>
        <c:ser>
          <c:idx val="4"/>
          <c:order val="4"/>
          <c:tx>
            <c:strRef>
              <c:f>Lapas1!$F$1</c:f>
              <c:strCache>
                <c:ptCount val="1"/>
                <c:pt idx="0">
                  <c:v>Užsienis</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Lapas1!$A$2:$A$3</c:f>
              <c:strCache>
                <c:ptCount val="2"/>
                <c:pt idx="0">
                  <c:v>Lietuva</c:v>
                </c:pt>
                <c:pt idx="1">
                  <c:v>ES</c:v>
                </c:pt>
              </c:strCache>
            </c:strRef>
          </c:cat>
          <c:val>
            <c:numRef>
              <c:f>Lapas1!$F$2:$F$3</c:f>
              <c:numCache>
                <c:formatCode>General</c:formatCode>
                <c:ptCount val="2"/>
                <c:pt idx="0">
                  <c:v>0.36</c:v>
                </c:pt>
                <c:pt idx="1">
                  <c:v>0.22</c:v>
                </c:pt>
              </c:numCache>
            </c:numRef>
          </c:val>
          <c:extLst>
            <c:ext xmlns:c16="http://schemas.microsoft.com/office/drawing/2014/chart" uri="{C3380CC4-5D6E-409C-BE32-E72D297353CC}">
              <c16:uniqueId val="{00000004-1501-4878-8BD4-6FE94663206E}"/>
            </c:ext>
          </c:extLst>
        </c:ser>
        <c:dLbls>
          <c:showLegendKey val="0"/>
          <c:showVal val="0"/>
          <c:showCatName val="0"/>
          <c:showSerName val="0"/>
          <c:showPercent val="0"/>
          <c:showBubbleSize val="0"/>
        </c:dLbls>
        <c:gapWidth val="150"/>
        <c:overlap val="100"/>
        <c:axId val="301010944"/>
        <c:axId val="301010552"/>
      </c:barChart>
      <c:catAx>
        <c:axId val="30101094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01010552"/>
        <c:crosses val="autoZero"/>
        <c:auto val="1"/>
        <c:lblAlgn val="ctr"/>
        <c:lblOffset val="100"/>
        <c:noMultiLvlLbl val="0"/>
      </c:catAx>
      <c:valAx>
        <c:axId val="30101055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01010944"/>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n-US"/>
          </a:p>
        </c:txPr>
      </c:dTable>
      <c:spPr>
        <a:solidFill>
          <a:schemeClr val="bg1"/>
        </a:solid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6"/>
    </mc:Choice>
    <mc:Fallback>
      <c:style val="6"/>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Versl</a:t>
            </a:r>
            <a:r>
              <a:rPr lang="lt-LT"/>
              <a:t>o sektorius kaip</a:t>
            </a:r>
            <a:r>
              <a:rPr lang="lt-LT" baseline="0"/>
              <a:t> </a:t>
            </a:r>
            <a:r>
              <a:rPr lang="lt-LT"/>
              <a:t>MTEP finansavimo šaltinis</a:t>
            </a:r>
          </a:p>
          <a:p>
            <a:pPr>
              <a:defRPr/>
            </a:pPr>
            <a:r>
              <a:rPr lang="lt-LT"/>
              <a:t>(proc. nuo BVP)</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Lapas1!$B$1</c:f>
              <c:strCache>
                <c:ptCount val="1"/>
                <c:pt idx="0">
                  <c:v>Lietuva</c:v>
                </c:pt>
              </c:strCache>
            </c:strRef>
          </c:tx>
          <c:spPr>
            <a:solidFill>
              <a:schemeClr val="accent4">
                <a:lumMod val="20000"/>
                <a:lumOff val="8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Lapas1!$A$2:$A$12</c:f>
              <c:numCache>
                <c:formatCode>General</c:formatCode>
                <c:ptCount val="11"/>
                <c:pt idx="0">
                  <c:v>2005</c:v>
                </c:pt>
                <c:pt idx="1">
                  <c:v>2006</c:v>
                </c:pt>
                <c:pt idx="2">
                  <c:v>2007</c:v>
                </c:pt>
                <c:pt idx="3">
                  <c:v>2008</c:v>
                </c:pt>
                <c:pt idx="4">
                  <c:v>2009</c:v>
                </c:pt>
                <c:pt idx="5">
                  <c:v>2010</c:v>
                </c:pt>
                <c:pt idx="6">
                  <c:v>2011</c:v>
                </c:pt>
                <c:pt idx="7">
                  <c:v>2012</c:v>
                </c:pt>
                <c:pt idx="8">
                  <c:v>2013</c:v>
                </c:pt>
                <c:pt idx="9">
                  <c:v>2014</c:v>
                </c:pt>
                <c:pt idx="10">
                  <c:v>2015</c:v>
                </c:pt>
              </c:numCache>
            </c:numRef>
          </c:cat>
          <c:val>
            <c:numRef>
              <c:f>Lapas1!$B$2:$B$12</c:f>
              <c:numCache>
                <c:formatCode>General</c:formatCode>
                <c:ptCount val="11"/>
                <c:pt idx="0">
                  <c:v>0.16</c:v>
                </c:pt>
                <c:pt idx="1">
                  <c:v>0.21</c:v>
                </c:pt>
                <c:pt idx="2">
                  <c:v>0.26</c:v>
                </c:pt>
                <c:pt idx="3">
                  <c:v>0.23</c:v>
                </c:pt>
                <c:pt idx="4">
                  <c:v>0.26</c:v>
                </c:pt>
                <c:pt idx="5">
                  <c:v>0.25</c:v>
                </c:pt>
                <c:pt idx="6">
                  <c:v>0.25</c:v>
                </c:pt>
                <c:pt idx="7">
                  <c:v>0.24</c:v>
                </c:pt>
                <c:pt idx="8">
                  <c:v>0.26</c:v>
                </c:pt>
                <c:pt idx="9">
                  <c:v>0.34</c:v>
                </c:pt>
                <c:pt idx="10">
                  <c:v>0.3</c:v>
                </c:pt>
              </c:numCache>
            </c:numRef>
          </c:val>
          <c:extLst>
            <c:ext xmlns:c16="http://schemas.microsoft.com/office/drawing/2014/chart" uri="{C3380CC4-5D6E-409C-BE32-E72D297353CC}">
              <c16:uniqueId val="{00000000-722A-44D2-BD6C-94A996B9F16D}"/>
            </c:ext>
          </c:extLst>
        </c:ser>
        <c:ser>
          <c:idx val="1"/>
          <c:order val="1"/>
          <c:tx>
            <c:strRef>
              <c:f>Lapas1!$C$1</c:f>
              <c:strCache>
                <c:ptCount val="1"/>
                <c:pt idx="0">
                  <c:v>ES</c:v>
                </c:pt>
              </c:strCache>
            </c:strRef>
          </c:tx>
          <c:spPr>
            <a:solidFill>
              <a:schemeClr val="accent1">
                <a:lumMod val="40000"/>
                <a:lumOff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Lapas1!$A$2:$A$12</c:f>
              <c:numCache>
                <c:formatCode>General</c:formatCode>
                <c:ptCount val="11"/>
                <c:pt idx="0">
                  <c:v>2005</c:v>
                </c:pt>
                <c:pt idx="1">
                  <c:v>2006</c:v>
                </c:pt>
                <c:pt idx="2">
                  <c:v>2007</c:v>
                </c:pt>
                <c:pt idx="3">
                  <c:v>2008</c:v>
                </c:pt>
                <c:pt idx="4">
                  <c:v>2009</c:v>
                </c:pt>
                <c:pt idx="5">
                  <c:v>2010</c:v>
                </c:pt>
                <c:pt idx="6">
                  <c:v>2011</c:v>
                </c:pt>
                <c:pt idx="7">
                  <c:v>2012</c:v>
                </c:pt>
                <c:pt idx="8">
                  <c:v>2013</c:v>
                </c:pt>
                <c:pt idx="9">
                  <c:v>2014</c:v>
                </c:pt>
                <c:pt idx="10">
                  <c:v>2015</c:v>
                </c:pt>
              </c:numCache>
            </c:numRef>
          </c:cat>
          <c:val>
            <c:numRef>
              <c:f>Lapas1!$C$2:$C$12</c:f>
              <c:numCache>
                <c:formatCode>General</c:formatCode>
                <c:ptCount val="11"/>
                <c:pt idx="0">
                  <c:v>0.94</c:v>
                </c:pt>
                <c:pt idx="1">
                  <c:v>0.97</c:v>
                </c:pt>
                <c:pt idx="2">
                  <c:v>0.97</c:v>
                </c:pt>
                <c:pt idx="3">
                  <c:v>1.01</c:v>
                </c:pt>
                <c:pt idx="4">
                  <c:v>1.04</c:v>
                </c:pt>
                <c:pt idx="5">
                  <c:v>1.04</c:v>
                </c:pt>
                <c:pt idx="6">
                  <c:v>1.08</c:v>
                </c:pt>
                <c:pt idx="7">
                  <c:v>1.1100000000000001</c:v>
                </c:pt>
                <c:pt idx="8">
                  <c:v>1.1200000000000001</c:v>
                </c:pt>
                <c:pt idx="9">
                  <c:v>1.1299999999999999</c:v>
                </c:pt>
                <c:pt idx="10">
                  <c:v>1.1299999999999999</c:v>
                </c:pt>
              </c:numCache>
            </c:numRef>
          </c:val>
          <c:extLst>
            <c:ext xmlns:c16="http://schemas.microsoft.com/office/drawing/2014/chart" uri="{C3380CC4-5D6E-409C-BE32-E72D297353CC}">
              <c16:uniqueId val="{00000001-722A-44D2-BD6C-94A996B9F16D}"/>
            </c:ext>
          </c:extLst>
        </c:ser>
        <c:dLbls>
          <c:dLblPos val="ctr"/>
          <c:showLegendKey val="0"/>
          <c:showVal val="1"/>
          <c:showCatName val="0"/>
          <c:showSerName val="0"/>
          <c:showPercent val="0"/>
          <c:showBubbleSize val="0"/>
        </c:dLbls>
        <c:gapWidth val="150"/>
        <c:axId val="301009376"/>
        <c:axId val="301008984"/>
      </c:barChart>
      <c:catAx>
        <c:axId val="3010093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01008984"/>
        <c:crosses val="autoZero"/>
        <c:auto val="1"/>
        <c:lblAlgn val="ctr"/>
        <c:lblOffset val="100"/>
        <c:noMultiLvlLbl val="0"/>
      </c:catAx>
      <c:valAx>
        <c:axId val="30100898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0100937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6"/>
    </mc:Choice>
    <mc:Fallback>
      <c:style val="6"/>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V</a:t>
            </a:r>
            <a:r>
              <a:rPr lang="lt-LT"/>
              <a:t>aldžios sektorius kaip</a:t>
            </a:r>
            <a:r>
              <a:rPr lang="lt-LT" baseline="0"/>
              <a:t> </a:t>
            </a:r>
            <a:r>
              <a:rPr lang="lt-LT"/>
              <a:t>MTEP finansavimo šaltinis </a:t>
            </a:r>
          </a:p>
          <a:p>
            <a:pPr>
              <a:defRPr/>
            </a:pPr>
            <a:r>
              <a:rPr lang="lt-LT"/>
              <a:t>(proc. nuo BVP)</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Lapas1!$B$1</c:f>
              <c:strCache>
                <c:ptCount val="1"/>
                <c:pt idx="0">
                  <c:v>Lietuva</c:v>
                </c:pt>
              </c:strCache>
            </c:strRef>
          </c:tx>
          <c:spPr>
            <a:solidFill>
              <a:schemeClr val="accent4">
                <a:lumMod val="20000"/>
                <a:lumOff val="8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Lapas1!$A$2:$A$12</c:f>
              <c:numCache>
                <c:formatCode>General</c:formatCode>
                <c:ptCount val="11"/>
                <c:pt idx="0">
                  <c:v>2005</c:v>
                </c:pt>
                <c:pt idx="1">
                  <c:v>2006</c:v>
                </c:pt>
                <c:pt idx="2">
                  <c:v>2007</c:v>
                </c:pt>
                <c:pt idx="3">
                  <c:v>2008</c:v>
                </c:pt>
                <c:pt idx="4">
                  <c:v>2009</c:v>
                </c:pt>
                <c:pt idx="5">
                  <c:v>2010</c:v>
                </c:pt>
                <c:pt idx="6">
                  <c:v>2011</c:v>
                </c:pt>
                <c:pt idx="7">
                  <c:v>2012</c:v>
                </c:pt>
                <c:pt idx="8">
                  <c:v>2013</c:v>
                </c:pt>
                <c:pt idx="9">
                  <c:v>2014</c:v>
                </c:pt>
                <c:pt idx="10">
                  <c:v>2015</c:v>
                </c:pt>
              </c:numCache>
            </c:numRef>
          </c:cat>
          <c:val>
            <c:numRef>
              <c:f>Lapas1!$B$2:$B$12</c:f>
              <c:numCache>
                <c:formatCode>General</c:formatCode>
                <c:ptCount val="11"/>
                <c:pt idx="0">
                  <c:v>0.47</c:v>
                </c:pt>
                <c:pt idx="1">
                  <c:v>0.42</c:v>
                </c:pt>
                <c:pt idx="2">
                  <c:v>0.38</c:v>
                </c:pt>
                <c:pt idx="3">
                  <c:v>0.43</c:v>
                </c:pt>
                <c:pt idx="4">
                  <c:v>0.44</c:v>
                </c:pt>
                <c:pt idx="5">
                  <c:v>0.36</c:v>
                </c:pt>
                <c:pt idx="6">
                  <c:v>0.38</c:v>
                </c:pt>
                <c:pt idx="7">
                  <c:v>0.35</c:v>
                </c:pt>
                <c:pt idx="8">
                  <c:v>0.33</c:v>
                </c:pt>
                <c:pt idx="9">
                  <c:v>0.34</c:v>
                </c:pt>
                <c:pt idx="10">
                  <c:v>0.37</c:v>
                </c:pt>
              </c:numCache>
            </c:numRef>
          </c:val>
          <c:extLst>
            <c:ext xmlns:c16="http://schemas.microsoft.com/office/drawing/2014/chart" uri="{C3380CC4-5D6E-409C-BE32-E72D297353CC}">
              <c16:uniqueId val="{00000000-3AE1-4531-9475-D591B0223BD2}"/>
            </c:ext>
          </c:extLst>
        </c:ser>
        <c:ser>
          <c:idx val="1"/>
          <c:order val="1"/>
          <c:tx>
            <c:strRef>
              <c:f>Lapas1!$C$1</c:f>
              <c:strCache>
                <c:ptCount val="1"/>
                <c:pt idx="0">
                  <c:v>ES</c:v>
                </c:pt>
              </c:strCache>
            </c:strRef>
          </c:tx>
          <c:spPr>
            <a:solidFill>
              <a:schemeClr val="accent3">
                <a:lumMod val="40000"/>
                <a:lumOff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Lapas1!$A$2:$A$12</c:f>
              <c:numCache>
                <c:formatCode>General</c:formatCode>
                <c:ptCount val="11"/>
                <c:pt idx="0">
                  <c:v>2005</c:v>
                </c:pt>
                <c:pt idx="1">
                  <c:v>2006</c:v>
                </c:pt>
                <c:pt idx="2">
                  <c:v>2007</c:v>
                </c:pt>
                <c:pt idx="3">
                  <c:v>2008</c:v>
                </c:pt>
                <c:pt idx="4">
                  <c:v>2009</c:v>
                </c:pt>
                <c:pt idx="5">
                  <c:v>2010</c:v>
                </c:pt>
                <c:pt idx="6">
                  <c:v>2011</c:v>
                </c:pt>
                <c:pt idx="7">
                  <c:v>2012</c:v>
                </c:pt>
                <c:pt idx="8">
                  <c:v>2013</c:v>
                </c:pt>
                <c:pt idx="9">
                  <c:v>2014</c:v>
                </c:pt>
                <c:pt idx="10">
                  <c:v>2015</c:v>
                </c:pt>
              </c:numCache>
            </c:numRef>
          </c:cat>
          <c:val>
            <c:numRef>
              <c:f>Lapas1!$C$2:$C$12</c:f>
              <c:numCache>
                <c:formatCode>General</c:formatCode>
                <c:ptCount val="11"/>
                <c:pt idx="0">
                  <c:v>0.6</c:v>
                </c:pt>
                <c:pt idx="1">
                  <c:v>0.59</c:v>
                </c:pt>
                <c:pt idx="2">
                  <c:v>0.59</c:v>
                </c:pt>
                <c:pt idx="3">
                  <c:v>0.62</c:v>
                </c:pt>
                <c:pt idx="4">
                  <c:v>0.67</c:v>
                </c:pt>
                <c:pt idx="5">
                  <c:v>0.67</c:v>
                </c:pt>
                <c:pt idx="6">
                  <c:v>0.66</c:v>
                </c:pt>
                <c:pt idx="7">
                  <c:v>0.66</c:v>
                </c:pt>
                <c:pt idx="8">
                  <c:v>0.66</c:v>
                </c:pt>
                <c:pt idx="9">
                  <c:v>0.65</c:v>
                </c:pt>
                <c:pt idx="10">
                  <c:v>0.63</c:v>
                </c:pt>
              </c:numCache>
            </c:numRef>
          </c:val>
          <c:extLst>
            <c:ext xmlns:c16="http://schemas.microsoft.com/office/drawing/2014/chart" uri="{C3380CC4-5D6E-409C-BE32-E72D297353CC}">
              <c16:uniqueId val="{00000001-3AE1-4531-9475-D591B0223BD2}"/>
            </c:ext>
          </c:extLst>
        </c:ser>
        <c:dLbls>
          <c:dLblPos val="ctr"/>
          <c:showLegendKey val="0"/>
          <c:showVal val="1"/>
          <c:showCatName val="0"/>
          <c:showSerName val="0"/>
          <c:showPercent val="0"/>
          <c:showBubbleSize val="0"/>
        </c:dLbls>
        <c:gapWidth val="150"/>
        <c:axId val="301008200"/>
        <c:axId val="301007808"/>
      </c:barChart>
      <c:catAx>
        <c:axId val="3010082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01007808"/>
        <c:crosses val="autoZero"/>
        <c:auto val="1"/>
        <c:lblAlgn val="ctr"/>
        <c:lblOffset val="100"/>
        <c:noMultiLvlLbl val="0"/>
      </c:catAx>
      <c:valAx>
        <c:axId val="30100780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0100820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5"/>
    </mc:Choice>
    <mc:Fallback>
      <c:style val="5"/>
    </mc:Fallback>
  </mc:AlternateContent>
  <c:chart>
    <c:title>
      <c:tx>
        <c:rich>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r>
              <a:rPr lang="lt-LT" sz="1400" b="0" cap="none"/>
              <a:t>ES valstybių valdžios sektoriaus</a:t>
            </a:r>
            <a:r>
              <a:rPr lang="lt-LT" sz="1400" b="0" cap="none" baseline="0"/>
              <a:t> kaip</a:t>
            </a:r>
            <a:r>
              <a:rPr lang="lt-LT" sz="1400" b="0" cap="none"/>
              <a:t> f</a:t>
            </a:r>
            <a:r>
              <a:rPr lang="lt-LT" sz="1400" b="0" cap="none" baseline="0"/>
              <a:t>inansavimo šaltinio išlaidos MTEP sričiai (proc. nuo BVP)</a:t>
            </a:r>
            <a:r>
              <a:rPr lang="lt-LT" sz="1400" b="0" cap="none"/>
              <a:t> </a:t>
            </a:r>
            <a:endParaRPr lang="en-US" sz="1400" b="0" cap="none"/>
          </a:p>
        </c:rich>
      </c:tx>
      <c:layout>
        <c:manualLayout>
          <c:xMode val="edge"/>
          <c:yMode val="edge"/>
          <c:x val="0.11602816631195931"/>
          <c:y val="2.3809523809523808E-2"/>
        </c:manualLayout>
      </c:layout>
      <c:overlay val="0"/>
      <c:spPr>
        <a:noFill/>
        <a:ln>
          <a:noFill/>
        </a:ln>
        <a:effectLst/>
      </c:spPr>
      <c:txPr>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Lapas1!$B$1</c:f>
              <c:strCache>
                <c:ptCount val="1"/>
                <c:pt idx="0">
                  <c:v>Stulpelis2</c:v>
                </c:pt>
              </c:strCache>
            </c:strRef>
          </c:tx>
          <c:spPr>
            <a:solidFill>
              <a:schemeClr val="accent3"/>
            </a:solidFill>
            <a:ln>
              <a:noFill/>
            </a:ln>
            <a:effectLst/>
          </c:spPr>
          <c:invertIfNegative val="0"/>
          <c:dPt>
            <c:idx val="7"/>
            <c:invertIfNegative val="0"/>
            <c:bubble3D val="0"/>
            <c:spPr>
              <a:solidFill>
                <a:schemeClr val="accent4"/>
              </a:solidFill>
              <a:ln>
                <a:noFill/>
              </a:ln>
              <a:effectLst/>
            </c:spPr>
            <c:extLst>
              <c:ext xmlns:c16="http://schemas.microsoft.com/office/drawing/2014/chart" uri="{C3380CC4-5D6E-409C-BE32-E72D297353CC}">
                <c16:uniqueId val="{00000001-A321-4E6F-86DB-CE03948F7BC1}"/>
              </c:ext>
            </c:extLst>
          </c:dPt>
          <c:dPt>
            <c:idx val="20"/>
            <c:invertIfNegative val="0"/>
            <c:bubble3D val="0"/>
            <c:spPr>
              <a:solidFill>
                <a:schemeClr val="accent6"/>
              </a:solidFill>
              <a:ln>
                <a:noFill/>
              </a:ln>
              <a:effectLst/>
            </c:spPr>
            <c:extLst>
              <c:ext xmlns:c16="http://schemas.microsoft.com/office/drawing/2014/chart" uri="{C3380CC4-5D6E-409C-BE32-E72D297353CC}">
                <c16:uniqueId val="{00000003-A321-4E6F-86DB-CE03948F7BC1}"/>
              </c:ext>
            </c:extLst>
          </c:dPt>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Lapas1!$A$2:$A$28</c:f>
              <c:strCache>
                <c:ptCount val="27"/>
                <c:pt idx="0">
                  <c:v>Bulgarija</c:v>
                </c:pt>
                <c:pt idx="1">
                  <c:v>Latvija</c:v>
                </c:pt>
                <c:pt idx="2">
                  <c:v>Rumunija</c:v>
                </c:pt>
                <c:pt idx="3">
                  <c:v>Kipras</c:v>
                </c:pt>
                <c:pt idx="4">
                  <c:v>Malta</c:v>
                </c:pt>
                <c:pt idx="5">
                  <c:v>Airija</c:v>
                </c:pt>
                <c:pt idx="6">
                  <c:v>Kroatija</c:v>
                </c:pt>
                <c:pt idx="7">
                  <c:v>Lietuva</c:v>
                </c:pt>
                <c:pt idx="8">
                  <c:v>Slovakija</c:v>
                </c:pt>
                <c:pt idx="9">
                  <c:v>Lenkija</c:v>
                </c:pt>
                <c:pt idx="10">
                  <c:v>Slovėnija</c:v>
                </c:pt>
                <c:pt idx="11">
                  <c:v>Didžioji Britanija</c:v>
                </c:pt>
                <c:pt idx="12">
                  <c:v>Vengrija</c:v>
                </c:pt>
                <c:pt idx="13">
                  <c:v>Ispanija</c:v>
                </c:pt>
                <c:pt idx="14">
                  <c:v>Graikija</c:v>
                </c:pt>
                <c:pt idx="15">
                  <c:v>Italija</c:v>
                </c:pt>
                <c:pt idx="16">
                  <c:v>Belgija</c:v>
                </c:pt>
                <c:pt idx="17">
                  <c:v>Portugalija</c:v>
                </c:pt>
                <c:pt idx="18">
                  <c:v>Liuksemburgas</c:v>
                </c:pt>
                <c:pt idx="19">
                  <c:v>Čekija</c:v>
                </c:pt>
                <c:pt idx="20">
                  <c:v>ES</c:v>
                </c:pt>
                <c:pt idx="21">
                  <c:v>Nyderlandai</c:v>
                </c:pt>
                <c:pt idx="22">
                  <c:v>Estija</c:v>
                </c:pt>
                <c:pt idx="23">
                  <c:v>Vokietija</c:v>
                </c:pt>
                <c:pt idx="24">
                  <c:v>Suomija</c:v>
                </c:pt>
                <c:pt idx="25">
                  <c:v>Danija</c:v>
                </c:pt>
                <c:pt idx="26">
                  <c:v>Austrija</c:v>
                </c:pt>
              </c:strCache>
            </c:strRef>
          </c:cat>
          <c:val>
            <c:numRef>
              <c:f>Lapas1!$B$2:$B$28</c:f>
              <c:numCache>
                <c:formatCode>General</c:formatCode>
                <c:ptCount val="27"/>
                <c:pt idx="0">
                  <c:v>0.2</c:v>
                </c:pt>
                <c:pt idx="1">
                  <c:v>0.2</c:v>
                </c:pt>
                <c:pt idx="2">
                  <c:v>0.2</c:v>
                </c:pt>
                <c:pt idx="3">
                  <c:v>0.24</c:v>
                </c:pt>
                <c:pt idx="4">
                  <c:v>0.25</c:v>
                </c:pt>
                <c:pt idx="5">
                  <c:v>0.31</c:v>
                </c:pt>
                <c:pt idx="6">
                  <c:v>0.31</c:v>
                </c:pt>
                <c:pt idx="7">
                  <c:v>0.37</c:v>
                </c:pt>
                <c:pt idx="8">
                  <c:v>0.38</c:v>
                </c:pt>
                <c:pt idx="9">
                  <c:v>0.42</c:v>
                </c:pt>
                <c:pt idx="10">
                  <c:v>0.44</c:v>
                </c:pt>
                <c:pt idx="11">
                  <c:v>0.46</c:v>
                </c:pt>
                <c:pt idx="12">
                  <c:v>0.47</c:v>
                </c:pt>
                <c:pt idx="13">
                  <c:v>0.5</c:v>
                </c:pt>
                <c:pt idx="14">
                  <c:v>0.51</c:v>
                </c:pt>
                <c:pt idx="15">
                  <c:v>0.51</c:v>
                </c:pt>
                <c:pt idx="16">
                  <c:v>0.55000000000000004</c:v>
                </c:pt>
                <c:pt idx="17">
                  <c:v>0.55000000000000004</c:v>
                </c:pt>
                <c:pt idx="18">
                  <c:v>0.61</c:v>
                </c:pt>
                <c:pt idx="19">
                  <c:v>0.62</c:v>
                </c:pt>
                <c:pt idx="20">
                  <c:v>0.63</c:v>
                </c:pt>
                <c:pt idx="21">
                  <c:v>0.66</c:v>
                </c:pt>
                <c:pt idx="22">
                  <c:v>0.69</c:v>
                </c:pt>
                <c:pt idx="23">
                  <c:v>0.81</c:v>
                </c:pt>
                <c:pt idx="24">
                  <c:v>0.84</c:v>
                </c:pt>
                <c:pt idx="25">
                  <c:v>0.87</c:v>
                </c:pt>
                <c:pt idx="26">
                  <c:v>0.99</c:v>
                </c:pt>
              </c:numCache>
            </c:numRef>
          </c:val>
          <c:extLst>
            <c:ext xmlns:c16="http://schemas.microsoft.com/office/drawing/2014/chart" uri="{C3380CC4-5D6E-409C-BE32-E72D297353CC}">
              <c16:uniqueId val="{00000004-A321-4E6F-86DB-CE03948F7BC1}"/>
            </c:ext>
          </c:extLst>
        </c:ser>
        <c:dLbls>
          <c:dLblPos val="outEnd"/>
          <c:showLegendKey val="0"/>
          <c:showVal val="1"/>
          <c:showCatName val="0"/>
          <c:showSerName val="0"/>
          <c:showPercent val="0"/>
          <c:showBubbleSize val="0"/>
        </c:dLbls>
        <c:gapWidth val="444"/>
        <c:overlap val="-90"/>
        <c:axId val="301007024"/>
        <c:axId val="301006632"/>
      </c:barChart>
      <c:catAx>
        <c:axId val="301007024"/>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en-US"/>
          </a:p>
        </c:txPr>
        <c:crossAx val="301006632"/>
        <c:crosses val="autoZero"/>
        <c:auto val="1"/>
        <c:lblAlgn val="ctr"/>
        <c:lblOffset val="100"/>
        <c:noMultiLvlLbl val="0"/>
      </c:catAx>
      <c:valAx>
        <c:axId val="301006632"/>
        <c:scaling>
          <c:orientation val="minMax"/>
        </c:scaling>
        <c:delete val="1"/>
        <c:axPos val="l"/>
        <c:numFmt formatCode="General" sourceLinked="1"/>
        <c:majorTickMark val="none"/>
        <c:minorTickMark val="none"/>
        <c:tickLblPos val="nextTo"/>
        <c:crossAx val="301007024"/>
        <c:crosses val="autoZero"/>
        <c:crossBetween val="between"/>
      </c:valAx>
      <c:spPr>
        <a:noFill/>
        <a:ln>
          <a:noFill/>
        </a:ln>
        <a:effectLst/>
      </c:spPr>
    </c:plotArea>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3"/>
    </mc:Choice>
    <mc:Fallback>
      <c:style val="3"/>
    </mc:Fallback>
  </mc:AlternateContent>
  <c:chart>
    <c:title>
      <c:tx>
        <c:rich>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r>
              <a:rPr lang="lt-LT" sz="1400" b="0" cap="none"/>
              <a:t>ES valstybių verslo sektoriaus kaip finansavimo šaltinio išlaidos MTEP (proc. nuo BVP)</a:t>
            </a:r>
            <a:endParaRPr lang="en-US" sz="1400" b="0" cap="none"/>
          </a:p>
        </c:rich>
      </c:tx>
      <c:overlay val="0"/>
      <c:spPr>
        <a:noFill/>
        <a:ln>
          <a:noFill/>
        </a:ln>
        <a:effectLst/>
      </c:spPr>
      <c:txPr>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Lapas1!$B$1</c:f>
              <c:strCache>
                <c:ptCount val="1"/>
                <c:pt idx="0">
                  <c:v>2015 m.</c:v>
                </c:pt>
              </c:strCache>
            </c:strRef>
          </c:tx>
          <c:spPr>
            <a:solidFill>
              <a:schemeClr val="accent1"/>
            </a:solidFill>
            <a:ln>
              <a:noFill/>
            </a:ln>
            <a:effectLst/>
          </c:spPr>
          <c:invertIfNegative val="0"/>
          <c:dPt>
            <c:idx val="4"/>
            <c:invertIfNegative val="0"/>
            <c:bubble3D val="0"/>
            <c:spPr>
              <a:solidFill>
                <a:schemeClr val="accent4"/>
              </a:solidFill>
              <a:ln>
                <a:noFill/>
              </a:ln>
              <a:effectLst/>
            </c:spPr>
            <c:extLst>
              <c:ext xmlns:c16="http://schemas.microsoft.com/office/drawing/2014/chart" uri="{C3380CC4-5D6E-409C-BE32-E72D297353CC}">
                <c16:uniqueId val="{00000001-EC65-498A-BB4F-6DF63FC41FE1}"/>
              </c:ext>
            </c:extLst>
          </c:dPt>
          <c:dPt>
            <c:idx val="20"/>
            <c:invertIfNegative val="0"/>
            <c:bubble3D val="0"/>
            <c:spPr>
              <a:solidFill>
                <a:schemeClr val="accent6"/>
              </a:solidFill>
              <a:ln>
                <a:noFill/>
              </a:ln>
              <a:effectLst/>
            </c:spPr>
            <c:extLst>
              <c:ext xmlns:c16="http://schemas.microsoft.com/office/drawing/2014/chart" uri="{C3380CC4-5D6E-409C-BE32-E72D297353CC}">
                <c16:uniqueId val="{00000003-EC65-498A-BB4F-6DF63FC41FE1}"/>
              </c:ext>
            </c:extLst>
          </c:dPt>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Lapas1!$A$2:$A$29</c:f>
              <c:strCache>
                <c:ptCount val="28"/>
                <c:pt idx="0">
                  <c:v>Kipras</c:v>
                </c:pt>
                <c:pt idx="1">
                  <c:v>Latvija</c:v>
                </c:pt>
                <c:pt idx="2">
                  <c:v>Rumunija</c:v>
                </c:pt>
                <c:pt idx="3">
                  <c:v>Slovakija</c:v>
                </c:pt>
                <c:pt idx="4">
                  <c:v>Lietuva</c:v>
                </c:pt>
                <c:pt idx="5">
                  <c:v>Graikija</c:v>
                </c:pt>
                <c:pt idx="6">
                  <c:v>Bulgarija</c:v>
                </c:pt>
                <c:pt idx="7">
                  <c:v>Malta</c:v>
                </c:pt>
                <c:pt idx="8">
                  <c:v>Lenkija</c:v>
                </c:pt>
                <c:pt idx="9">
                  <c:v>Kroatija</c:v>
                </c:pt>
                <c:pt idx="10">
                  <c:v>Portugalija</c:v>
                </c:pt>
                <c:pt idx="11">
                  <c:v>Ispanija</c:v>
                </c:pt>
                <c:pt idx="12">
                  <c:v>Airija</c:v>
                </c:pt>
                <c:pt idx="13">
                  <c:v>Liuksembugas</c:v>
                </c:pt>
                <c:pt idx="14">
                  <c:v>Estija</c:v>
                </c:pt>
                <c:pt idx="15">
                  <c:v>Čekija</c:v>
                </c:pt>
                <c:pt idx="16">
                  <c:v>Italija</c:v>
                </c:pt>
                <c:pt idx="17">
                  <c:v>Vengrija</c:v>
                </c:pt>
                <c:pt idx="18">
                  <c:v>Didžioji Britanija</c:v>
                </c:pt>
                <c:pt idx="19">
                  <c:v>Nyderlandai</c:v>
                </c:pt>
                <c:pt idx="20">
                  <c:v>ES</c:v>
                </c:pt>
                <c:pt idx="21">
                  <c:v>Belgija</c:v>
                </c:pt>
                <c:pt idx="22">
                  <c:v>Austrija</c:v>
                </c:pt>
                <c:pt idx="23">
                  <c:v>Slovėnija</c:v>
                </c:pt>
                <c:pt idx="24">
                  <c:v>Suomija</c:v>
                </c:pt>
                <c:pt idx="25">
                  <c:v>Danija</c:v>
                </c:pt>
                <c:pt idx="26">
                  <c:v>Švedija</c:v>
                </c:pt>
                <c:pt idx="27">
                  <c:v>Vokietija</c:v>
                </c:pt>
              </c:strCache>
            </c:strRef>
          </c:cat>
          <c:val>
            <c:numRef>
              <c:f>Lapas1!$B$2:$B$29</c:f>
              <c:numCache>
                <c:formatCode>0.00</c:formatCode>
                <c:ptCount val="28"/>
                <c:pt idx="0">
                  <c:v>9.6000000000000002E-2</c:v>
                </c:pt>
                <c:pt idx="1">
                  <c:v>0.126</c:v>
                </c:pt>
                <c:pt idx="2">
                  <c:v>0.18276999999999999</c:v>
                </c:pt>
                <c:pt idx="3">
                  <c:v>0.29618</c:v>
                </c:pt>
                <c:pt idx="4">
                  <c:v>0.2964</c:v>
                </c:pt>
                <c:pt idx="5">
                  <c:v>0.30457999999999996</c:v>
                </c:pt>
                <c:pt idx="6">
                  <c:v>0.34176000000000001</c:v>
                </c:pt>
                <c:pt idx="7">
                  <c:v>0.35112000000000004</c:v>
                </c:pt>
                <c:pt idx="8">
                  <c:v>0.39</c:v>
                </c:pt>
                <c:pt idx="9">
                  <c:v>0.39144000000000001</c:v>
                </c:pt>
                <c:pt idx="10">
                  <c:v>0.52947999999999995</c:v>
                </c:pt>
                <c:pt idx="11">
                  <c:v>0.55875999999999992</c:v>
                </c:pt>
                <c:pt idx="12">
                  <c:v>0.58079999999999998</c:v>
                </c:pt>
                <c:pt idx="13">
                  <c:v>0.59816999999999998</c:v>
                </c:pt>
                <c:pt idx="14">
                  <c:v>0.6109</c:v>
                </c:pt>
                <c:pt idx="15">
                  <c:v>0.66778000000000004</c:v>
                </c:pt>
                <c:pt idx="16">
                  <c:v>0.67</c:v>
                </c:pt>
                <c:pt idx="17">
                  <c:v>0.67592000000000008</c:v>
                </c:pt>
                <c:pt idx="18">
                  <c:v>0.81830000000000003</c:v>
                </c:pt>
                <c:pt idx="19">
                  <c:v>0.97199999999999998</c:v>
                </c:pt>
                <c:pt idx="20">
                  <c:v>1.1266499999999999</c:v>
                </c:pt>
                <c:pt idx="21">
                  <c:v>1.4474200000000002</c:v>
                </c:pt>
                <c:pt idx="22">
                  <c:v>1.5158500000000001</c:v>
                </c:pt>
                <c:pt idx="23">
                  <c:v>1.5224000000000002</c:v>
                </c:pt>
                <c:pt idx="24">
                  <c:v>1.5891999999999999</c:v>
                </c:pt>
                <c:pt idx="25">
                  <c:v>1.7582399999999998</c:v>
                </c:pt>
                <c:pt idx="26">
                  <c:v>1.8737099999999998</c:v>
                </c:pt>
                <c:pt idx="27">
                  <c:v>1.9155199999999999</c:v>
                </c:pt>
              </c:numCache>
            </c:numRef>
          </c:val>
          <c:extLst>
            <c:ext xmlns:c16="http://schemas.microsoft.com/office/drawing/2014/chart" uri="{C3380CC4-5D6E-409C-BE32-E72D297353CC}">
              <c16:uniqueId val="{00000004-EC65-498A-BB4F-6DF63FC41FE1}"/>
            </c:ext>
          </c:extLst>
        </c:ser>
        <c:dLbls>
          <c:dLblPos val="outEnd"/>
          <c:showLegendKey val="0"/>
          <c:showVal val="1"/>
          <c:showCatName val="0"/>
          <c:showSerName val="0"/>
          <c:showPercent val="0"/>
          <c:showBubbleSize val="0"/>
        </c:dLbls>
        <c:gapWidth val="444"/>
        <c:overlap val="-90"/>
        <c:axId val="301005848"/>
        <c:axId val="301005456"/>
      </c:barChart>
      <c:catAx>
        <c:axId val="301005848"/>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en-US"/>
          </a:p>
        </c:txPr>
        <c:crossAx val="301005456"/>
        <c:crosses val="autoZero"/>
        <c:auto val="1"/>
        <c:lblAlgn val="ctr"/>
        <c:lblOffset val="100"/>
        <c:noMultiLvlLbl val="0"/>
      </c:catAx>
      <c:valAx>
        <c:axId val="301005456"/>
        <c:scaling>
          <c:orientation val="minMax"/>
        </c:scaling>
        <c:delete val="1"/>
        <c:axPos val="l"/>
        <c:numFmt formatCode="0.00" sourceLinked="1"/>
        <c:majorTickMark val="none"/>
        <c:minorTickMark val="none"/>
        <c:tickLblPos val="nextTo"/>
        <c:crossAx val="301005848"/>
        <c:crosses val="autoZero"/>
        <c:crossBetween val="between"/>
      </c:valAx>
      <c:spPr>
        <a:noFill/>
        <a:ln>
          <a:noFill/>
        </a:ln>
        <a:effectLst/>
      </c:spPr>
    </c:plotArea>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7"/>
    </mc:Choice>
    <mc:Fallback>
      <c:style val="7"/>
    </mc:Fallback>
  </mc:AlternateContent>
  <c:chart>
    <c:title>
      <c:tx>
        <c:rich>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r>
              <a:rPr lang="lt-LT" sz="1400" b="0" cap="none"/>
              <a:t>ES valstybių</a:t>
            </a:r>
            <a:r>
              <a:rPr lang="lt-LT" sz="1400" b="0" cap="none" baseline="0"/>
              <a:t> v</a:t>
            </a:r>
            <a:r>
              <a:rPr lang="lt-LT" sz="1400" b="0" cap="none"/>
              <a:t>erslo išlaidos MTEP per viešąjį sektorių</a:t>
            </a:r>
            <a:endParaRPr lang="en-US" sz="1400" b="0" cap="none"/>
          </a:p>
        </c:rich>
      </c:tx>
      <c:overlay val="0"/>
      <c:spPr>
        <a:noFill/>
        <a:ln>
          <a:noFill/>
        </a:ln>
        <a:effectLst/>
      </c:spPr>
      <c:txPr>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Lapas1!$B$1</c:f>
              <c:strCache>
                <c:ptCount val="1"/>
                <c:pt idx="0">
                  <c:v>2015 m.</c:v>
                </c:pt>
              </c:strCache>
            </c:strRef>
          </c:tx>
          <c:spPr>
            <a:solidFill>
              <a:schemeClr val="accent5"/>
            </a:solidFill>
            <a:ln>
              <a:noFill/>
            </a:ln>
            <a:effectLst/>
          </c:spPr>
          <c:invertIfNegative val="0"/>
          <c:dPt>
            <c:idx val="20"/>
            <c:invertIfNegative val="0"/>
            <c:bubble3D val="0"/>
            <c:spPr>
              <a:solidFill>
                <a:schemeClr val="accent6"/>
              </a:solidFill>
              <a:ln>
                <a:noFill/>
              </a:ln>
              <a:effectLst/>
            </c:spPr>
            <c:extLst>
              <c:ext xmlns:c16="http://schemas.microsoft.com/office/drawing/2014/chart" uri="{C3380CC4-5D6E-409C-BE32-E72D297353CC}">
                <c16:uniqueId val="{00000001-6B29-4A95-81FA-9AE4A9B2EF70}"/>
              </c:ext>
            </c:extLst>
          </c:dPt>
          <c:dPt>
            <c:idx val="26"/>
            <c:invertIfNegative val="0"/>
            <c:bubble3D val="0"/>
            <c:spPr>
              <a:solidFill>
                <a:schemeClr val="accent4"/>
              </a:solidFill>
              <a:ln>
                <a:noFill/>
              </a:ln>
              <a:effectLst/>
            </c:spPr>
            <c:extLst>
              <c:ext xmlns:c16="http://schemas.microsoft.com/office/drawing/2014/chart" uri="{C3380CC4-5D6E-409C-BE32-E72D297353CC}">
                <c16:uniqueId val="{00000003-6B29-4A95-81FA-9AE4A9B2EF70}"/>
              </c:ext>
            </c:extLst>
          </c:dPt>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Lapas1!$A$2:$A$29</c:f>
              <c:strCache>
                <c:ptCount val="28"/>
                <c:pt idx="0">
                  <c:v>Kipras</c:v>
                </c:pt>
                <c:pt idx="1">
                  <c:v>Malta</c:v>
                </c:pt>
                <c:pt idx="2">
                  <c:v>Liuksembugas</c:v>
                </c:pt>
                <c:pt idx="3">
                  <c:v>Portugalija</c:v>
                </c:pt>
                <c:pt idx="4">
                  <c:v>Airija</c:v>
                </c:pt>
                <c:pt idx="5">
                  <c:v>Italija</c:v>
                </c:pt>
                <c:pt idx="6">
                  <c:v>Bulgarija</c:v>
                </c:pt>
                <c:pt idx="7">
                  <c:v>Lenkija</c:v>
                </c:pt>
                <c:pt idx="8">
                  <c:v>Didžioji Britanija</c:v>
                </c:pt>
                <c:pt idx="9">
                  <c:v>Rumunija</c:v>
                </c:pt>
                <c:pt idx="10">
                  <c:v>Ispanija</c:v>
                </c:pt>
                <c:pt idx="11">
                  <c:v>Estija</c:v>
                </c:pt>
                <c:pt idx="12">
                  <c:v>Čekija</c:v>
                </c:pt>
                <c:pt idx="13">
                  <c:v>Vengrija</c:v>
                </c:pt>
                <c:pt idx="14">
                  <c:v>Danija</c:v>
                </c:pt>
                <c:pt idx="15">
                  <c:v>Slovakija</c:v>
                </c:pt>
                <c:pt idx="16">
                  <c:v>Graikija</c:v>
                </c:pt>
                <c:pt idx="17">
                  <c:v>Kroatija</c:v>
                </c:pt>
                <c:pt idx="18">
                  <c:v>Švedija</c:v>
                </c:pt>
                <c:pt idx="19">
                  <c:v>Latvija</c:v>
                </c:pt>
                <c:pt idx="20">
                  <c:v>ES</c:v>
                </c:pt>
                <c:pt idx="21">
                  <c:v>Austrija</c:v>
                </c:pt>
                <c:pt idx="22">
                  <c:v>Slovėnija</c:v>
                </c:pt>
                <c:pt idx="23">
                  <c:v>Suomija</c:v>
                </c:pt>
                <c:pt idx="24">
                  <c:v>Belgija</c:v>
                </c:pt>
                <c:pt idx="25">
                  <c:v>Nyderlandai</c:v>
                </c:pt>
                <c:pt idx="26">
                  <c:v>Lietuva</c:v>
                </c:pt>
                <c:pt idx="27">
                  <c:v>Vokietija</c:v>
                </c:pt>
              </c:strCache>
            </c:strRef>
          </c:cat>
          <c:val>
            <c:numRef>
              <c:f>Lapas1!$B$2:$B$29</c:f>
              <c:numCache>
                <c:formatCode>General</c:formatCode>
                <c:ptCount val="28"/>
                <c:pt idx="0">
                  <c:v>0</c:v>
                </c:pt>
                <c:pt idx="1">
                  <c:v>0</c:v>
                </c:pt>
                <c:pt idx="2">
                  <c:v>0</c:v>
                </c:pt>
                <c:pt idx="3">
                  <c:v>0.01</c:v>
                </c:pt>
                <c:pt idx="4">
                  <c:v>0.01</c:v>
                </c:pt>
                <c:pt idx="5">
                  <c:v>0.01</c:v>
                </c:pt>
                <c:pt idx="6">
                  <c:v>0.02</c:v>
                </c:pt>
                <c:pt idx="7">
                  <c:v>0.02</c:v>
                </c:pt>
                <c:pt idx="8">
                  <c:v>0.02</c:v>
                </c:pt>
                <c:pt idx="9">
                  <c:v>0.03</c:v>
                </c:pt>
                <c:pt idx="10">
                  <c:v>0.03</c:v>
                </c:pt>
                <c:pt idx="11">
                  <c:v>0.03</c:v>
                </c:pt>
                <c:pt idx="12">
                  <c:v>0.03</c:v>
                </c:pt>
                <c:pt idx="13">
                  <c:v>0.03</c:v>
                </c:pt>
                <c:pt idx="14">
                  <c:v>0.03</c:v>
                </c:pt>
                <c:pt idx="15">
                  <c:v>0.04</c:v>
                </c:pt>
                <c:pt idx="16">
                  <c:v>0.04</c:v>
                </c:pt>
                <c:pt idx="17">
                  <c:v>0.04</c:v>
                </c:pt>
                <c:pt idx="18">
                  <c:v>0.04</c:v>
                </c:pt>
                <c:pt idx="19">
                  <c:v>0.05</c:v>
                </c:pt>
                <c:pt idx="20">
                  <c:v>0.05</c:v>
                </c:pt>
                <c:pt idx="21">
                  <c:v>0.05</c:v>
                </c:pt>
                <c:pt idx="22">
                  <c:v>0.05</c:v>
                </c:pt>
                <c:pt idx="23">
                  <c:v>0.05</c:v>
                </c:pt>
                <c:pt idx="24">
                  <c:v>6.9999999999999993E-2</c:v>
                </c:pt>
                <c:pt idx="25">
                  <c:v>0.08</c:v>
                </c:pt>
                <c:pt idx="26">
                  <c:v>9.0000000000000011E-2</c:v>
                </c:pt>
                <c:pt idx="27">
                  <c:v>0.12000000000000001</c:v>
                </c:pt>
              </c:numCache>
            </c:numRef>
          </c:val>
          <c:extLst>
            <c:ext xmlns:c16="http://schemas.microsoft.com/office/drawing/2014/chart" uri="{C3380CC4-5D6E-409C-BE32-E72D297353CC}">
              <c16:uniqueId val="{00000004-6B29-4A95-81FA-9AE4A9B2EF70}"/>
            </c:ext>
          </c:extLst>
        </c:ser>
        <c:dLbls>
          <c:dLblPos val="outEnd"/>
          <c:showLegendKey val="0"/>
          <c:showVal val="1"/>
          <c:showCatName val="0"/>
          <c:showSerName val="0"/>
          <c:showPercent val="0"/>
          <c:showBubbleSize val="0"/>
        </c:dLbls>
        <c:gapWidth val="444"/>
        <c:overlap val="-90"/>
        <c:axId val="301004672"/>
        <c:axId val="301004280"/>
      </c:barChart>
      <c:catAx>
        <c:axId val="30100467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en-US"/>
          </a:p>
        </c:txPr>
        <c:crossAx val="301004280"/>
        <c:crosses val="autoZero"/>
        <c:auto val="1"/>
        <c:lblAlgn val="ctr"/>
        <c:lblOffset val="100"/>
        <c:noMultiLvlLbl val="0"/>
      </c:catAx>
      <c:valAx>
        <c:axId val="301004280"/>
        <c:scaling>
          <c:orientation val="minMax"/>
        </c:scaling>
        <c:delete val="1"/>
        <c:axPos val="l"/>
        <c:numFmt formatCode="General" sourceLinked="1"/>
        <c:majorTickMark val="none"/>
        <c:minorTickMark val="none"/>
        <c:tickLblPos val="nextTo"/>
        <c:crossAx val="301004672"/>
        <c:crosses val="autoZero"/>
        <c:crossBetween val="between"/>
      </c:valAx>
      <c:spPr>
        <a:noFill/>
        <a:ln>
          <a:noFill/>
        </a:ln>
        <a:effectLst/>
      </c:spPr>
    </c:plotArea>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6"/>
    </mc:Choice>
    <mc:Fallback>
      <c:style val="6"/>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t-LT"/>
              <a:t>Bendras MTEP srities finansavimas</a:t>
            </a:r>
          </a:p>
          <a:p>
            <a:pPr>
              <a:defRPr/>
            </a:pPr>
            <a:r>
              <a:rPr lang="lt-LT"/>
              <a:t>(proc. nuo BVP)</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Lapas1!$B$1</c:f>
              <c:strCache>
                <c:ptCount val="1"/>
                <c:pt idx="0">
                  <c:v>Lietuva</c:v>
                </c:pt>
              </c:strCache>
            </c:strRef>
          </c:tx>
          <c:spPr>
            <a:solidFill>
              <a:schemeClr val="accent4">
                <a:lumMod val="20000"/>
                <a:lumOff val="8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Lapas1!$A$2:$A$13</c:f>
              <c:numCache>
                <c:formatCode>General</c:formatCode>
                <c:ptCount val="12"/>
                <c:pt idx="0">
                  <c:v>2005</c:v>
                </c:pt>
                <c:pt idx="1">
                  <c:v>2006</c:v>
                </c:pt>
                <c:pt idx="2">
                  <c:v>2007</c:v>
                </c:pt>
                <c:pt idx="3">
                  <c:v>2008</c:v>
                </c:pt>
                <c:pt idx="4">
                  <c:v>2009</c:v>
                </c:pt>
                <c:pt idx="5">
                  <c:v>2010</c:v>
                </c:pt>
                <c:pt idx="6">
                  <c:v>2011</c:v>
                </c:pt>
                <c:pt idx="7">
                  <c:v>2012</c:v>
                </c:pt>
                <c:pt idx="8">
                  <c:v>2013</c:v>
                </c:pt>
                <c:pt idx="9">
                  <c:v>2014</c:v>
                </c:pt>
                <c:pt idx="10">
                  <c:v>2015</c:v>
                </c:pt>
                <c:pt idx="11">
                  <c:v>2016</c:v>
                </c:pt>
              </c:numCache>
            </c:numRef>
          </c:cat>
          <c:val>
            <c:numRef>
              <c:f>Lapas1!$B$2:$B$13</c:f>
              <c:numCache>
                <c:formatCode>General</c:formatCode>
                <c:ptCount val="12"/>
                <c:pt idx="0">
                  <c:v>0.75</c:v>
                </c:pt>
                <c:pt idx="1">
                  <c:v>0.79</c:v>
                </c:pt>
                <c:pt idx="2">
                  <c:v>0.8</c:v>
                </c:pt>
                <c:pt idx="3">
                  <c:v>0.79</c:v>
                </c:pt>
                <c:pt idx="4">
                  <c:v>0.83</c:v>
                </c:pt>
                <c:pt idx="5">
                  <c:v>0.78</c:v>
                </c:pt>
                <c:pt idx="6">
                  <c:v>0.9</c:v>
                </c:pt>
                <c:pt idx="7">
                  <c:v>0.89</c:v>
                </c:pt>
                <c:pt idx="8">
                  <c:v>0.95</c:v>
                </c:pt>
                <c:pt idx="9">
                  <c:v>1.03</c:v>
                </c:pt>
                <c:pt idx="10">
                  <c:v>1.04</c:v>
                </c:pt>
                <c:pt idx="11">
                  <c:v>0.74</c:v>
                </c:pt>
              </c:numCache>
            </c:numRef>
          </c:val>
          <c:extLst>
            <c:ext xmlns:c16="http://schemas.microsoft.com/office/drawing/2014/chart" uri="{C3380CC4-5D6E-409C-BE32-E72D297353CC}">
              <c16:uniqueId val="{00000000-B462-4084-8EC5-7F9402BEBE52}"/>
            </c:ext>
          </c:extLst>
        </c:ser>
        <c:ser>
          <c:idx val="1"/>
          <c:order val="1"/>
          <c:tx>
            <c:strRef>
              <c:f>Lapas1!$C$1</c:f>
              <c:strCache>
                <c:ptCount val="1"/>
                <c:pt idx="0">
                  <c:v>ES</c:v>
                </c:pt>
              </c:strCache>
            </c:strRef>
          </c:tx>
          <c:spPr>
            <a:solidFill>
              <a:schemeClr val="accent6">
                <a:lumMod val="40000"/>
                <a:lumOff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Lapas1!$A$2:$A$13</c:f>
              <c:numCache>
                <c:formatCode>General</c:formatCode>
                <c:ptCount val="12"/>
                <c:pt idx="0">
                  <c:v>2005</c:v>
                </c:pt>
                <c:pt idx="1">
                  <c:v>2006</c:v>
                </c:pt>
                <c:pt idx="2">
                  <c:v>2007</c:v>
                </c:pt>
                <c:pt idx="3">
                  <c:v>2008</c:v>
                </c:pt>
                <c:pt idx="4">
                  <c:v>2009</c:v>
                </c:pt>
                <c:pt idx="5">
                  <c:v>2010</c:v>
                </c:pt>
                <c:pt idx="6">
                  <c:v>2011</c:v>
                </c:pt>
                <c:pt idx="7">
                  <c:v>2012</c:v>
                </c:pt>
                <c:pt idx="8">
                  <c:v>2013</c:v>
                </c:pt>
                <c:pt idx="9">
                  <c:v>2014</c:v>
                </c:pt>
                <c:pt idx="10">
                  <c:v>2015</c:v>
                </c:pt>
                <c:pt idx="11">
                  <c:v>2016</c:v>
                </c:pt>
              </c:numCache>
            </c:numRef>
          </c:cat>
          <c:val>
            <c:numRef>
              <c:f>Lapas1!$C$2:$C$13</c:f>
              <c:numCache>
                <c:formatCode>General</c:formatCode>
                <c:ptCount val="12"/>
                <c:pt idx="0">
                  <c:v>1.74</c:v>
                </c:pt>
                <c:pt idx="1">
                  <c:v>1.76</c:v>
                </c:pt>
                <c:pt idx="2">
                  <c:v>1.77</c:v>
                </c:pt>
                <c:pt idx="3">
                  <c:v>1.84</c:v>
                </c:pt>
                <c:pt idx="4">
                  <c:v>1.93</c:v>
                </c:pt>
                <c:pt idx="5">
                  <c:v>1.93</c:v>
                </c:pt>
                <c:pt idx="6">
                  <c:v>1.97</c:v>
                </c:pt>
                <c:pt idx="7">
                  <c:v>2.0099999999999998</c:v>
                </c:pt>
                <c:pt idx="8">
                  <c:v>2.02</c:v>
                </c:pt>
                <c:pt idx="9">
                  <c:v>2.0299999999999998</c:v>
                </c:pt>
                <c:pt idx="10">
                  <c:v>2.0299999999999998</c:v>
                </c:pt>
                <c:pt idx="11">
                  <c:v>2.0299999999999998</c:v>
                </c:pt>
              </c:numCache>
            </c:numRef>
          </c:val>
          <c:extLst>
            <c:ext xmlns:c16="http://schemas.microsoft.com/office/drawing/2014/chart" uri="{C3380CC4-5D6E-409C-BE32-E72D297353CC}">
              <c16:uniqueId val="{00000001-B462-4084-8EC5-7F9402BEBE52}"/>
            </c:ext>
          </c:extLst>
        </c:ser>
        <c:dLbls>
          <c:dLblPos val="ctr"/>
          <c:showLegendKey val="0"/>
          <c:showVal val="1"/>
          <c:showCatName val="0"/>
          <c:showSerName val="0"/>
          <c:showPercent val="0"/>
          <c:showBubbleSize val="0"/>
        </c:dLbls>
        <c:gapWidth val="150"/>
        <c:axId val="301003496"/>
        <c:axId val="301003104"/>
      </c:barChart>
      <c:catAx>
        <c:axId val="3010034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01003104"/>
        <c:crosses val="autoZero"/>
        <c:auto val="1"/>
        <c:lblAlgn val="ctr"/>
        <c:lblOffset val="100"/>
        <c:noMultiLvlLbl val="0"/>
      </c:catAx>
      <c:valAx>
        <c:axId val="30100310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0100349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withinLinear" id="17">
  <a:schemeClr val="accent4"/>
</cs:colorStyle>
</file>

<file path=word/charts/colors5.xml><?xml version="1.0" encoding="utf-8"?>
<cs:colorStyle xmlns:cs="http://schemas.microsoft.com/office/drawing/2012/chartStyle" xmlns:a="http://schemas.openxmlformats.org/drawingml/2006/main" meth="withinLinear" id="17">
  <a:schemeClr val="accent4"/>
</cs:colorStyle>
</file>

<file path=word/charts/colors6.xml><?xml version="1.0" encoding="utf-8"?>
<cs:colorStyle xmlns:cs="http://schemas.microsoft.com/office/drawing/2012/chartStyle" xmlns:a="http://schemas.openxmlformats.org/drawingml/2006/main" meth="withinLinear" id="16">
  <a:schemeClr val="accent3"/>
</cs:colorStyle>
</file>

<file path=word/charts/colors7.xml><?xml version="1.0" encoding="utf-8"?>
<cs:colorStyle xmlns:cs="http://schemas.microsoft.com/office/drawing/2012/chartStyle" xmlns:a="http://schemas.openxmlformats.org/drawingml/2006/main" meth="withinLinear" id="14">
  <a:schemeClr val="accent1"/>
</cs:colorStyle>
</file>

<file path=word/charts/colors8.xml><?xml version="1.0" encoding="utf-8"?>
<cs:colorStyle xmlns:cs="http://schemas.microsoft.com/office/drawing/2012/chartStyle" xmlns:a="http://schemas.openxmlformats.org/drawingml/2006/main" meth="withinLinearReversed" id="25">
  <a:schemeClr val="accent5"/>
</cs:colorStyle>
</file>

<file path=word/charts/colors9.xml><?xml version="1.0" encoding="utf-8"?>
<cs:colorStyle xmlns:cs="http://schemas.microsoft.com/office/drawing/2012/chartStyle" xmlns:a="http://schemas.openxmlformats.org/drawingml/2006/main" meth="withinLinear" id="17">
  <a:schemeClr val="accent4"/>
</cs:colorStyle>
</file>

<file path=word/charts/style1.xml><?xml version="1.0" encoding="utf-8"?>
<cs:chartStyle xmlns:cs="http://schemas.microsoft.com/office/drawing/2012/chartStyle" xmlns:a="http://schemas.openxmlformats.org/drawingml/2006/main" id="305">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headEnd type="none" w="sm" len="sm"/>
        <a:tailEnd type="none" w="sm" len="sm"/>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alpha val="70000"/>
        </a:schemeClr>
      </a:solidFill>
    </cs:spPr>
  </cs:dataPoint>
  <cs:dataPoint3D>
    <cs:lnRef idx="0"/>
    <cs:fillRef idx="0">
      <cs:styleClr val="auto"/>
    </cs:fillRef>
    <cs:effectRef idx="0"/>
    <cs:fontRef idx="minor">
      <a:schemeClr val="tx1"/>
    </cs:fontRef>
    <cs:spPr>
      <a:solidFill>
        <a:schemeClr val="phClr">
          <a:alpha val="70000"/>
        </a:schemeClr>
      </a:solidFill>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styleClr val="auto"/>
    </cs:lnRef>
    <cs:fillRef idx="0">
      <cs:styleClr val="auto"/>
    </cs:fillRef>
    <cs:effectRef idx="0"/>
    <cs:fontRef idx="minor">
      <a:schemeClr val="dk1"/>
    </cs:fontRef>
    <cs:spPr>
      <a:gradFill>
        <a:gsLst>
          <a:gs pos="0">
            <a:schemeClr val="phClr"/>
          </a:gs>
          <a:gs pos="46000">
            <a:schemeClr val="phClr"/>
          </a:gs>
          <a:gs pos="100000">
            <a:schemeClr val="phClr">
              <a:lumMod val="20000"/>
              <a:lumOff val="80000"/>
              <a:alpha val="0"/>
            </a:schemeClr>
          </a:gs>
        </a:gsLst>
        <a:path path="circle">
          <a:fillToRect l="50000" t="-80000" r="50000" b="180000"/>
        </a:path>
      </a:gradFill>
      <a:ln w="9525" cap="flat" cmpd="sng" algn="ctr">
        <a:solidFill>
          <a:schemeClr val="phClr">
            <a:shade val="95000"/>
          </a:scheme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cap="flat" cmpd="sng" algn="ctr">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0">
              <a:schemeClr val="tx1">
                <a:lumMod val="5000"/>
                <a:lumOff val="95000"/>
              </a:schemeClr>
            </a:gs>
            <a:gs pos="100000">
              <a:schemeClr val="tx1">
                <a:lumMod val="15000"/>
                <a:lumOff val="85000"/>
              </a:schemeClr>
            </a:gs>
          </a:gsLst>
          <a:lin ang="5400000" scaled="0"/>
        </a:gradFill>
        <a:round/>
      </a:ln>
    </cs:spPr>
  </cs:gridlineMajor>
  <cs:gridlineMinor>
    <cs:lnRef idx="0"/>
    <cs:fillRef idx="0"/>
    <cs:effectRef idx="0"/>
    <cs:fontRef idx="minor">
      <a:schemeClr val="dk1"/>
    </cs:fontRef>
    <cs:spPr>
      <a:ln w="9525" cap="flat" cmpd="sng" algn="ctr">
        <a:gradFill>
          <a:gsLst>
            <a:gs pos="0">
              <a:schemeClr val="tx1">
                <a:lumMod val="5000"/>
                <a:lumOff val="95000"/>
              </a:schemeClr>
            </a:gs>
            <a:gs pos="100000">
              <a:schemeClr val="tx1">
                <a:lumMod val="15000"/>
                <a:lumOff val="85000"/>
              </a:schemeClr>
            </a:gs>
          </a:gsLst>
          <a:lin ang="5400000" scaled="0"/>
        </a:gradFill>
        <a:round/>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headEnd type="none" w="sm" len="sm"/>
        <a:tailEnd type="none" w="sm" len="sm"/>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800" b="1" kern="1200" cap="all" spc="5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7.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8.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9.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CF5B8E0-5AD1-4ACC-8594-42F6DCD89A97}">
  <ds:schemaRefs>
    <ds:schemaRef ds:uri="http://schemas.openxmlformats.org/officeDocument/2006/bibliography"/>
  </ds:schemaRefs>
</ds:datastoreItem>
</file>

<file path=customXml/itemProps2.xml><?xml version="1.0" encoding="utf-8"?>
<ds:datastoreItem xmlns:ds="http://schemas.openxmlformats.org/officeDocument/2006/customXml" ds:itemID="{8513DA27-89DB-4DDC-8B8A-07FB5C559034}"/>
</file>

<file path=customXml/itemProps3.xml><?xml version="1.0" encoding="utf-8"?>
<ds:datastoreItem xmlns:ds="http://schemas.openxmlformats.org/officeDocument/2006/customXml" ds:itemID="{48204A72-24E9-4DF1-B570-3370A965CD30}"/>
</file>

<file path=customXml/itemProps4.xml><?xml version="1.0" encoding="utf-8"?>
<ds:datastoreItem xmlns:ds="http://schemas.openxmlformats.org/officeDocument/2006/customXml" ds:itemID="{F5CAFE2E-86A8-4078-BBEE-151EB8668DBD}"/>
</file>

<file path=docProps/app.xml><?xml version="1.0" encoding="utf-8"?>
<Properties xmlns="http://schemas.openxmlformats.org/officeDocument/2006/extended-properties" xmlns:vt="http://schemas.openxmlformats.org/officeDocument/2006/docPropsVTypes">
  <Template>Normal</Template>
  <TotalTime>18</TotalTime>
  <Pages>7</Pages>
  <Words>575</Words>
  <Characters>3284</Characters>
  <Application>Microsoft Office Word</Application>
  <DocSecurity>0</DocSecurity>
  <Lines>27</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016bde0c-ac8d-40f5-8fc5-30a7e13f635e</dc:title>
  <dc:subject/>
  <dc:creator>Vasiliauskas Jurgis</dc:creator>
  <cp:keywords/>
  <dc:description/>
  <cp:lastModifiedBy>Jekentienė Ginvilė</cp:lastModifiedBy>
  <cp:revision>10</cp:revision>
  <dcterms:created xsi:type="dcterms:W3CDTF">2018-02-19T12:58:00Z</dcterms:created>
  <dcterms:modified xsi:type="dcterms:W3CDTF">2018-07-26T13:09:00Z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0x010100D8ECFFBDDA118244861569856C5AC6C3</vt:lpwstr>
  </property>
</Properties>
</file>