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6679" w14:textId="77777777" w:rsidR="00F34D3C" w:rsidRDefault="00F34D3C" w:rsidP="00F34D3C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lang w:eastAsia="lt-LT" w:bidi="lt-LT"/>
        </w:rPr>
        <w:t>REGLAMENTO (ES) NR. 910/2014</w:t>
      </w:r>
      <w:r w:rsidRPr="00177C47">
        <w:rPr>
          <w:b/>
          <w:color w:val="000000"/>
          <w:sz w:val="24"/>
          <w:lang w:eastAsia="lt-LT" w:bidi="lt-LT"/>
        </w:rPr>
        <w:t xml:space="preserve"> IR </w:t>
      </w:r>
      <w:r w:rsidRPr="00177C47">
        <w:rPr>
          <w:b/>
          <w:sz w:val="24"/>
          <w:szCs w:val="24"/>
        </w:rPr>
        <w:t>LIETUVOS RESPUBLIKOS</w:t>
      </w:r>
      <w:r w:rsidRPr="007449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NACIONALINIŲ TEISĖS AKTŲ </w:t>
      </w:r>
    </w:p>
    <w:p w14:paraId="2C2C0FCB" w14:textId="77777777" w:rsidR="00F34D3C" w:rsidRPr="003942D1" w:rsidRDefault="00F34D3C" w:rsidP="00F34D3C">
      <w:pPr>
        <w:jc w:val="center"/>
        <w:rPr>
          <w:b/>
          <w:bCs/>
          <w:caps/>
          <w:sz w:val="24"/>
          <w:szCs w:val="24"/>
        </w:rPr>
      </w:pPr>
      <w:r w:rsidRPr="003942D1">
        <w:rPr>
          <w:b/>
          <w:bCs/>
          <w:caps/>
          <w:sz w:val="24"/>
          <w:szCs w:val="24"/>
        </w:rPr>
        <w:t>atitikties lentelė</w:t>
      </w:r>
    </w:p>
    <w:p w14:paraId="48D8F14C" w14:textId="77777777" w:rsidR="00F34D3C" w:rsidRPr="003942D1" w:rsidRDefault="00F34D3C" w:rsidP="00F34D3C">
      <w:pPr>
        <w:jc w:val="center"/>
        <w:rPr>
          <w:rStyle w:val="Grietas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7938"/>
        <w:gridCol w:w="1807"/>
      </w:tblGrid>
      <w:tr w:rsidR="00F34D3C" w:rsidRPr="003942D1" w14:paraId="16F4DD8D" w14:textId="77777777" w:rsidTr="00F37563">
        <w:trPr>
          <w:trHeight w:val="1163"/>
        </w:trPr>
        <w:tc>
          <w:tcPr>
            <w:tcW w:w="4815" w:type="dxa"/>
          </w:tcPr>
          <w:p w14:paraId="45ADDCCE" w14:textId="00E61DA3" w:rsidR="00F34D3C" w:rsidRPr="0034013A" w:rsidRDefault="00F34D3C" w:rsidP="00F20B5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34013A">
              <w:rPr>
                <w:b/>
                <w:color w:val="000000"/>
                <w:sz w:val="24"/>
                <w:szCs w:val="24"/>
              </w:rPr>
              <w:t>2014 m. liepos 23 d. Europos Parlamento ir Tarybos reglamentas (ES) Nr. 910/2014 dėl elektroninės atpažinties ir elektroninių operacijų patikimumo užtikrinimo paslaugų vidaus rinkoje, kuriuo panaikinama Direktyva 1999/93/EB</w:t>
            </w:r>
            <w:r w:rsidRPr="003401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39FCAFC4" w14:textId="137F7C58" w:rsidR="0041007D" w:rsidRDefault="0041007D" w:rsidP="00BE0499">
            <w:pPr>
              <w:jc w:val="both"/>
              <w:rPr>
                <w:b/>
                <w:bCs/>
                <w:sz w:val="24"/>
                <w:szCs w:val="24"/>
              </w:rPr>
            </w:pPr>
            <w:r w:rsidRPr="00177C47">
              <w:rPr>
                <w:b/>
                <w:bCs/>
                <w:sz w:val="24"/>
                <w:szCs w:val="24"/>
              </w:rPr>
              <w:t>Lietuvos Respublikos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A5A41">
              <w:rPr>
                <w:b/>
                <w:bCs/>
                <w:sz w:val="24"/>
                <w:szCs w:val="24"/>
              </w:rPr>
              <w:t xml:space="preserve">Vyriausybės nutarimo „Dėl </w:t>
            </w:r>
            <w:r w:rsidR="00FA5A41" w:rsidRPr="00FA5A41">
              <w:rPr>
                <w:b/>
                <w:bCs/>
                <w:sz w:val="24"/>
                <w:szCs w:val="24"/>
              </w:rPr>
              <w:t>Lietuvos Respublikos Vyriausybės 2004 m. rugpjūčio 19 d. nutarimo Nr. 1029 „Dėl Lietuvos Respublikos ryšių reguliavimo tarnybos nuostatų patvirtinimo“ pakeitimo“ projekt</w:t>
            </w:r>
            <w:r w:rsidR="00FA5A41">
              <w:rPr>
                <w:b/>
                <w:bCs/>
                <w:sz w:val="24"/>
                <w:szCs w:val="24"/>
              </w:rPr>
              <w:t>as</w:t>
            </w:r>
            <w:r w:rsidR="00FA5A41" w:rsidRPr="00FA5A41">
              <w:rPr>
                <w:b/>
                <w:bCs/>
                <w:sz w:val="24"/>
                <w:szCs w:val="24"/>
              </w:rPr>
              <w:t xml:space="preserve"> (toliau – </w:t>
            </w:r>
            <w:r w:rsidR="00FA5A41">
              <w:rPr>
                <w:b/>
                <w:bCs/>
                <w:sz w:val="24"/>
                <w:szCs w:val="24"/>
              </w:rPr>
              <w:t xml:space="preserve">LRV nutarimo Nr. 1029 pakeitimo </w:t>
            </w:r>
            <w:r w:rsidR="00FA5A41" w:rsidRPr="00FA5A41">
              <w:rPr>
                <w:b/>
                <w:bCs/>
                <w:sz w:val="24"/>
                <w:szCs w:val="24"/>
              </w:rPr>
              <w:t>projektas</w:t>
            </w:r>
            <w:r w:rsidR="00FA5A41">
              <w:rPr>
                <w:b/>
                <w:bCs/>
                <w:sz w:val="24"/>
                <w:szCs w:val="24"/>
              </w:rPr>
              <w:t>)</w:t>
            </w:r>
          </w:p>
          <w:p w14:paraId="1CD1FF68" w14:textId="77777777" w:rsidR="00BE0499" w:rsidRDefault="00BE0499" w:rsidP="00BE049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DEFBF61" w14:textId="77777777" w:rsidR="00F34D3C" w:rsidRPr="00FA5A41" w:rsidRDefault="00F34D3C" w:rsidP="00BE0499">
            <w:pPr>
              <w:jc w:val="both"/>
              <w:rPr>
                <w:bCs/>
                <w:sz w:val="24"/>
                <w:szCs w:val="24"/>
              </w:rPr>
            </w:pPr>
            <w:r w:rsidRPr="00FA5A41">
              <w:rPr>
                <w:bCs/>
                <w:sz w:val="24"/>
                <w:szCs w:val="24"/>
              </w:rPr>
              <w:t>Lietuvos Respublikos</w:t>
            </w:r>
            <w:r w:rsidR="007101AA" w:rsidRPr="00FA5A41">
              <w:rPr>
                <w:bCs/>
                <w:sz w:val="24"/>
                <w:szCs w:val="24"/>
              </w:rPr>
              <w:t xml:space="preserve"> elektroninės atpažinties ir</w:t>
            </w:r>
            <w:r w:rsidRPr="00FA5A41">
              <w:rPr>
                <w:bCs/>
                <w:sz w:val="24"/>
                <w:szCs w:val="24"/>
              </w:rPr>
              <w:t xml:space="preserve"> elektroninių operacijų patikimumo užtikrinimo paslaugų įstatym</w:t>
            </w:r>
            <w:r w:rsidR="00FA5A41" w:rsidRPr="00FA5A41">
              <w:rPr>
                <w:bCs/>
                <w:sz w:val="24"/>
                <w:szCs w:val="24"/>
              </w:rPr>
              <w:t xml:space="preserve">as Nr. XIII-1120 (toliau </w:t>
            </w:r>
            <w:r w:rsidRPr="00FA5A41">
              <w:rPr>
                <w:bCs/>
                <w:sz w:val="24"/>
                <w:szCs w:val="24"/>
              </w:rPr>
              <w:t>– Įstatym</w:t>
            </w:r>
            <w:r w:rsidR="00FA5A41" w:rsidRPr="00FA5A41">
              <w:rPr>
                <w:bCs/>
                <w:sz w:val="24"/>
                <w:szCs w:val="24"/>
              </w:rPr>
              <w:t>as)</w:t>
            </w:r>
          </w:p>
          <w:p w14:paraId="355DEB5B" w14:textId="77777777" w:rsidR="00BE0499" w:rsidRDefault="00BE0499" w:rsidP="00F20B53">
            <w:pPr>
              <w:jc w:val="both"/>
              <w:rPr>
                <w:bCs/>
                <w:sz w:val="24"/>
                <w:szCs w:val="24"/>
              </w:rPr>
            </w:pPr>
          </w:p>
          <w:p w14:paraId="618DC986" w14:textId="2620049E" w:rsidR="00F34D3C" w:rsidRPr="009A6C2A" w:rsidRDefault="00F34D3C" w:rsidP="00F20B5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Lietuvos Respublikos Vyriausybės 2016 m. vasario 18 d. nutarimas Nr. 144 „Dėl patikimumo užtikrinimo paslaugų priežiūros įstaigos ir įstaigos, atsakingos už nacionalinio patikimo sąrašo sudarymą, tvarkymą ir skelbimą, paskyrimo“ (toliau – Nutarimas)</w:t>
            </w:r>
          </w:p>
        </w:tc>
        <w:tc>
          <w:tcPr>
            <w:tcW w:w="1807" w:type="dxa"/>
          </w:tcPr>
          <w:p w14:paraId="1778F8FE" w14:textId="77777777" w:rsidR="00F34D3C" w:rsidRPr="003942D1" w:rsidRDefault="00F34D3C" w:rsidP="00F20B53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Reglamento </w:t>
            </w:r>
            <w:r w:rsidRPr="003942D1">
              <w:rPr>
                <w:b/>
                <w:sz w:val="24"/>
                <w:szCs w:val="24"/>
              </w:rPr>
              <w:t>perkėlimo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03F2">
              <w:rPr>
                <w:b/>
                <w:sz w:val="24"/>
                <w:szCs w:val="24"/>
              </w:rPr>
              <w:t>(įgyvendinimo)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42D1">
              <w:rPr>
                <w:b/>
                <w:sz w:val="24"/>
                <w:szCs w:val="24"/>
              </w:rPr>
              <w:t>lygis</w:t>
            </w:r>
          </w:p>
        </w:tc>
      </w:tr>
      <w:tr w:rsidR="00C95247" w:rsidRPr="003942D1" w14:paraId="5582AB83" w14:textId="77777777" w:rsidTr="00F37563">
        <w:trPr>
          <w:trHeight w:val="562"/>
        </w:trPr>
        <w:tc>
          <w:tcPr>
            <w:tcW w:w="4815" w:type="dxa"/>
          </w:tcPr>
          <w:p w14:paraId="4AE42351" w14:textId="77777777" w:rsidR="00C95247" w:rsidRPr="0034013A" w:rsidRDefault="00C95247" w:rsidP="00C95247">
            <w:pPr>
              <w:pStyle w:val="prastasis1"/>
              <w:spacing w:before="0"/>
              <w:jc w:val="center"/>
              <w:rPr>
                <w:b/>
                <w:color w:val="000000"/>
              </w:rPr>
            </w:pPr>
            <w:r w:rsidRPr="00FA5A41">
              <w:rPr>
                <w:i/>
                <w:color w:val="000000"/>
              </w:rPr>
              <w:t>17 straipsnis</w:t>
            </w:r>
          </w:p>
          <w:p w14:paraId="2D2BC400" w14:textId="77777777" w:rsidR="00C95247" w:rsidRPr="0034013A" w:rsidRDefault="00C95247" w:rsidP="00C95247">
            <w:pPr>
              <w:pStyle w:val="prastasis1"/>
              <w:spacing w:befor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Priežiūros įstaiga</w:t>
            </w:r>
          </w:p>
        </w:tc>
        <w:tc>
          <w:tcPr>
            <w:tcW w:w="7938" w:type="dxa"/>
          </w:tcPr>
          <w:p w14:paraId="030B0B38" w14:textId="77777777" w:rsidR="00C95247" w:rsidRPr="00177C47" w:rsidRDefault="00C95247" w:rsidP="00F20B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59BA274D" w14:textId="77777777" w:rsidR="00C95247" w:rsidRDefault="00C95247" w:rsidP="00F20B53">
            <w:pPr>
              <w:tabs>
                <w:tab w:val="left" w:pos="187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34D3C" w:rsidRPr="003942D1" w14:paraId="51A424D8" w14:textId="77777777" w:rsidTr="00F37563">
        <w:tc>
          <w:tcPr>
            <w:tcW w:w="4815" w:type="dxa"/>
          </w:tcPr>
          <w:p w14:paraId="10FA98B5" w14:textId="77777777" w:rsidR="00F34D3C" w:rsidRDefault="00F34D3C" w:rsidP="00FA5A41">
            <w:pPr>
              <w:spacing w:before="75" w:after="75"/>
              <w:jc w:val="both"/>
              <w:rPr>
                <w:sz w:val="24"/>
                <w:szCs w:val="24"/>
              </w:rPr>
            </w:pPr>
            <w:r w:rsidRPr="00F4401A">
              <w:rPr>
                <w:sz w:val="24"/>
                <w:szCs w:val="24"/>
              </w:rPr>
              <w:t xml:space="preserve">1. Valstybės narės </w:t>
            </w:r>
            <w:r>
              <w:rPr>
                <w:sz w:val="24"/>
                <w:szCs w:val="24"/>
              </w:rPr>
              <w:t xml:space="preserve">paskiria jų teritorijoje įsteigtą priežiūros įstaigą arba, abipusiu sutarimu su kita valstybe nare, toje kitoje valstybėje narėje įsteigtą priežiūros įstaigą. Ta įstaiga atsako už priežiūros funkcijų vykdymą paskiriančiojoje valstybėje narėje. </w:t>
            </w:r>
          </w:p>
          <w:p w14:paraId="78C1229B" w14:textId="77777777" w:rsidR="00F34D3C" w:rsidRPr="007D154B" w:rsidRDefault="00F34D3C" w:rsidP="00FA5A41">
            <w:pPr>
              <w:spacing w:before="75" w:after="75"/>
              <w:jc w:val="both"/>
              <w:rPr>
                <w:sz w:val="24"/>
                <w:szCs w:val="24"/>
              </w:rPr>
            </w:pPr>
            <w:r w:rsidRPr="007D154B">
              <w:rPr>
                <w:sz w:val="24"/>
                <w:szCs w:val="24"/>
              </w:rPr>
              <w:t>Priežiūros įstaigoms suteikiami būtini įgaliojimai ir pakankamai išteklių jų funkcijoms vykdyti.</w:t>
            </w:r>
          </w:p>
        </w:tc>
        <w:tc>
          <w:tcPr>
            <w:tcW w:w="7938" w:type="dxa"/>
          </w:tcPr>
          <w:p w14:paraId="24597FC2" w14:textId="77777777" w:rsidR="008A4DE6" w:rsidRDefault="00FA5A41" w:rsidP="00B0532E">
            <w:pPr>
              <w:spacing w:after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LRV nutarimo Nr. 1029 pakeitimo </w:t>
            </w:r>
            <w:r w:rsidRPr="00B0532E">
              <w:rPr>
                <w:b/>
                <w:bCs/>
                <w:sz w:val="24"/>
                <w:szCs w:val="24"/>
              </w:rPr>
              <w:t>projekto</w:t>
            </w:r>
            <w:r w:rsidR="00B0532E" w:rsidRPr="00B0532E">
              <w:rPr>
                <w:b/>
                <w:bCs/>
                <w:sz w:val="24"/>
                <w:szCs w:val="24"/>
              </w:rPr>
              <w:t xml:space="preserve"> </w:t>
            </w:r>
            <w:r w:rsidR="00B0532E" w:rsidRPr="00B0532E">
              <w:rPr>
                <w:b/>
                <w:sz w:val="24"/>
                <w:szCs w:val="24"/>
              </w:rPr>
              <w:t>1.2.</w:t>
            </w:r>
            <w:r w:rsidR="00B0532E" w:rsidRPr="00756035">
              <w:rPr>
                <w:b/>
                <w:sz w:val="24"/>
                <w:szCs w:val="24"/>
              </w:rPr>
              <w:t>2</w:t>
            </w:r>
            <w:r w:rsidR="004F08D8">
              <w:rPr>
                <w:b/>
                <w:sz w:val="24"/>
                <w:szCs w:val="24"/>
              </w:rPr>
              <w:t>3</w:t>
            </w:r>
            <w:r w:rsidR="00B0532E" w:rsidRPr="00756035">
              <w:rPr>
                <w:b/>
                <w:sz w:val="24"/>
                <w:szCs w:val="24"/>
              </w:rPr>
              <w:t xml:space="preserve"> </w:t>
            </w:r>
            <w:r w:rsidR="00B0532E" w:rsidRPr="00756035">
              <w:rPr>
                <w:b/>
                <w:bCs/>
                <w:sz w:val="24"/>
                <w:szCs w:val="24"/>
              </w:rPr>
              <w:t>p</w:t>
            </w:r>
            <w:r w:rsidR="00B0532E" w:rsidRPr="00B0532E">
              <w:rPr>
                <w:b/>
                <w:bCs/>
                <w:sz w:val="24"/>
                <w:szCs w:val="24"/>
              </w:rPr>
              <w:t>apunktis</w:t>
            </w:r>
          </w:p>
          <w:p w14:paraId="1886FB3D" w14:textId="77777777" w:rsidR="00B0532E" w:rsidRPr="00B0532E" w:rsidRDefault="00B0532E" w:rsidP="00B0532E">
            <w:pPr>
              <w:jc w:val="both"/>
              <w:rPr>
                <w:b/>
                <w:bCs/>
                <w:sz w:val="24"/>
                <w:szCs w:val="24"/>
              </w:rPr>
            </w:pPr>
            <w:r w:rsidRPr="00B0532E">
              <w:rPr>
                <w:b/>
                <w:bCs/>
                <w:sz w:val="24"/>
                <w:szCs w:val="24"/>
              </w:rPr>
              <w:t>1.2.2</w:t>
            </w:r>
            <w:r w:rsidR="004F08D8">
              <w:rPr>
                <w:b/>
                <w:bCs/>
                <w:sz w:val="24"/>
                <w:szCs w:val="24"/>
              </w:rPr>
              <w:t>3</w:t>
            </w:r>
            <w:r w:rsidRPr="00B0532E">
              <w:rPr>
                <w:b/>
                <w:bCs/>
                <w:sz w:val="24"/>
                <w:szCs w:val="24"/>
              </w:rPr>
              <w:t>. Pakeisti 18 punktą ir jį išdėstyti taip:</w:t>
            </w:r>
          </w:p>
          <w:p w14:paraId="0D610AC3" w14:textId="77777777" w:rsidR="00B0532E" w:rsidRPr="00B0532E" w:rsidRDefault="00B0532E" w:rsidP="00B0532E">
            <w:pPr>
              <w:jc w:val="both"/>
              <w:rPr>
                <w:b/>
                <w:bCs/>
                <w:sz w:val="24"/>
                <w:szCs w:val="24"/>
              </w:rPr>
            </w:pPr>
            <w:r w:rsidRPr="00DC5CC7">
              <w:rPr>
                <w:bCs/>
                <w:sz w:val="24"/>
                <w:szCs w:val="24"/>
              </w:rPr>
              <w:t>„</w:t>
            </w:r>
            <w:r w:rsidRPr="00B0532E">
              <w:rPr>
                <w:b/>
                <w:bCs/>
                <w:sz w:val="24"/>
                <w:szCs w:val="24"/>
              </w:rPr>
              <w:t>18. Įgyvendindama šių nuostatų 8.10 papunktyje nurodytą veiklos tikslą, Tarnyba:</w:t>
            </w:r>
          </w:p>
          <w:p w14:paraId="5EE685C6" w14:textId="44C818D5" w:rsidR="004F08D8" w:rsidRDefault="00B0532E" w:rsidP="00B0532E">
            <w:pPr>
              <w:jc w:val="both"/>
              <w:rPr>
                <w:b/>
                <w:bCs/>
                <w:sz w:val="24"/>
                <w:szCs w:val="24"/>
              </w:rPr>
            </w:pPr>
            <w:r w:rsidRPr="00B0532E">
              <w:rPr>
                <w:b/>
                <w:bCs/>
                <w:sz w:val="24"/>
                <w:szCs w:val="24"/>
              </w:rPr>
              <w:t>18.1. vykdo Reglament</w:t>
            </w:r>
            <w:r w:rsidR="00A27DB8">
              <w:rPr>
                <w:b/>
                <w:bCs/>
                <w:sz w:val="24"/>
                <w:szCs w:val="24"/>
              </w:rPr>
              <w:t>e</w:t>
            </w:r>
            <w:r w:rsidRPr="00B0532E">
              <w:rPr>
                <w:b/>
                <w:bCs/>
                <w:sz w:val="24"/>
                <w:szCs w:val="24"/>
              </w:rPr>
              <w:t xml:space="preserve"> (ES) Nr. 910/2014 priežiūros įstaigai nustatytas funkcijas;</w:t>
            </w:r>
          </w:p>
          <w:p w14:paraId="4CA6D9D7" w14:textId="6308920F" w:rsidR="00B0532E" w:rsidRDefault="004F08D8" w:rsidP="00B0532E">
            <w:pPr>
              <w:jc w:val="both"/>
              <w:rPr>
                <w:b/>
                <w:bCs/>
                <w:sz w:val="24"/>
                <w:szCs w:val="24"/>
              </w:rPr>
            </w:pPr>
            <w:r w:rsidRPr="00B16A2F">
              <w:rPr>
                <w:bCs/>
                <w:sz w:val="24"/>
                <w:szCs w:val="24"/>
              </w:rPr>
              <w:t>&lt;..&gt;</w:t>
            </w:r>
            <w:r w:rsidRPr="00DC5CC7">
              <w:rPr>
                <w:bCs/>
                <w:sz w:val="24"/>
                <w:szCs w:val="24"/>
              </w:rPr>
              <w:t>“</w:t>
            </w:r>
            <w:r w:rsidR="00DC5CC7">
              <w:rPr>
                <w:bCs/>
                <w:sz w:val="24"/>
                <w:szCs w:val="24"/>
              </w:rPr>
              <w:t>.</w:t>
            </w:r>
          </w:p>
          <w:p w14:paraId="37FFEFF0" w14:textId="77777777" w:rsidR="00FA5A41" w:rsidRDefault="00FA5A41" w:rsidP="00F20B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0A49410" w14:textId="77777777" w:rsidR="00F34D3C" w:rsidRPr="00AF44A4" w:rsidRDefault="00F34D3C" w:rsidP="00AF44A4">
            <w:pPr>
              <w:spacing w:after="80"/>
              <w:jc w:val="both"/>
              <w:rPr>
                <w:b/>
                <w:bCs/>
                <w:sz w:val="24"/>
                <w:szCs w:val="24"/>
              </w:rPr>
            </w:pPr>
            <w:r w:rsidRPr="00AF44A4">
              <w:rPr>
                <w:b/>
                <w:bCs/>
                <w:sz w:val="24"/>
                <w:szCs w:val="24"/>
              </w:rPr>
              <w:t>Įstatym</w:t>
            </w:r>
            <w:r w:rsidR="00FA5A41" w:rsidRPr="00AF44A4">
              <w:rPr>
                <w:b/>
                <w:bCs/>
                <w:sz w:val="24"/>
                <w:szCs w:val="24"/>
              </w:rPr>
              <w:t>o 3 straipsnio 3 dalis</w:t>
            </w:r>
            <w:r w:rsidR="00B74CE1" w:rsidRPr="00AF44A4">
              <w:rPr>
                <w:b/>
                <w:bCs/>
                <w:sz w:val="24"/>
                <w:szCs w:val="24"/>
              </w:rPr>
              <w:t>, 4 straipsnio 1 dalis</w:t>
            </w:r>
          </w:p>
          <w:p w14:paraId="74D12DC2" w14:textId="170B952A" w:rsidR="00F34D3C" w:rsidRPr="006066EA" w:rsidRDefault="00F34D3C" w:rsidP="00F20B53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6066EA">
              <w:rPr>
                <w:rFonts w:eastAsia="Calibri"/>
                <w:b/>
                <w:sz w:val="24"/>
                <w:szCs w:val="24"/>
                <w:lang w:eastAsia="zh-CN"/>
              </w:rPr>
              <w:t xml:space="preserve">3 straipsnis. </w:t>
            </w:r>
            <w:r w:rsidRPr="006066EA">
              <w:rPr>
                <w:rFonts w:eastAsia="SimSun"/>
                <w:b/>
                <w:sz w:val="24"/>
                <w:szCs w:val="24"/>
                <w:lang w:eastAsia="en-GB"/>
              </w:rPr>
              <w:t>Elektroninės atpažinties ir</w:t>
            </w:r>
            <w:r w:rsidRPr="006066EA">
              <w:rPr>
                <w:rFonts w:eastAsia="Calibri"/>
                <w:b/>
                <w:sz w:val="24"/>
                <w:szCs w:val="24"/>
                <w:lang w:eastAsia="zh-CN"/>
              </w:rPr>
              <w:t xml:space="preserve"> patikimumo užtikrinimo paslaugų politikos formavimo ir įgyvendinimo institucijos </w:t>
            </w:r>
          </w:p>
          <w:p w14:paraId="17D566BD" w14:textId="77777777" w:rsidR="00F34D3C" w:rsidRPr="00F37563" w:rsidRDefault="00FA5A41" w:rsidP="00F20B53">
            <w:pPr>
              <w:tabs>
                <w:tab w:val="left" w:pos="567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F37563">
              <w:rPr>
                <w:bCs/>
                <w:sz w:val="24"/>
                <w:szCs w:val="24"/>
              </w:rPr>
              <w:t>&lt;...&gt;</w:t>
            </w:r>
          </w:p>
          <w:p w14:paraId="70D30C7E" w14:textId="32662069" w:rsidR="00F34D3C" w:rsidRPr="00B132B3" w:rsidRDefault="00F34D3C" w:rsidP="00FA5A41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B132B3">
              <w:rPr>
                <w:rFonts w:eastAsia="Calibri"/>
                <w:sz w:val="24"/>
                <w:szCs w:val="24"/>
                <w:lang w:eastAsia="zh-CN"/>
              </w:rPr>
              <w:t>3. Patikimumo užtikrinimo paslaugų politiką įgyvendina Lietuvos Respublikos Vyriausybės paskirta patikimumo užtikrinimo paslaugų teikėjų priežiūros įstaiga (toliau – priežiūros įstaiga).</w:t>
            </w:r>
          </w:p>
          <w:p w14:paraId="6B932193" w14:textId="77777777" w:rsidR="00F34D3C" w:rsidRDefault="00F34D3C" w:rsidP="00F20B53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</w:p>
          <w:p w14:paraId="067C0283" w14:textId="12F62B4F" w:rsidR="00B74CE1" w:rsidRPr="00B74CE1" w:rsidRDefault="00B74CE1" w:rsidP="00B74CE1">
            <w:pPr>
              <w:jc w:val="both"/>
              <w:rPr>
                <w:sz w:val="24"/>
                <w:szCs w:val="24"/>
                <w:lang w:val="en-US"/>
              </w:rPr>
            </w:pPr>
            <w:r w:rsidRPr="00B74CE1">
              <w:rPr>
                <w:b/>
                <w:bCs/>
                <w:sz w:val="24"/>
                <w:szCs w:val="24"/>
              </w:rPr>
              <w:t>4 straipsnis. Priežiūros</w:t>
            </w:r>
            <w:r w:rsidRPr="00B74CE1">
              <w:rPr>
                <w:sz w:val="24"/>
                <w:szCs w:val="24"/>
              </w:rPr>
              <w:t xml:space="preserve"> </w:t>
            </w:r>
            <w:r w:rsidRPr="00B74CE1">
              <w:rPr>
                <w:b/>
                <w:bCs/>
                <w:sz w:val="24"/>
                <w:szCs w:val="24"/>
              </w:rPr>
              <w:t>įstaigos įgaliojimai patikimumo užtikrinimo paslaugų srityje</w:t>
            </w:r>
          </w:p>
          <w:p w14:paraId="5E7903AD" w14:textId="08E838A7" w:rsidR="00B74CE1" w:rsidRPr="00B74CE1" w:rsidRDefault="00B74CE1" w:rsidP="00B74CE1">
            <w:pPr>
              <w:jc w:val="both"/>
              <w:rPr>
                <w:sz w:val="24"/>
                <w:szCs w:val="24"/>
                <w:lang w:val="en-US"/>
              </w:rPr>
            </w:pPr>
            <w:bookmarkStart w:id="1" w:name="part_afc3ea456f9d4651a4fc3afe955e30ad"/>
            <w:bookmarkEnd w:id="1"/>
            <w:r w:rsidRPr="00B74CE1">
              <w:rPr>
                <w:sz w:val="24"/>
                <w:szCs w:val="24"/>
              </w:rPr>
              <w:t xml:space="preserve">1. Priežiūros įstaigos tikslas – užtikrinti, kad patikimumo užtikrinimo paslaugų teikėjai ir jų teikiamos patikimumo užtikrinimo paslaugos atitiktų jiems </w:t>
            </w:r>
            <w:r w:rsidRPr="00B74CE1">
              <w:rPr>
                <w:sz w:val="24"/>
                <w:szCs w:val="24"/>
              </w:rPr>
              <w:lastRenderedPageBreak/>
              <w:t xml:space="preserve">Reglamente </w:t>
            </w:r>
            <w:r w:rsidRPr="00B74CE1">
              <w:rPr>
                <w:color w:val="000000"/>
                <w:sz w:val="24"/>
                <w:szCs w:val="24"/>
              </w:rPr>
              <w:t xml:space="preserve">(ES) Nr. 910/2014, šiame įstatyme ir jų įgyvendinamuosiuose teisės aktuose </w:t>
            </w:r>
            <w:r w:rsidRPr="00B74CE1">
              <w:rPr>
                <w:sz w:val="24"/>
                <w:szCs w:val="24"/>
              </w:rPr>
              <w:t>nustatytus reikalavimus.</w:t>
            </w:r>
          </w:p>
          <w:p w14:paraId="638EE481" w14:textId="77777777" w:rsidR="00F34D3C" w:rsidRPr="009A6C2A" w:rsidRDefault="00B74CE1" w:rsidP="00B74CE1">
            <w:pPr>
              <w:tabs>
                <w:tab w:val="left" w:pos="567"/>
              </w:tabs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9A6C2A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BE10ED6" w14:textId="77777777" w:rsidR="00C95247" w:rsidRDefault="00F34D3C" w:rsidP="00C95247">
            <w:pPr>
              <w:pStyle w:val="Pagrindinistekstas"/>
              <w:spacing w:after="8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Nutarim</w:t>
            </w:r>
            <w:r w:rsidR="008A4DE6">
              <w:rPr>
                <w:b/>
                <w:bCs/>
                <w:sz w:val="24"/>
                <w:szCs w:val="24"/>
              </w:rPr>
              <w:t>o 1.1 papunktis</w:t>
            </w:r>
          </w:p>
          <w:p w14:paraId="0403301E" w14:textId="4FD20A50" w:rsidR="008A4DE6" w:rsidRPr="008A4DE6" w:rsidRDefault="008A4DE6" w:rsidP="00C95247">
            <w:pPr>
              <w:pStyle w:val="Pagrindinistekstas"/>
              <w:spacing w:after="8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&lt;...&gt; </w:t>
            </w:r>
            <w:r w:rsidRPr="008A4DE6">
              <w:rPr>
                <w:rFonts w:ascii="Times New Roman" w:hAnsi="Times New Roman"/>
                <w:sz w:val="24"/>
                <w:szCs w:val="24"/>
              </w:rPr>
              <w:t>Lietuvos Respublikos Vyriausybė</w:t>
            </w:r>
            <w:r w:rsidRPr="008A4DE6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nutari</w:t>
            </w:r>
            <w:r w:rsidRPr="008A4DE6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0959927E" w14:textId="77777777" w:rsidR="00F34D3C" w:rsidRDefault="00F34D3C" w:rsidP="00AF44A4">
            <w:pPr>
              <w:pStyle w:val="Pagrindinistekstas"/>
              <w:spacing w:after="0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792CA0">
              <w:rPr>
                <w:sz w:val="24"/>
                <w:szCs w:val="24"/>
                <w:lang w:eastAsia="lt-LT"/>
              </w:rPr>
              <w:t>1. Paskirti Lietuvos Respublikos ryšių reguliavimo tarnybą:</w:t>
            </w:r>
            <w:bookmarkStart w:id="2" w:name="part_6cfd5518b5f94242a12fa81327a7a8b9"/>
            <w:bookmarkEnd w:id="2"/>
          </w:p>
          <w:p w14:paraId="03C196FD" w14:textId="77777777" w:rsidR="00DC5CC7" w:rsidRDefault="00F34D3C" w:rsidP="00AF44A4">
            <w:pPr>
              <w:pStyle w:val="Pagrindinistekstas"/>
              <w:spacing w:after="0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792CA0">
              <w:rPr>
                <w:sz w:val="24"/>
                <w:szCs w:val="24"/>
                <w:lang w:eastAsia="lt-LT"/>
              </w:rPr>
              <w:t>1.1. patikimumo užtikrinimo paslaugų priežiūros įstaiga;</w:t>
            </w:r>
          </w:p>
          <w:p w14:paraId="0D66396F" w14:textId="47E284A1" w:rsidR="002143A6" w:rsidRPr="00792CA0" w:rsidRDefault="00DC5CC7" w:rsidP="00F37563">
            <w:pPr>
              <w:pStyle w:val="Pagrindinistekstas"/>
              <w:spacing w:after="0"/>
              <w:contextualSpacing/>
              <w:jc w:val="both"/>
            </w:pPr>
            <w:r>
              <w:rPr>
                <w:sz w:val="24"/>
                <w:szCs w:val="24"/>
                <w:lang w:eastAsia="lt-LT"/>
              </w:rPr>
              <w:t>&lt;...&gt;</w:t>
            </w:r>
          </w:p>
        </w:tc>
        <w:tc>
          <w:tcPr>
            <w:tcW w:w="1807" w:type="dxa"/>
          </w:tcPr>
          <w:p w14:paraId="25B5FC7E" w14:textId="77777777" w:rsidR="00F34D3C" w:rsidRPr="008D1C4C" w:rsidRDefault="00F34D3C" w:rsidP="00F20B5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Visiškas</w:t>
            </w:r>
          </w:p>
        </w:tc>
      </w:tr>
      <w:tr w:rsidR="00C95247" w:rsidRPr="003942D1" w14:paraId="676648C3" w14:textId="77777777" w:rsidTr="00F37563">
        <w:trPr>
          <w:trHeight w:val="562"/>
        </w:trPr>
        <w:tc>
          <w:tcPr>
            <w:tcW w:w="4815" w:type="dxa"/>
          </w:tcPr>
          <w:p w14:paraId="21265FB7" w14:textId="77777777" w:rsidR="00C95247" w:rsidRPr="00C95247" w:rsidRDefault="00C95247" w:rsidP="00C95247">
            <w:pPr>
              <w:jc w:val="center"/>
              <w:rPr>
                <w:i/>
                <w:sz w:val="24"/>
                <w:szCs w:val="24"/>
              </w:rPr>
            </w:pPr>
            <w:r w:rsidRPr="00C95247">
              <w:rPr>
                <w:i/>
                <w:color w:val="000000"/>
                <w:sz w:val="24"/>
                <w:szCs w:val="24"/>
              </w:rPr>
              <w:t>22 straipsnis</w:t>
            </w:r>
          </w:p>
          <w:p w14:paraId="5832C2E0" w14:textId="77777777" w:rsidR="00C95247" w:rsidRPr="00C95247" w:rsidRDefault="00C95247" w:rsidP="00C95247">
            <w:pPr>
              <w:pStyle w:val="prastasis1"/>
              <w:spacing w:before="0"/>
              <w:jc w:val="center"/>
              <w:rPr>
                <w:i/>
              </w:rPr>
            </w:pPr>
            <w:r w:rsidRPr="00C95247">
              <w:rPr>
                <w:b/>
                <w:color w:val="000000"/>
              </w:rPr>
              <w:t>Patikimi sąrašai</w:t>
            </w:r>
          </w:p>
        </w:tc>
        <w:tc>
          <w:tcPr>
            <w:tcW w:w="7938" w:type="dxa"/>
          </w:tcPr>
          <w:p w14:paraId="2E6AEB96" w14:textId="77777777" w:rsidR="00C95247" w:rsidRDefault="00C95247" w:rsidP="00F20B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56DC95A9" w14:textId="77777777" w:rsidR="00C95247" w:rsidRDefault="00C95247" w:rsidP="00F20B53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F34D3C" w:rsidRPr="003942D1" w14:paraId="425EE60E" w14:textId="77777777" w:rsidTr="00F37563">
        <w:tc>
          <w:tcPr>
            <w:tcW w:w="4815" w:type="dxa"/>
          </w:tcPr>
          <w:p w14:paraId="5A024EE9" w14:textId="77777777" w:rsidR="00F34D3C" w:rsidRPr="004E0E33" w:rsidRDefault="00F34D3C" w:rsidP="00F20B53">
            <w:pPr>
              <w:pStyle w:val="prastasis1"/>
              <w:rPr>
                <w:color w:val="000000"/>
              </w:rPr>
            </w:pPr>
            <w:r>
              <w:rPr>
                <w:color w:val="000000"/>
              </w:rPr>
              <w:t xml:space="preserve">1. Kiekviena valstybė narė sudaro, tvarko ir skelbia patikimus sąrašus, įskaitant informaciją apie kvalifikuotus patikimumo užtikrinimo paslaugų teikėjus, už kuriuos ji atsako, ir apie jų teikiamas kvalifikuotas patikimumo užtikrinimo paslaugas. </w:t>
            </w:r>
          </w:p>
        </w:tc>
        <w:tc>
          <w:tcPr>
            <w:tcW w:w="7938" w:type="dxa"/>
          </w:tcPr>
          <w:p w14:paraId="259A13F7" w14:textId="77777777" w:rsidR="00FF073A" w:rsidRDefault="00FF073A" w:rsidP="00FF073A">
            <w:pPr>
              <w:spacing w:after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LRV nutarimo Nr. 1029 pakeitimo </w:t>
            </w:r>
            <w:r w:rsidRPr="00B0532E">
              <w:rPr>
                <w:b/>
                <w:bCs/>
                <w:sz w:val="24"/>
                <w:szCs w:val="24"/>
              </w:rPr>
              <w:t xml:space="preserve">projekto </w:t>
            </w:r>
            <w:r w:rsidRPr="00B0532E">
              <w:rPr>
                <w:b/>
                <w:sz w:val="24"/>
                <w:szCs w:val="24"/>
              </w:rPr>
              <w:t>1.2</w:t>
            </w:r>
            <w:r w:rsidRPr="00756035">
              <w:rPr>
                <w:b/>
                <w:sz w:val="24"/>
                <w:szCs w:val="24"/>
              </w:rPr>
              <w:t>.2</w:t>
            </w:r>
            <w:r w:rsidR="004F08D8">
              <w:rPr>
                <w:b/>
                <w:sz w:val="24"/>
                <w:szCs w:val="24"/>
              </w:rPr>
              <w:t>3</w:t>
            </w:r>
            <w:r w:rsidRPr="00756035">
              <w:rPr>
                <w:b/>
                <w:sz w:val="24"/>
                <w:szCs w:val="24"/>
              </w:rPr>
              <w:t xml:space="preserve"> </w:t>
            </w:r>
            <w:r w:rsidRPr="00756035">
              <w:rPr>
                <w:b/>
                <w:bCs/>
                <w:sz w:val="24"/>
                <w:szCs w:val="24"/>
              </w:rPr>
              <w:t>papunktis</w:t>
            </w:r>
          </w:p>
          <w:p w14:paraId="22FCC3F9" w14:textId="77777777" w:rsidR="00FF073A" w:rsidRPr="00FF073A" w:rsidRDefault="00FF073A" w:rsidP="00FF073A">
            <w:pPr>
              <w:jc w:val="both"/>
              <w:rPr>
                <w:b/>
                <w:sz w:val="24"/>
                <w:szCs w:val="24"/>
              </w:rPr>
            </w:pPr>
            <w:r w:rsidRPr="00FF073A">
              <w:rPr>
                <w:b/>
                <w:sz w:val="24"/>
                <w:szCs w:val="24"/>
              </w:rPr>
              <w:t>1.2.2</w:t>
            </w:r>
            <w:r w:rsidR="004F08D8">
              <w:rPr>
                <w:b/>
                <w:sz w:val="24"/>
                <w:szCs w:val="24"/>
              </w:rPr>
              <w:t>3</w:t>
            </w:r>
            <w:r w:rsidRPr="00FF073A">
              <w:rPr>
                <w:b/>
                <w:sz w:val="24"/>
                <w:szCs w:val="24"/>
              </w:rPr>
              <w:t>. Pakeisti 18 punktą ir jį išdėstyti taip:</w:t>
            </w:r>
          </w:p>
          <w:p w14:paraId="55F6E7BF" w14:textId="77777777" w:rsidR="00FF073A" w:rsidRPr="00FF073A" w:rsidRDefault="00FF073A" w:rsidP="00FF073A">
            <w:pPr>
              <w:jc w:val="both"/>
              <w:rPr>
                <w:b/>
                <w:sz w:val="24"/>
                <w:szCs w:val="24"/>
              </w:rPr>
            </w:pPr>
            <w:r w:rsidRPr="00FF073A">
              <w:rPr>
                <w:b/>
                <w:bCs/>
                <w:sz w:val="24"/>
                <w:szCs w:val="24"/>
              </w:rPr>
              <w:t>„</w:t>
            </w:r>
            <w:r w:rsidRPr="00FF073A">
              <w:rPr>
                <w:b/>
                <w:sz w:val="24"/>
                <w:szCs w:val="24"/>
              </w:rPr>
              <w:t>18. Įgyvendindama šių nuostatų 8.10 papunktyje nurodytą veiklos tikslą, Tarnyba:</w:t>
            </w:r>
          </w:p>
          <w:p w14:paraId="7C255E61" w14:textId="77777777" w:rsidR="00FF073A" w:rsidRPr="00B16A2F" w:rsidRDefault="00FF073A" w:rsidP="00FF073A">
            <w:pPr>
              <w:jc w:val="both"/>
              <w:rPr>
                <w:sz w:val="24"/>
                <w:szCs w:val="24"/>
              </w:rPr>
            </w:pPr>
            <w:r w:rsidRPr="00B16A2F">
              <w:rPr>
                <w:sz w:val="24"/>
                <w:szCs w:val="24"/>
              </w:rPr>
              <w:t>&lt;...&gt;</w:t>
            </w:r>
          </w:p>
          <w:p w14:paraId="3A00CCF1" w14:textId="78EEA4E5" w:rsidR="00DC5CC7" w:rsidRPr="00DC5CC7" w:rsidRDefault="00FF073A" w:rsidP="00FF073A">
            <w:pPr>
              <w:jc w:val="both"/>
              <w:rPr>
                <w:b/>
                <w:sz w:val="24"/>
                <w:szCs w:val="24"/>
              </w:rPr>
            </w:pPr>
            <w:r w:rsidRPr="00FF073A">
              <w:rPr>
                <w:b/>
                <w:sz w:val="24"/>
                <w:szCs w:val="24"/>
              </w:rPr>
              <w:t>18.2. sudaro, tvarko ir skelbia nacionalinį patikimą sąrašą;</w:t>
            </w:r>
            <w:bookmarkStart w:id="3" w:name="part_f80504be4bfd45d0867bf434fcbd482a"/>
            <w:bookmarkStart w:id="4" w:name="part_391d740ffe664d3d8bfe69d54a72defa"/>
            <w:bookmarkStart w:id="5" w:name="part_0ae7781230e1413093cd7dc06606d386"/>
            <w:bookmarkStart w:id="6" w:name="part_e8d9cd6b172f4814adc1de364c46cd44"/>
            <w:bookmarkStart w:id="7" w:name="part_6fe3b37ab36444adad9cf684759e077b"/>
            <w:bookmarkStart w:id="8" w:name="part_86612d13635149f79d0946bbf8e47b17"/>
            <w:bookmarkStart w:id="9" w:name="part_5de79e2ce323443ebafd94d6e50d4a9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DC5CC7">
              <w:rPr>
                <w:b/>
                <w:sz w:val="24"/>
                <w:szCs w:val="24"/>
              </w:rPr>
              <w:t>“.</w:t>
            </w:r>
          </w:p>
          <w:p w14:paraId="4BC310EB" w14:textId="77777777" w:rsidR="009B6156" w:rsidRDefault="009B6156" w:rsidP="008653E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56CD945" w14:textId="77777777" w:rsidR="00F34D3C" w:rsidRDefault="00F34D3C" w:rsidP="008653E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Įstatymo </w:t>
            </w:r>
            <w:r w:rsidR="008653EF">
              <w:rPr>
                <w:b/>
                <w:bCs/>
                <w:sz w:val="24"/>
                <w:szCs w:val="24"/>
              </w:rPr>
              <w:t>4 straipsnio 2 dalies 2 punktas</w:t>
            </w:r>
          </w:p>
          <w:p w14:paraId="0BD7F400" w14:textId="5806E350" w:rsidR="00F34D3C" w:rsidRPr="00994E09" w:rsidRDefault="00F34D3C" w:rsidP="008653EF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C3C72">
              <w:rPr>
                <w:rFonts w:eastAsia="Calibri"/>
                <w:b/>
                <w:sz w:val="24"/>
                <w:szCs w:val="24"/>
                <w:lang w:eastAsia="zh-CN"/>
              </w:rPr>
              <w:t>4 straipsnis. Priežiūros</w:t>
            </w:r>
            <w:r w:rsidRPr="00DC3C7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Pr="00DC3C72">
              <w:rPr>
                <w:rFonts w:eastAsia="Calibri"/>
                <w:b/>
                <w:sz w:val="24"/>
                <w:szCs w:val="24"/>
                <w:lang w:eastAsia="zh-CN"/>
              </w:rPr>
              <w:t xml:space="preserve">įstaigos įgaliojimai patikimumo </w:t>
            </w:r>
            <w:r w:rsidRPr="00994E09">
              <w:rPr>
                <w:rFonts w:eastAsia="Calibri"/>
                <w:b/>
                <w:sz w:val="24"/>
                <w:szCs w:val="24"/>
                <w:lang w:eastAsia="zh-CN"/>
              </w:rPr>
              <w:t>užtikrinimo paslaugų srityje</w:t>
            </w:r>
          </w:p>
          <w:p w14:paraId="76B865DC" w14:textId="77777777" w:rsidR="008653EF" w:rsidRDefault="00F34D3C" w:rsidP="008653EF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</w:rPr>
            </w:pPr>
            <w:r w:rsidRPr="00994E09">
              <w:rPr>
                <w:sz w:val="24"/>
                <w:szCs w:val="24"/>
              </w:rPr>
              <w:t xml:space="preserve"> &lt;...&gt; </w:t>
            </w:r>
          </w:p>
          <w:p w14:paraId="1B289C2A" w14:textId="77777777" w:rsidR="00F34D3C" w:rsidRPr="00994E09" w:rsidRDefault="00F34D3C" w:rsidP="008653E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94E09">
              <w:rPr>
                <w:rFonts w:eastAsia="Calibri"/>
                <w:sz w:val="24"/>
                <w:szCs w:val="24"/>
                <w:lang w:eastAsia="zh-CN"/>
              </w:rPr>
              <w:t>2. Priežiūros įstaigos funkcijos:</w:t>
            </w:r>
          </w:p>
          <w:p w14:paraId="39592B2A" w14:textId="77777777" w:rsidR="00DC5CC7" w:rsidRDefault="00F34D3C" w:rsidP="008653EF">
            <w:pPr>
              <w:tabs>
                <w:tab w:val="num" w:pos="284"/>
              </w:tabs>
              <w:jc w:val="both"/>
              <w:rPr>
                <w:sz w:val="24"/>
                <w:szCs w:val="24"/>
              </w:rPr>
            </w:pPr>
            <w:r w:rsidRPr="00834DD2">
              <w:rPr>
                <w:sz w:val="24"/>
                <w:szCs w:val="24"/>
              </w:rPr>
              <w:t>2) sudaro, tvarko ir skelbia nacionalinį  patikimą sąrašą;</w:t>
            </w:r>
          </w:p>
          <w:p w14:paraId="7FFBB8D1" w14:textId="3376E2E7" w:rsidR="00F34D3C" w:rsidRPr="00834DD2" w:rsidRDefault="00DC5CC7" w:rsidP="008653EF">
            <w:pPr>
              <w:tabs>
                <w:tab w:val="num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&lt;...&gt;</w:t>
            </w:r>
          </w:p>
          <w:p w14:paraId="76EE27A7" w14:textId="77777777" w:rsidR="00F34D3C" w:rsidRDefault="00F34D3C" w:rsidP="008653EF">
            <w:pPr>
              <w:jc w:val="both"/>
              <w:rPr>
                <w:bCs/>
                <w:sz w:val="24"/>
                <w:szCs w:val="24"/>
                <w:highlight w:val="lightGray"/>
              </w:rPr>
            </w:pPr>
          </w:p>
          <w:p w14:paraId="29742A14" w14:textId="77777777" w:rsidR="00F34D3C" w:rsidRDefault="00F34D3C" w:rsidP="008653EF">
            <w:pPr>
              <w:pStyle w:val="Pagrindinistekstas"/>
              <w:spacing w:after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Nutarim</w:t>
            </w:r>
            <w:r w:rsidR="008653EF">
              <w:rPr>
                <w:b/>
                <w:bCs/>
                <w:sz w:val="24"/>
                <w:szCs w:val="24"/>
              </w:rPr>
              <w:t>o 1.2 papunktis</w:t>
            </w:r>
          </w:p>
          <w:p w14:paraId="687F1735" w14:textId="72EB756E" w:rsidR="008653EF" w:rsidRPr="008A4DE6" w:rsidRDefault="008653EF" w:rsidP="008653EF">
            <w:pPr>
              <w:pStyle w:val="Pagrindinistekstas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&lt;...&gt; </w:t>
            </w:r>
            <w:r w:rsidRPr="008A4DE6">
              <w:rPr>
                <w:rFonts w:ascii="Times New Roman" w:hAnsi="Times New Roman"/>
                <w:sz w:val="24"/>
                <w:szCs w:val="24"/>
              </w:rPr>
              <w:t>Lietuvos Respublikos Vyriausybė</w:t>
            </w:r>
            <w:r w:rsidRPr="008A4DE6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nutari</w:t>
            </w:r>
            <w:r w:rsidRPr="008A4DE6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6EAA3334" w14:textId="77777777" w:rsidR="008653EF" w:rsidRDefault="008653EF" w:rsidP="008653EF">
            <w:pPr>
              <w:pStyle w:val="Pagrindinistekstas"/>
              <w:spacing w:after="0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792CA0">
              <w:rPr>
                <w:sz w:val="24"/>
                <w:szCs w:val="24"/>
                <w:lang w:eastAsia="lt-LT"/>
              </w:rPr>
              <w:t>1. Paskirti Lietuvos Respublikos ryšių reguliavimo tarnybą:</w:t>
            </w:r>
          </w:p>
          <w:p w14:paraId="127B41C3" w14:textId="77777777" w:rsidR="008653EF" w:rsidRDefault="00F34D3C" w:rsidP="008653EF">
            <w:pPr>
              <w:pStyle w:val="Pagrindinistekstas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10">
              <w:rPr>
                <w:rFonts w:ascii="Times New Roman" w:hAnsi="Times New Roman"/>
                <w:sz w:val="24"/>
                <w:szCs w:val="24"/>
              </w:rPr>
              <w:t>&lt;...&gt;</w:t>
            </w:r>
          </w:p>
          <w:p w14:paraId="34386D6D" w14:textId="4E050208" w:rsidR="008653EF" w:rsidRPr="00121695" w:rsidRDefault="00F34D3C" w:rsidP="00BE0499">
            <w:pPr>
              <w:pStyle w:val="Pagrindinistekstas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210">
              <w:rPr>
                <w:rFonts w:ascii="Times New Roman" w:hAnsi="Times New Roman"/>
                <w:sz w:val="24"/>
                <w:szCs w:val="24"/>
                <w:lang w:eastAsia="lt-LT"/>
              </w:rPr>
              <w:t>1.2</w:t>
            </w:r>
            <w:r w:rsidRPr="00792CA0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7F1210">
              <w:rPr>
                <w:rFonts w:ascii="Times New Roman" w:hAnsi="Times New Roman"/>
                <w:sz w:val="24"/>
                <w:szCs w:val="24"/>
              </w:rPr>
              <w:t xml:space="preserve"> įstaiga, atsakinga už nacionalinio patikimo sąrašo sudarymą, tvarkymą ir skelbimą</w:t>
            </w:r>
            <w:r w:rsidRPr="007F1210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07" w:type="dxa"/>
          </w:tcPr>
          <w:p w14:paraId="73CAB3C1" w14:textId="77777777" w:rsidR="00F34D3C" w:rsidRDefault="00F34D3C" w:rsidP="00F20B5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Visiškas</w:t>
            </w:r>
          </w:p>
        </w:tc>
      </w:tr>
    </w:tbl>
    <w:p w14:paraId="6BC9ED90" w14:textId="4F05CFFC" w:rsidR="00E6144D" w:rsidRDefault="003E1D19" w:rsidP="00F37563">
      <w:pPr>
        <w:jc w:val="center"/>
      </w:pPr>
      <w:r>
        <w:rPr>
          <w:sz w:val="24"/>
          <w:szCs w:val="24"/>
        </w:rPr>
        <w:t>________________</w:t>
      </w:r>
      <w:r w:rsidR="00F37563">
        <w:rPr>
          <w:sz w:val="24"/>
          <w:szCs w:val="24"/>
        </w:rPr>
        <w:t>____</w:t>
      </w:r>
    </w:p>
    <w:sectPr w:rsidR="00E6144D" w:rsidSect="00C034F9">
      <w:headerReference w:type="even" r:id="rId6"/>
      <w:headerReference w:type="default" r:id="rId7"/>
      <w:pgSz w:w="16838" w:h="11906" w:orient="landscape" w:code="9"/>
      <w:pgMar w:top="709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3932" w14:textId="77777777" w:rsidR="0005097C" w:rsidRDefault="0005097C">
      <w:r>
        <w:separator/>
      </w:r>
    </w:p>
  </w:endnote>
  <w:endnote w:type="continuationSeparator" w:id="0">
    <w:p w14:paraId="64DCE2B2" w14:textId="77777777" w:rsidR="0005097C" w:rsidRDefault="0005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4741" w14:textId="77777777" w:rsidR="0005097C" w:rsidRDefault="0005097C">
      <w:r>
        <w:separator/>
      </w:r>
    </w:p>
  </w:footnote>
  <w:footnote w:type="continuationSeparator" w:id="0">
    <w:p w14:paraId="2E107FFE" w14:textId="77777777" w:rsidR="0005097C" w:rsidRDefault="0005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D009" w14:textId="77777777" w:rsidR="00240E1D" w:rsidRDefault="00F34D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F1CAC0" w14:textId="77777777" w:rsidR="00240E1D" w:rsidRDefault="000509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A94" w14:textId="77777777" w:rsidR="00240E1D" w:rsidRDefault="00F34D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01AA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21649B9" w14:textId="77777777" w:rsidR="00240E1D" w:rsidRDefault="000509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3C"/>
    <w:rsid w:val="0005097C"/>
    <w:rsid w:val="00067BEF"/>
    <w:rsid w:val="000B7223"/>
    <w:rsid w:val="000E437B"/>
    <w:rsid w:val="002143A6"/>
    <w:rsid w:val="00214E78"/>
    <w:rsid w:val="002B7ADD"/>
    <w:rsid w:val="002F1923"/>
    <w:rsid w:val="003A6049"/>
    <w:rsid w:val="003E1D19"/>
    <w:rsid w:val="0041007D"/>
    <w:rsid w:val="004C32BA"/>
    <w:rsid w:val="004F08D8"/>
    <w:rsid w:val="00560BBD"/>
    <w:rsid w:val="005A0620"/>
    <w:rsid w:val="00604ED0"/>
    <w:rsid w:val="00666618"/>
    <w:rsid w:val="006B243D"/>
    <w:rsid w:val="006F52FF"/>
    <w:rsid w:val="007027E5"/>
    <w:rsid w:val="007101AA"/>
    <w:rsid w:val="007253DE"/>
    <w:rsid w:val="00756035"/>
    <w:rsid w:val="007A26E7"/>
    <w:rsid w:val="007B396A"/>
    <w:rsid w:val="008653EF"/>
    <w:rsid w:val="00871066"/>
    <w:rsid w:val="008A4DE6"/>
    <w:rsid w:val="0094666C"/>
    <w:rsid w:val="009B6156"/>
    <w:rsid w:val="00A27DB8"/>
    <w:rsid w:val="00A610A4"/>
    <w:rsid w:val="00A71DFD"/>
    <w:rsid w:val="00AF44A4"/>
    <w:rsid w:val="00B01C88"/>
    <w:rsid w:val="00B0532E"/>
    <w:rsid w:val="00B16A2F"/>
    <w:rsid w:val="00B227B9"/>
    <w:rsid w:val="00B54491"/>
    <w:rsid w:val="00B74CE1"/>
    <w:rsid w:val="00BE0499"/>
    <w:rsid w:val="00C95247"/>
    <w:rsid w:val="00D21449"/>
    <w:rsid w:val="00DC5CC7"/>
    <w:rsid w:val="00E11DFA"/>
    <w:rsid w:val="00E555E5"/>
    <w:rsid w:val="00E6144D"/>
    <w:rsid w:val="00F34D3C"/>
    <w:rsid w:val="00F37563"/>
    <w:rsid w:val="00F70B14"/>
    <w:rsid w:val="00FA5A41"/>
    <w:rsid w:val="00FF073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F14F"/>
  <w15:chartTrackingRefBased/>
  <w15:docId w15:val="{7F1392B9-34A7-423C-8EF9-AF244C4A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3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34D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F34D3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uslapionumeris">
    <w:name w:val="page number"/>
    <w:basedOn w:val="Numatytasispastraiposriftas"/>
    <w:rsid w:val="00F34D3C"/>
  </w:style>
  <w:style w:type="character" w:styleId="Grietas">
    <w:name w:val="Strong"/>
    <w:qFormat/>
    <w:rsid w:val="00F34D3C"/>
    <w:rPr>
      <w:b/>
      <w:bCs/>
    </w:rPr>
  </w:style>
  <w:style w:type="paragraph" w:customStyle="1" w:styleId="prastasis1">
    <w:name w:val="Įprastasis1"/>
    <w:basedOn w:val="prastasis"/>
    <w:rsid w:val="00F34D3C"/>
    <w:pPr>
      <w:spacing w:before="120"/>
      <w:jc w:val="both"/>
    </w:pPr>
    <w:rPr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F34D3C"/>
    <w:pPr>
      <w:spacing w:after="120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4D3C"/>
    <w:rPr>
      <w:rFonts w:ascii="TimesLT" w:eastAsia="Times New Roman" w:hAnsi="TimesLT" w:cs="Times New Roman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F34D3C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34D3C"/>
    <w:rPr>
      <w:rFonts w:ascii="Times New Roman" w:eastAsia="SimSun" w:hAnsi="Times New Roman" w:cs="Times New Roman"/>
      <w:sz w:val="16"/>
      <w:szCs w:val="16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2018-11-05T14:45:00Z</dcterms:created>
  <dc:creator>Asta Balevičiūtė</dc:creator>
  <cp:lastModifiedBy>Inga Grinienė</cp:lastModifiedBy>
  <cp:lastPrinted>2018-10-23T05:57:00Z</cp:lastPrinted>
  <dcterms:modified xsi:type="dcterms:W3CDTF">2018-11-05T14:45:00Z</dcterms:modified>
  <cp:revision>2</cp:revision>
</cp:coreProperties>
</file>