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6596F" w14:textId="2FC5CE66" w:rsidR="008A3044" w:rsidRPr="00CF1CF0" w:rsidRDefault="00892770" w:rsidP="00C7136F">
      <w:pPr>
        <w:tabs>
          <w:tab w:val="left" w:pos="0"/>
        </w:tabs>
        <w:spacing w:after="0" w:line="240" w:lineRule="auto"/>
        <w:jc w:val="center"/>
        <w:rPr>
          <w:rFonts w:ascii="Times New Roman" w:eastAsia="Times New Roman" w:hAnsi="Times New Roman" w:cs="Times New Roman"/>
          <w:b/>
          <w:bCs/>
          <w:sz w:val="24"/>
          <w:szCs w:val="24"/>
          <w:lang w:eastAsia="lt-LT"/>
        </w:rPr>
      </w:pPr>
      <w:r w:rsidRPr="00CF1CF0">
        <w:rPr>
          <w:rFonts w:ascii="Times New Roman" w:hAnsi="Times New Roman" w:cs="Times New Roman"/>
          <w:b/>
          <w:bCs/>
          <w:sz w:val="24"/>
          <w:szCs w:val="24"/>
        </w:rPr>
        <w:t>DĖL LIETUVOS RESPUBLIKOS VYRIAUSYBĖS NUTARIMO „DĖL LIETUVOS RESPUBLIKOS VYRIAUSYBĖS 2012 M.</w:t>
      </w:r>
      <w:r w:rsidR="00711F20" w:rsidRPr="00CF1CF0">
        <w:rPr>
          <w:rFonts w:ascii="Times New Roman" w:hAnsi="Times New Roman" w:cs="Times New Roman"/>
          <w:b/>
          <w:bCs/>
          <w:sz w:val="24"/>
          <w:szCs w:val="24"/>
        </w:rPr>
        <w:t xml:space="preserve"> </w:t>
      </w:r>
      <w:r w:rsidRPr="00CF1CF0">
        <w:rPr>
          <w:rFonts w:ascii="Times New Roman" w:hAnsi="Times New Roman" w:cs="Times New Roman"/>
          <w:b/>
          <w:bCs/>
          <w:sz w:val="24"/>
          <w:szCs w:val="24"/>
        </w:rPr>
        <w:t>BALANDŽIO 18 D. NUTARIMO NR.</w:t>
      </w:r>
      <w:r w:rsidR="00711F20" w:rsidRPr="00CF1CF0">
        <w:rPr>
          <w:rFonts w:ascii="Times New Roman" w:hAnsi="Times New Roman" w:cs="Times New Roman"/>
          <w:b/>
          <w:bCs/>
          <w:sz w:val="24"/>
          <w:szCs w:val="24"/>
        </w:rPr>
        <w:t xml:space="preserve"> </w:t>
      </w:r>
      <w:r w:rsidRPr="00CF1CF0">
        <w:rPr>
          <w:rFonts w:ascii="Times New Roman" w:hAnsi="Times New Roman" w:cs="Times New Roman"/>
          <w:b/>
          <w:bCs/>
          <w:sz w:val="24"/>
          <w:szCs w:val="24"/>
        </w:rPr>
        <w:t>435 „DĖL ĮTARIAMŲJŲ, KALTINAMŲJŲ IR NUTEISTŲJŲ REGISTRO NUOSTATŲ PATVIRTINIMO IR VEIKLOS PRADŽIOS NUSTATYMO“ PAKEITIMO“ PROJEKTO</w:t>
      </w:r>
      <w:r w:rsidR="0052153B" w:rsidRPr="00CF1CF0">
        <w:rPr>
          <w:rFonts w:ascii="Times New Roman" w:hAnsi="Times New Roman" w:cs="Times New Roman"/>
          <w:b/>
          <w:bCs/>
          <w:sz w:val="24"/>
          <w:szCs w:val="24"/>
        </w:rPr>
        <w:t xml:space="preserve"> </w:t>
      </w:r>
      <w:r w:rsidR="008A3044" w:rsidRPr="00CF1CF0">
        <w:rPr>
          <w:rFonts w:ascii="Times New Roman" w:hAnsi="Times New Roman" w:cs="Times New Roman"/>
          <w:b/>
          <w:sz w:val="24"/>
          <w:szCs w:val="24"/>
        </w:rPr>
        <w:t>(TOLIAU –</w:t>
      </w:r>
      <w:r w:rsidR="00C67A09" w:rsidRPr="00CF1CF0">
        <w:rPr>
          <w:rFonts w:ascii="Times New Roman" w:hAnsi="Times New Roman" w:cs="Times New Roman"/>
          <w:b/>
          <w:sz w:val="24"/>
          <w:szCs w:val="24"/>
        </w:rPr>
        <w:t xml:space="preserve"> </w:t>
      </w:r>
      <w:r w:rsidR="00711F20" w:rsidRPr="00CF1CF0">
        <w:rPr>
          <w:rFonts w:ascii="Times New Roman" w:hAnsi="Times New Roman" w:cs="Times New Roman"/>
          <w:b/>
          <w:sz w:val="24"/>
          <w:szCs w:val="24"/>
        </w:rPr>
        <w:t>NUTARIMO</w:t>
      </w:r>
      <w:r w:rsidR="00B4070F" w:rsidRPr="00CF1CF0">
        <w:rPr>
          <w:rFonts w:ascii="Times New Roman" w:hAnsi="Times New Roman" w:cs="Times New Roman"/>
          <w:b/>
          <w:sz w:val="24"/>
          <w:szCs w:val="24"/>
        </w:rPr>
        <w:t xml:space="preserve"> </w:t>
      </w:r>
      <w:r w:rsidR="008A3044" w:rsidRPr="00CF1CF0">
        <w:rPr>
          <w:rFonts w:ascii="Times New Roman" w:hAnsi="Times New Roman" w:cs="Times New Roman"/>
          <w:b/>
          <w:sz w:val="24"/>
          <w:szCs w:val="24"/>
        </w:rPr>
        <w:t>PROJEKTAS)</w:t>
      </w:r>
    </w:p>
    <w:p w14:paraId="58C45054" w14:textId="1707832C" w:rsidR="00DA3BC9" w:rsidRPr="00CF1CF0" w:rsidRDefault="008A3044" w:rsidP="00C7136F">
      <w:pPr>
        <w:pStyle w:val="Antraste"/>
      </w:pPr>
      <w:r w:rsidRPr="00CF1CF0">
        <w:t>derinimo pažyma</w:t>
      </w:r>
    </w:p>
    <w:p w14:paraId="163FDF77" w14:textId="77777777" w:rsidR="00B47FE7" w:rsidRPr="0052153B" w:rsidRDefault="00B47FE7" w:rsidP="00C7136F">
      <w:pPr>
        <w:pStyle w:val="Antraste"/>
        <w:rPr>
          <w:sz w:val="23"/>
          <w:szCs w:val="23"/>
        </w:rPr>
      </w:pPr>
    </w:p>
    <w:tbl>
      <w:tblPr>
        <w:tblStyle w:val="Lentelstinklelis"/>
        <w:tblpPr w:leftFromText="180" w:rightFromText="180" w:vertAnchor="text" w:tblpY="1"/>
        <w:tblOverlap w:val="never"/>
        <w:tblW w:w="13745" w:type="dxa"/>
        <w:tblLayout w:type="fixed"/>
        <w:tblLook w:val="04A0" w:firstRow="1" w:lastRow="0" w:firstColumn="1" w:lastColumn="0" w:noHBand="0" w:noVBand="1"/>
      </w:tblPr>
      <w:tblGrid>
        <w:gridCol w:w="1673"/>
        <w:gridCol w:w="6686"/>
        <w:gridCol w:w="5386"/>
      </w:tblGrid>
      <w:tr w:rsidR="001C18E1" w:rsidRPr="00C01044" w14:paraId="728B41EA" w14:textId="77777777" w:rsidTr="00CF1CF0">
        <w:tc>
          <w:tcPr>
            <w:tcW w:w="1673" w:type="dxa"/>
          </w:tcPr>
          <w:p w14:paraId="69B5F75B" w14:textId="77777777" w:rsidR="00B00EB1" w:rsidRPr="00C01044" w:rsidRDefault="00B00EB1" w:rsidP="00CC6B7B">
            <w:pPr>
              <w:jc w:val="both"/>
              <w:rPr>
                <w:rFonts w:ascii="Times New Roman" w:hAnsi="Times New Roman" w:cs="Times New Roman"/>
                <w:b/>
              </w:rPr>
            </w:pPr>
            <w:r w:rsidRPr="00C01044">
              <w:rPr>
                <w:rFonts w:ascii="Times New Roman" w:hAnsi="Times New Roman" w:cs="Times New Roman"/>
                <w:b/>
              </w:rPr>
              <w:t>Institucijos pavadinimas, rašto data ir numeris</w:t>
            </w:r>
          </w:p>
        </w:tc>
        <w:tc>
          <w:tcPr>
            <w:tcW w:w="6686" w:type="dxa"/>
          </w:tcPr>
          <w:p w14:paraId="04DF41DE" w14:textId="77777777" w:rsidR="00B00EB1" w:rsidRPr="00C01044" w:rsidRDefault="00B00EB1" w:rsidP="00CC6B7B">
            <w:pPr>
              <w:tabs>
                <w:tab w:val="left" w:pos="497"/>
              </w:tabs>
              <w:jc w:val="both"/>
              <w:rPr>
                <w:rFonts w:ascii="Times New Roman" w:hAnsi="Times New Roman" w:cs="Times New Roman"/>
                <w:b/>
              </w:rPr>
            </w:pPr>
            <w:r w:rsidRPr="00C01044">
              <w:rPr>
                <w:rFonts w:ascii="Times New Roman" w:hAnsi="Times New Roman" w:cs="Times New Roman"/>
                <w:b/>
              </w:rPr>
              <w:t>Pastabos ir pasiūlymai</w:t>
            </w:r>
          </w:p>
        </w:tc>
        <w:tc>
          <w:tcPr>
            <w:tcW w:w="5386" w:type="dxa"/>
          </w:tcPr>
          <w:p w14:paraId="03EE9308" w14:textId="5373FB66" w:rsidR="00B00EB1" w:rsidRPr="00C01044" w:rsidRDefault="005F1260" w:rsidP="00CC6B7B">
            <w:pPr>
              <w:jc w:val="both"/>
              <w:rPr>
                <w:rFonts w:ascii="Times New Roman" w:hAnsi="Times New Roman" w:cs="Times New Roman"/>
                <w:b/>
              </w:rPr>
            </w:pPr>
            <w:r w:rsidRPr="00C01044">
              <w:rPr>
                <w:rFonts w:ascii="Times New Roman" w:hAnsi="Times New Roman" w:cs="Times New Roman"/>
                <w:b/>
                <w:bCs/>
              </w:rPr>
              <w:t>Žyma apie nepriimtas arba iš dalies priimtas pastabas ir pasiūlymus</w:t>
            </w:r>
            <w:r w:rsidR="002E5413" w:rsidRPr="00C01044">
              <w:rPr>
                <w:rFonts w:ascii="Times New Roman" w:hAnsi="Times New Roman" w:cs="Times New Roman"/>
                <w:b/>
                <w:bCs/>
              </w:rPr>
              <w:t>, nurodant motyvus</w:t>
            </w:r>
          </w:p>
        </w:tc>
      </w:tr>
      <w:tr w:rsidR="001C18E1" w:rsidRPr="00C01044" w14:paraId="6DF0E43F" w14:textId="77777777" w:rsidTr="00CF1CF0">
        <w:tc>
          <w:tcPr>
            <w:tcW w:w="1673" w:type="dxa"/>
          </w:tcPr>
          <w:p w14:paraId="636CAE0F" w14:textId="51BBF991" w:rsidR="00C03DFA" w:rsidRPr="00C01044" w:rsidRDefault="00FF4C01" w:rsidP="00F55A83">
            <w:pPr>
              <w:jc w:val="both"/>
              <w:rPr>
                <w:rFonts w:ascii="Times New Roman" w:hAnsi="Times New Roman" w:cs="Times New Roman"/>
              </w:rPr>
            </w:pPr>
            <w:r w:rsidRPr="00C01044">
              <w:rPr>
                <w:rFonts w:ascii="Times New Roman" w:hAnsi="Times New Roman" w:cs="Times New Roman"/>
              </w:rPr>
              <w:t>Informacinės visuomenės</w:t>
            </w:r>
            <w:r w:rsidR="006066FD" w:rsidRPr="00C01044">
              <w:rPr>
                <w:rFonts w:ascii="Times New Roman" w:hAnsi="Times New Roman" w:cs="Times New Roman"/>
              </w:rPr>
              <w:t xml:space="preserve"> plėtros</w:t>
            </w:r>
            <w:r w:rsidRPr="00C01044">
              <w:rPr>
                <w:rFonts w:ascii="Times New Roman" w:hAnsi="Times New Roman" w:cs="Times New Roman"/>
              </w:rPr>
              <w:t xml:space="preserve"> </w:t>
            </w:r>
            <w:r w:rsidR="00197813" w:rsidRPr="00C01044">
              <w:rPr>
                <w:rFonts w:ascii="Times New Roman" w:hAnsi="Times New Roman" w:cs="Times New Roman"/>
              </w:rPr>
              <w:t>komiteto</w:t>
            </w:r>
            <w:r w:rsidR="00F55A83" w:rsidRPr="00C01044">
              <w:rPr>
                <w:rFonts w:ascii="Times New Roman" w:hAnsi="Times New Roman" w:cs="Times New Roman"/>
              </w:rPr>
              <w:t> </w:t>
            </w:r>
            <w:r w:rsidR="00892770" w:rsidRPr="00C01044">
              <w:rPr>
                <w:rFonts w:ascii="Times New Roman" w:hAnsi="Times New Roman" w:cs="Times New Roman"/>
              </w:rPr>
              <w:t xml:space="preserve">prie </w:t>
            </w:r>
            <w:r w:rsidR="0018713E" w:rsidRPr="00C01044">
              <w:rPr>
                <w:rFonts w:ascii="Times New Roman" w:hAnsi="Times New Roman" w:cs="Times New Roman"/>
              </w:rPr>
              <w:t xml:space="preserve">Ūkio </w:t>
            </w:r>
            <w:r w:rsidRPr="00C01044">
              <w:rPr>
                <w:rFonts w:ascii="Times New Roman" w:hAnsi="Times New Roman" w:cs="Times New Roman"/>
              </w:rPr>
              <w:t xml:space="preserve">ministerijos </w:t>
            </w:r>
            <w:r w:rsidR="00892770" w:rsidRPr="00C01044">
              <w:rPr>
                <w:rFonts w:ascii="Times New Roman" w:hAnsi="Times New Roman" w:cs="Times New Roman"/>
              </w:rPr>
              <w:t>201</w:t>
            </w:r>
            <w:r w:rsidR="00506F23" w:rsidRPr="00C01044">
              <w:rPr>
                <w:rFonts w:ascii="Times New Roman" w:hAnsi="Times New Roman" w:cs="Times New Roman"/>
              </w:rPr>
              <w:t>9</w:t>
            </w:r>
            <w:r w:rsidR="003863C0" w:rsidRPr="00C01044">
              <w:rPr>
                <w:rFonts w:ascii="Times New Roman" w:hAnsi="Times New Roman" w:cs="Times New Roman"/>
              </w:rPr>
              <w:t xml:space="preserve"> m. </w:t>
            </w:r>
            <w:r w:rsidR="00506F23" w:rsidRPr="00C01044">
              <w:rPr>
                <w:rFonts w:ascii="Times New Roman" w:hAnsi="Times New Roman" w:cs="Times New Roman"/>
              </w:rPr>
              <w:t>vasario</w:t>
            </w:r>
            <w:r w:rsidR="003863C0" w:rsidRPr="00C01044">
              <w:rPr>
                <w:rFonts w:ascii="Times New Roman" w:hAnsi="Times New Roman" w:cs="Times New Roman"/>
              </w:rPr>
              <w:t xml:space="preserve"> </w:t>
            </w:r>
            <w:r w:rsidRPr="00C01044">
              <w:rPr>
                <w:rFonts w:ascii="Times New Roman" w:hAnsi="Times New Roman" w:cs="Times New Roman"/>
              </w:rPr>
              <w:t>2</w:t>
            </w:r>
            <w:r w:rsidR="00506F23" w:rsidRPr="00C01044">
              <w:rPr>
                <w:rFonts w:ascii="Times New Roman" w:hAnsi="Times New Roman" w:cs="Times New Roman"/>
              </w:rPr>
              <w:t>5</w:t>
            </w:r>
            <w:r w:rsidR="00F55A83" w:rsidRPr="00C01044">
              <w:rPr>
                <w:rFonts w:ascii="Times New Roman" w:hAnsi="Times New Roman" w:cs="Times New Roman"/>
              </w:rPr>
              <w:t> </w:t>
            </w:r>
            <w:r w:rsidR="003863C0" w:rsidRPr="00C01044">
              <w:rPr>
                <w:rFonts w:ascii="Times New Roman" w:hAnsi="Times New Roman" w:cs="Times New Roman"/>
              </w:rPr>
              <w:t xml:space="preserve">d. </w:t>
            </w:r>
            <w:r w:rsidR="00C03DFA" w:rsidRPr="00C01044">
              <w:rPr>
                <w:rFonts w:ascii="Times New Roman" w:hAnsi="Times New Roman" w:cs="Times New Roman"/>
              </w:rPr>
              <w:t>raštas Nr.</w:t>
            </w:r>
            <w:r w:rsidR="003863C0" w:rsidRPr="00C01044">
              <w:rPr>
                <w:rFonts w:ascii="Times New Roman" w:hAnsi="Times New Roman" w:cs="Times New Roman"/>
              </w:rPr>
              <w:t> </w:t>
            </w:r>
            <w:r w:rsidR="007A4649" w:rsidRPr="00C01044">
              <w:rPr>
                <w:rFonts w:ascii="Times New Roman" w:hAnsi="Times New Roman" w:cs="Times New Roman"/>
              </w:rPr>
              <w:t>S</w:t>
            </w:r>
            <w:r w:rsidR="00F55A83" w:rsidRPr="00C01044">
              <w:rPr>
                <w:rFonts w:ascii="Times New Roman" w:hAnsi="Times New Roman" w:cs="Times New Roman"/>
              </w:rPr>
              <w:noBreakHyphen/>
            </w:r>
            <w:r w:rsidR="00506F23" w:rsidRPr="00C01044">
              <w:rPr>
                <w:rFonts w:ascii="Times New Roman" w:hAnsi="Times New Roman" w:cs="Times New Roman"/>
              </w:rPr>
              <w:t>112</w:t>
            </w:r>
            <w:r w:rsidR="00C03DFA" w:rsidRPr="00C01044">
              <w:rPr>
                <w:rFonts w:ascii="Times New Roman" w:hAnsi="Times New Roman" w:cs="Times New Roman"/>
              </w:rPr>
              <w:t xml:space="preserve"> </w:t>
            </w:r>
          </w:p>
        </w:tc>
        <w:tc>
          <w:tcPr>
            <w:tcW w:w="6686" w:type="dxa"/>
          </w:tcPr>
          <w:p w14:paraId="5B5E5F9F" w14:textId="787386AB" w:rsidR="00C03DFA" w:rsidRPr="00C01044" w:rsidRDefault="007324BC" w:rsidP="007324BC">
            <w:pPr>
              <w:tabs>
                <w:tab w:val="left" w:pos="497"/>
              </w:tabs>
              <w:jc w:val="both"/>
              <w:rPr>
                <w:rFonts w:ascii="Times New Roman" w:hAnsi="Times New Roman" w:cs="Times New Roman"/>
              </w:rPr>
            </w:pPr>
            <w:r w:rsidRPr="00C01044">
              <w:rPr>
                <w:rFonts w:ascii="Times New Roman" w:hAnsi="Times New Roman" w:cs="Times New Roman"/>
              </w:rPr>
              <w:t>Siūlome vadovautis Registrų steigimo, kūrimo, reorganizavimo ir likvidavimo tvarkos aprašo, patvirtinto Lietuvos Respublikos Vyriausybės 2012 m. liepos 18 d. nutarimu Nr. 881, 19 punkto papunkčiais, ir Nuostatų 87 punkte nurodyti atlyginimo už Registro duomenų teikimą dydžius ir tvarką arba konkretų teisės aktą, nustatantį atlyginimo dydžius, Nuostatų 74 punktą tikslinti nurodant teisės aktus, ribojančius duomenų viešumą (kaip nurodyta Derinimo pažymoje) ir visame Nuostatų VII skyriuje atsisakyti perteklinės ir pasikartojančios informacijos.</w:t>
            </w:r>
          </w:p>
        </w:tc>
        <w:tc>
          <w:tcPr>
            <w:tcW w:w="5386" w:type="dxa"/>
          </w:tcPr>
          <w:p w14:paraId="3CF37FF3" w14:textId="77777777" w:rsidR="007324BC" w:rsidRPr="00C01044" w:rsidRDefault="007324BC" w:rsidP="007324BC">
            <w:pPr>
              <w:pStyle w:val="Sraopastraipa"/>
              <w:ind w:left="0"/>
              <w:jc w:val="both"/>
              <w:rPr>
                <w:rFonts w:ascii="Times New Roman" w:hAnsi="Times New Roman" w:cs="Times New Roman"/>
                <w:b/>
              </w:rPr>
            </w:pPr>
            <w:r w:rsidRPr="00C01044">
              <w:rPr>
                <w:rFonts w:ascii="Times New Roman" w:hAnsi="Times New Roman" w:cs="Times New Roman"/>
                <w:b/>
              </w:rPr>
              <w:t>Atsižvelgta iš dalies.</w:t>
            </w:r>
          </w:p>
          <w:p w14:paraId="648063F8" w14:textId="77777777" w:rsidR="007324BC" w:rsidRPr="00C01044" w:rsidRDefault="007324BC" w:rsidP="007324BC">
            <w:pPr>
              <w:pStyle w:val="Sraopastraipa"/>
              <w:ind w:left="0"/>
              <w:jc w:val="both"/>
              <w:rPr>
                <w:rFonts w:ascii="Times New Roman" w:hAnsi="Times New Roman" w:cs="Times New Roman"/>
              </w:rPr>
            </w:pPr>
            <w:r w:rsidRPr="00C01044">
              <w:rPr>
                <w:rFonts w:ascii="Times New Roman" w:hAnsi="Times New Roman" w:cs="Times New Roman"/>
              </w:rPr>
              <w:t>Nuostatų projekto VII skyrius patikslintas.</w:t>
            </w:r>
          </w:p>
          <w:p w14:paraId="2C880101" w14:textId="4B836F26" w:rsidR="007324BC" w:rsidRPr="00C01044" w:rsidRDefault="003B669D" w:rsidP="007324BC">
            <w:pPr>
              <w:pStyle w:val="Sraopastraipa"/>
              <w:ind w:left="0"/>
              <w:jc w:val="both"/>
              <w:rPr>
                <w:rFonts w:ascii="Times New Roman" w:hAnsi="Times New Roman" w:cs="Times New Roman"/>
              </w:rPr>
            </w:pPr>
            <w:r w:rsidRPr="00C01044">
              <w:rPr>
                <w:rFonts w:ascii="Times New Roman" w:hAnsi="Times New Roman" w:cs="Times New Roman"/>
              </w:rPr>
              <w:t>Manytina, kad pastaba teikiama ne dėl Nuostatų projekto 87 p</w:t>
            </w:r>
            <w:r w:rsidR="006848CF">
              <w:rPr>
                <w:rFonts w:ascii="Times New Roman" w:hAnsi="Times New Roman" w:cs="Times New Roman"/>
              </w:rPr>
              <w:t>unkto</w:t>
            </w:r>
            <w:r w:rsidR="006848CF" w:rsidRPr="00C01044">
              <w:rPr>
                <w:rFonts w:ascii="Times New Roman" w:hAnsi="Times New Roman" w:cs="Times New Roman"/>
              </w:rPr>
              <w:t xml:space="preserve">, </w:t>
            </w:r>
            <w:r w:rsidRPr="00C01044">
              <w:rPr>
                <w:rFonts w:ascii="Times New Roman" w:hAnsi="Times New Roman" w:cs="Times New Roman"/>
              </w:rPr>
              <w:t>o dėl Nuostatų projekto 7</w:t>
            </w:r>
            <w:r w:rsidR="008051B7" w:rsidRPr="00C01044">
              <w:rPr>
                <w:rFonts w:ascii="Times New Roman" w:hAnsi="Times New Roman" w:cs="Times New Roman"/>
              </w:rPr>
              <w:t>8</w:t>
            </w:r>
            <w:r w:rsidRPr="00C01044">
              <w:rPr>
                <w:rFonts w:ascii="Times New Roman" w:hAnsi="Times New Roman" w:cs="Times New Roman"/>
              </w:rPr>
              <w:t xml:space="preserve"> p</w:t>
            </w:r>
            <w:r w:rsidR="006848CF">
              <w:rPr>
                <w:rFonts w:ascii="Times New Roman" w:hAnsi="Times New Roman" w:cs="Times New Roman"/>
              </w:rPr>
              <w:t>unkto</w:t>
            </w:r>
            <w:r w:rsidRPr="00C01044">
              <w:rPr>
                <w:rFonts w:ascii="Times New Roman" w:hAnsi="Times New Roman" w:cs="Times New Roman"/>
              </w:rPr>
              <w:t xml:space="preserve"> </w:t>
            </w:r>
            <w:r w:rsidR="007324BC" w:rsidRPr="00C01044">
              <w:rPr>
                <w:rFonts w:ascii="Times New Roman" w:hAnsi="Times New Roman" w:cs="Times New Roman"/>
              </w:rPr>
              <w:t>Registrų steigimo, kūrimo, reorganizavimo ir likvidavimo tvarkos aprašo, patvirtinto Lietuvos Respublikos Vyriausybės 2012</w:t>
            </w:r>
            <w:r w:rsidR="006848CF">
              <w:rPr>
                <w:rFonts w:ascii="Times New Roman" w:hAnsi="Times New Roman" w:cs="Times New Roman"/>
              </w:rPr>
              <w:t> </w:t>
            </w:r>
            <w:r w:rsidR="007324BC" w:rsidRPr="00C01044">
              <w:rPr>
                <w:rFonts w:ascii="Times New Roman" w:hAnsi="Times New Roman" w:cs="Times New Roman"/>
              </w:rPr>
              <w:t>m. liepos 18 d. nutarimu Nr. 881 (toliau – Aprašas), 19</w:t>
            </w:r>
            <w:r w:rsidR="00506F23" w:rsidRPr="00C01044">
              <w:rPr>
                <w:rFonts w:ascii="Times New Roman" w:hAnsi="Times New Roman" w:cs="Times New Roman"/>
              </w:rPr>
              <w:t>.4</w:t>
            </w:r>
            <w:r w:rsidR="007324BC" w:rsidRPr="00C01044">
              <w:rPr>
                <w:rFonts w:ascii="Times New Roman" w:hAnsi="Times New Roman" w:cs="Times New Roman"/>
              </w:rPr>
              <w:t xml:space="preserve"> </w:t>
            </w:r>
            <w:r w:rsidR="00506F23" w:rsidRPr="00C01044">
              <w:rPr>
                <w:rFonts w:ascii="Times New Roman" w:hAnsi="Times New Roman" w:cs="Times New Roman"/>
              </w:rPr>
              <w:t>p</w:t>
            </w:r>
            <w:r w:rsidR="006848CF">
              <w:rPr>
                <w:rFonts w:ascii="Times New Roman" w:hAnsi="Times New Roman" w:cs="Times New Roman"/>
              </w:rPr>
              <w:t>apunktyje</w:t>
            </w:r>
            <w:r w:rsidR="00506F23" w:rsidRPr="00C01044">
              <w:rPr>
                <w:rFonts w:ascii="Times New Roman" w:hAnsi="Times New Roman" w:cs="Times New Roman"/>
              </w:rPr>
              <w:t xml:space="preserve"> nenustatytas reikalavimas tiksliai nurodyti teisės aktą, kuriuo patvirtinti atlyginimo už duomenų teikimą dydžiai. Pažymėtina, kad pakeitus Registro nuostatus, bus keičiamas ir Vyriausybės nutarimas, kuriuo patvirtinti atlyginimo už Registro duomenų teikimą dydžiai ir tikėtina, kad pasikeis minėto teisės akto pavadinimas.</w:t>
            </w:r>
            <w:r w:rsidR="007324BC" w:rsidRPr="00C01044">
              <w:rPr>
                <w:rFonts w:ascii="Times New Roman" w:hAnsi="Times New Roman" w:cs="Times New Roman"/>
              </w:rPr>
              <w:t xml:space="preserve"> </w:t>
            </w:r>
          </w:p>
          <w:p w14:paraId="35969C24" w14:textId="59AE4FCB" w:rsidR="00F42A6A" w:rsidRPr="00C01044" w:rsidRDefault="007324BC" w:rsidP="005A6CB8">
            <w:pPr>
              <w:pStyle w:val="Sraopastraipa"/>
              <w:ind w:left="0"/>
              <w:jc w:val="both"/>
              <w:rPr>
                <w:rFonts w:ascii="Times New Roman" w:hAnsi="Times New Roman" w:cs="Times New Roman"/>
              </w:rPr>
            </w:pPr>
            <w:r w:rsidRPr="00C01044">
              <w:rPr>
                <w:rFonts w:ascii="Times New Roman" w:hAnsi="Times New Roman" w:cs="Times New Roman"/>
              </w:rPr>
              <w:t>Be to</w:t>
            </w:r>
            <w:r w:rsidR="00B47FE7" w:rsidRPr="00C01044">
              <w:rPr>
                <w:rFonts w:ascii="Times New Roman" w:hAnsi="Times New Roman" w:cs="Times New Roman"/>
              </w:rPr>
              <w:t>,</w:t>
            </w:r>
            <w:r w:rsidR="005A6CB8" w:rsidRPr="00C01044">
              <w:rPr>
                <w:rFonts w:ascii="Times New Roman" w:hAnsi="Times New Roman" w:cs="Times New Roman"/>
              </w:rPr>
              <w:t xml:space="preserve"> </w:t>
            </w:r>
            <w:r w:rsidRPr="00C01044">
              <w:rPr>
                <w:rFonts w:ascii="Times New Roman" w:hAnsi="Times New Roman" w:cs="Times New Roman"/>
              </w:rPr>
              <w:t xml:space="preserve">Aprašo </w:t>
            </w:r>
            <w:r w:rsidR="005A6CB8" w:rsidRPr="00C01044">
              <w:rPr>
                <w:rFonts w:ascii="Times New Roman" w:hAnsi="Times New Roman" w:cs="Times New Roman"/>
              </w:rPr>
              <w:t xml:space="preserve">19 </w:t>
            </w:r>
            <w:r w:rsidRPr="00C01044">
              <w:rPr>
                <w:rFonts w:ascii="Times New Roman" w:hAnsi="Times New Roman" w:cs="Times New Roman"/>
              </w:rPr>
              <w:t xml:space="preserve">punkte </w:t>
            </w:r>
            <w:r w:rsidR="005A6CB8" w:rsidRPr="00C01044">
              <w:rPr>
                <w:rFonts w:ascii="Times New Roman" w:hAnsi="Times New Roman" w:cs="Times New Roman"/>
              </w:rPr>
              <w:t xml:space="preserve">nenustatomas </w:t>
            </w:r>
            <w:r w:rsidRPr="00C01044">
              <w:rPr>
                <w:rFonts w:ascii="Times New Roman" w:hAnsi="Times New Roman" w:cs="Times New Roman"/>
              </w:rPr>
              <w:t>reikala</w:t>
            </w:r>
            <w:r w:rsidR="005A6CB8" w:rsidRPr="00C01044">
              <w:rPr>
                <w:rFonts w:ascii="Times New Roman" w:hAnsi="Times New Roman" w:cs="Times New Roman"/>
              </w:rPr>
              <w:t>vimas</w:t>
            </w:r>
            <w:r w:rsidRPr="00C01044">
              <w:rPr>
                <w:rFonts w:ascii="Times New Roman" w:hAnsi="Times New Roman" w:cs="Times New Roman"/>
              </w:rPr>
              <w:t xml:space="preserve"> nuostatuose nurodyti</w:t>
            </w:r>
            <w:r w:rsidR="00B47FE7" w:rsidRPr="00C01044">
              <w:rPr>
                <w:rFonts w:ascii="Times New Roman" w:hAnsi="Times New Roman" w:cs="Times New Roman"/>
              </w:rPr>
              <w:t>,</w:t>
            </w:r>
            <w:r w:rsidRPr="00C01044">
              <w:rPr>
                <w:rFonts w:ascii="Times New Roman" w:hAnsi="Times New Roman" w:cs="Times New Roman"/>
              </w:rPr>
              <w:t xml:space="preserve"> kokiu teisės aktu vadovaujantis</w:t>
            </w:r>
            <w:r w:rsidR="00B47FE7" w:rsidRPr="00C01044">
              <w:rPr>
                <w:rFonts w:ascii="Times New Roman" w:hAnsi="Times New Roman" w:cs="Times New Roman"/>
              </w:rPr>
              <w:t>,</w:t>
            </w:r>
            <w:r w:rsidRPr="00C01044">
              <w:rPr>
                <w:rFonts w:ascii="Times New Roman" w:hAnsi="Times New Roman" w:cs="Times New Roman"/>
              </w:rPr>
              <w:t xml:space="preserve"> Registro duomenys ir Registro dokumentai yra nevieši.</w:t>
            </w:r>
          </w:p>
        </w:tc>
      </w:tr>
      <w:tr w:rsidR="003B2CFE" w:rsidRPr="00C01044" w14:paraId="394164EE" w14:textId="77777777" w:rsidTr="00CF1CF0">
        <w:tc>
          <w:tcPr>
            <w:tcW w:w="1673" w:type="dxa"/>
          </w:tcPr>
          <w:p w14:paraId="4A111CD5" w14:textId="340D95A2" w:rsidR="003B2CFE" w:rsidRPr="00C01044" w:rsidRDefault="003B2CFE" w:rsidP="00CC6B7B">
            <w:pPr>
              <w:jc w:val="both"/>
              <w:rPr>
                <w:rFonts w:ascii="Times New Roman" w:hAnsi="Times New Roman" w:cs="Times New Roman"/>
              </w:rPr>
            </w:pPr>
            <w:r w:rsidRPr="00C01044">
              <w:rPr>
                <w:rFonts w:ascii="Times New Roman" w:hAnsi="Times New Roman" w:cs="Times New Roman"/>
              </w:rPr>
              <w:t xml:space="preserve">Lietuvos Respublikos teisingumo </w:t>
            </w:r>
            <w:r w:rsidR="00DA46FE" w:rsidRPr="00C01044">
              <w:rPr>
                <w:rFonts w:ascii="Times New Roman" w:hAnsi="Times New Roman" w:cs="Times New Roman"/>
              </w:rPr>
              <w:t>ministerijos</w:t>
            </w:r>
          </w:p>
          <w:p w14:paraId="4D21C6BB" w14:textId="52C8F2BD" w:rsidR="003B2CFE" w:rsidRPr="00C01044" w:rsidRDefault="003B2CFE" w:rsidP="00543261">
            <w:pPr>
              <w:jc w:val="both"/>
              <w:rPr>
                <w:rFonts w:ascii="Times New Roman" w:hAnsi="Times New Roman" w:cs="Times New Roman"/>
              </w:rPr>
            </w:pPr>
            <w:r w:rsidRPr="00C01044">
              <w:rPr>
                <w:rFonts w:ascii="Times New Roman" w:hAnsi="Times New Roman" w:cs="Times New Roman"/>
              </w:rPr>
              <w:t>201</w:t>
            </w:r>
            <w:r w:rsidR="00543261" w:rsidRPr="00C01044">
              <w:rPr>
                <w:rFonts w:ascii="Times New Roman" w:hAnsi="Times New Roman" w:cs="Times New Roman"/>
              </w:rPr>
              <w:t>9</w:t>
            </w:r>
            <w:r w:rsidR="00DA46FE" w:rsidRPr="00C01044">
              <w:rPr>
                <w:rFonts w:ascii="Times New Roman" w:hAnsi="Times New Roman" w:cs="Times New Roman"/>
              </w:rPr>
              <w:t xml:space="preserve"> m. </w:t>
            </w:r>
            <w:r w:rsidR="00543261" w:rsidRPr="00C01044">
              <w:rPr>
                <w:rFonts w:ascii="Times New Roman" w:hAnsi="Times New Roman" w:cs="Times New Roman"/>
              </w:rPr>
              <w:t>vasario</w:t>
            </w:r>
            <w:r w:rsidR="00DA46FE" w:rsidRPr="00C01044">
              <w:rPr>
                <w:rFonts w:ascii="Times New Roman" w:hAnsi="Times New Roman" w:cs="Times New Roman"/>
              </w:rPr>
              <w:t xml:space="preserve"> </w:t>
            </w:r>
            <w:r w:rsidR="00543261" w:rsidRPr="00C01044">
              <w:rPr>
                <w:rFonts w:ascii="Times New Roman" w:hAnsi="Times New Roman" w:cs="Times New Roman"/>
              </w:rPr>
              <w:t>28</w:t>
            </w:r>
            <w:r w:rsidRPr="00C01044">
              <w:rPr>
                <w:rFonts w:ascii="Times New Roman" w:hAnsi="Times New Roman" w:cs="Times New Roman"/>
              </w:rPr>
              <w:t xml:space="preserve"> </w:t>
            </w:r>
            <w:r w:rsidR="00DA46FE" w:rsidRPr="00C01044">
              <w:rPr>
                <w:rFonts w:ascii="Times New Roman" w:hAnsi="Times New Roman" w:cs="Times New Roman"/>
              </w:rPr>
              <w:t xml:space="preserve">d. </w:t>
            </w:r>
            <w:r w:rsidRPr="00C01044">
              <w:rPr>
                <w:rFonts w:ascii="Times New Roman" w:hAnsi="Times New Roman" w:cs="Times New Roman"/>
              </w:rPr>
              <w:t>raštas Nr. (1.</w:t>
            </w:r>
            <w:r w:rsidR="00543261" w:rsidRPr="00C01044">
              <w:rPr>
                <w:rFonts w:ascii="Times New Roman" w:hAnsi="Times New Roman" w:cs="Times New Roman"/>
              </w:rPr>
              <w:t>27</w:t>
            </w:r>
            <w:r w:rsidRPr="00C01044">
              <w:rPr>
                <w:rFonts w:ascii="Times New Roman" w:hAnsi="Times New Roman" w:cs="Times New Roman"/>
              </w:rPr>
              <w:t>E) 2T-</w:t>
            </w:r>
            <w:r w:rsidR="00543261" w:rsidRPr="00C01044">
              <w:rPr>
                <w:rFonts w:ascii="Times New Roman" w:hAnsi="Times New Roman" w:cs="Times New Roman"/>
              </w:rPr>
              <w:t>190</w:t>
            </w:r>
          </w:p>
        </w:tc>
        <w:tc>
          <w:tcPr>
            <w:tcW w:w="6686" w:type="dxa"/>
          </w:tcPr>
          <w:p w14:paraId="23D1CF6C" w14:textId="0861ADAB" w:rsidR="003B2CFE" w:rsidRPr="00C01044" w:rsidRDefault="005A6CB8" w:rsidP="00CC6B7B">
            <w:pPr>
              <w:tabs>
                <w:tab w:val="left" w:pos="497"/>
              </w:tabs>
              <w:jc w:val="both"/>
              <w:rPr>
                <w:rFonts w:ascii="Times New Roman" w:hAnsi="Times New Roman" w:cs="Times New Roman"/>
              </w:rPr>
            </w:pPr>
            <w:r w:rsidRPr="00C01044">
              <w:rPr>
                <w:rFonts w:ascii="Times New Roman" w:hAnsi="Times New Roman" w:cs="Times New Roman"/>
              </w:rPr>
              <w:t>2. Svarstytina, ar nėra perteklinis Nuostatų projekto 9.7 papunktis. Informatikos ir ryšių departamentas yra paskirtas centrine institucija, atliekančia tam tikras 2016 m. liepos 6 d. Europos Parlamento ir Tarybos reglamento (ES) 2016/1191, kuriuo skatinamas laisvas piliečių judėjimas supaprastinant tam tikrų viešųjų dokumentų pateikimo Europos Sąjungoje reikalavimus ir iš dalies keičiamas Reglamentas (ES) Nr. 1024/2012, nustatytas funkcijas, tarp jų – ir minimas Nuostatų projekto 9.7 punkte, 2018 m. rugpjūčio 22 d. Lietuvos Respublikos Vyriausybės nutarimu „Dėl institucijų, atsakingų už Europos Parlamento ir Tarybos reglamente (ES) 2016/1191 nustatytų funkcijų vykdymą, paskyrimo 2 ir 5 punktuose. </w:t>
            </w:r>
          </w:p>
        </w:tc>
        <w:tc>
          <w:tcPr>
            <w:tcW w:w="5386" w:type="dxa"/>
          </w:tcPr>
          <w:p w14:paraId="6688DF19" w14:textId="2BE3BDCA" w:rsidR="005A6CB8" w:rsidRPr="00C01044" w:rsidRDefault="005A6CB8" w:rsidP="005A6CB8">
            <w:pPr>
              <w:jc w:val="both"/>
              <w:rPr>
                <w:rFonts w:ascii="Times New Roman" w:hAnsi="Times New Roman" w:cs="Times New Roman"/>
              </w:rPr>
            </w:pPr>
            <w:r w:rsidRPr="00C01044">
              <w:rPr>
                <w:rFonts w:ascii="Times New Roman" w:hAnsi="Times New Roman" w:cs="Times New Roman"/>
                <w:b/>
              </w:rPr>
              <w:t>Neatsižvelgta</w:t>
            </w:r>
            <w:r w:rsidRPr="00C01044">
              <w:rPr>
                <w:rFonts w:ascii="Times New Roman" w:hAnsi="Times New Roman" w:cs="Times New Roman"/>
              </w:rPr>
              <w:t>.</w:t>
            </w:r>
          </w:p>
          <w:p w14:paraId="430F33C2" w14:textId="180189CE" w:rsidR="003B2CFE" w:rsidRPr="00C01044" w:rsidRDefault="006006B3" w:rsidP="00CF1CF0">
            <w:pPr>
              <w:ind w:right="147"/>
              <w:jc w:val="both"/>
              <w:rPr>
                <w:rFonts w:ascii="Times New Roman" w:hAnsi="Times New Roman" w:cs="Times New Roman"/>
              </w:rPr>
            </w:pPr>
            <w:r w:rsidRPr="00C01044">
              <w:rPr>
                <w:rFonts w:ascii="Times New Roman" w:hAnsi="Times New Roman" w:cs="Times New Roman"/>
              </w:rPr>
              <w:t>Lietuvos Respublikos centrinės institucijos funkcijų vykdymas, vadovaujantis atitinkamais Europos Sąjungos teisės aktais, nurodytais Nuostatų projekto 9.5</w:t>
            </w:r>
            <w:r w:rsidR="00F55A83" w:rsidRPr="00C01044">
              <w:rPr>
                <w:rFonts w:ascii="Times New Roman" w:hAnsi="Times New Roman" w:cs="Times New Roman"/>
              </w:rPr>
              <w:t> –</w:t>
            </w:r>
            <w:r w:rsidRPr="00C01044">
              <w:rPr>
                <w:rFonts w:ascii="Times New Roman" w:hAnsi="Times New Roman" w:cs="Times New Roman"/>
              </w:rPr>
              <w:t xml:space="preserve">9.7 papunkčiuose, yra </w:t>
            </w:r>
            <w:r w:rsidR="00AF25DD" w:rsidRPr="00C01044">
              <w:rPr>
                <w:rFonts w:ascii="Times New Roman" w:hAnsi="Times New Roman" w:cs="Times New Roman"/>
              </w:rPr>
              <w:t>neatsiejamas nuo Informatikos ir ryšių departamento</w:t>
            </w:r>
            <w:r w:rsidRPr="00C01044">
              <w:rPr>
                <w:rFonts w:ascii="Times New Roman" w:hAnsi="Times New Roman" w:cs="Times New Roman"/>
              </w:rPr>
              <w:t xml:space="preserve"> </w:t>
            </w:r>
            <w:r w:rsidR="00F55A83" w:rsidRPr="00C01044">
              <w:rPr>
                <w:rFonts w:ascii="Times New Roman" w:hAnsi="Times New Roman" w:cs="Times New Roman"/>
              </w:rPr>
              <w:t>prie Lietuvos Respublikos vidaus reikalų ministerijos</w:t>
            </w:r>
            <w:r w:rsidR="000E0847" w:rsidRPr="00C01044">
              <w:rPr>
                <w:rFonts w:ascii="Times New Roman" w:hAnsi="Times New Roman" w:cs="Times New Roman"/>
              </w:rPr>
              <w:t xml:space="preserve"> (toliau –  Informatikos ir ryšių departamentas)</w:t>
            </w:r>
            <w:r w:rsidR="00F55A83" w:rsidRPr="00C01044">
              <w:rPr>
                <w:rFonts w:ascii="Times New Roman" w:hAnsi="Times New Roman" w:cs="Times New Roman"/>
              </w:rPr>
              <w:t xml:space="preserve"> </w:t>
            </w:r>
            <w:r w:rsidRPr="00C01044">
              <w:rPr>
                <w:rFonts w:ascii="Times New Roman" w:hAnsi="Times New Roman" w:cs="Times New Roman"/>
              </w:rPr>
              <w:t>–</w:t>
            </w:r>
            <w:r w:rsidR="00AF25DD" w:rsidRPr="00C01044">
              <w:rPr>
                <w:rFonts w:ascii="Times New Roman" w:hAnsi="Times New Roman" w:cs="Times New Roman"/>
              </w:rPr>
              <w:t xml:space="preserve"> kaip Registro valdytojo </w:t>
            </w:r>
            <w:r w:rsidRPr="00C01044">
              <w:rPr>
                <w:rFonts w:ascii="Times New Roman" w:hAnsi="Times New Roman" w:cs="Times New Roman"/>
              </w:rPr>
              <w:t xml:space="preserve">– </w:t>
            </w:r>
            <w:r w:rsidR="00AF25DD" w:rsidRPr="00C01044">
              <w:rPr>
                <w:rFonts w:ascii="Times New Roman" w:hAnsi="Times New Roman" w:cs="Times New Roman"/>
              </w:rPr>
              <w:t>veiklos</w:t>
            </w:r>
            <w:r w:rsidRPr="00C01044">
              <w:rPr>
                <w:rFonts w:ascii="Times New Roman" w:hAnsi="Times New Roman" w:cs="Times New Roman"/>
              </w:rPr>
              <w:t xml:space="preserve">, tvarkant Registro duomenis. Šių funkcijų vykdymas užtikrina tinkamą Lietuvos Respublikos tarptautinių įsipareigojimų įgyvendinimą ir prisideda prie prioritetinio Europos Sąjungos tikslo – suteikti Europos piliečiams </w:t>
            </w:r>
            <w:r w:rsidRPr="00C01044">
              <w:rPr>
                <w:rFonts w:ascii="Times New Roman" w:hAnsi="Times New Roman" w:cs="Times New Roman"/>
              </w:rPr>
              <w:lastRenderedPageBreak/>
              <w:t>aukštą saugumo lygį laisvės, saugumo ir teisingumo erdvėje.</w:t>
            </w:r>
            <w:r w:rsidR="00AF25DD" w:rsidRPr="00C01044">
              <w:rPr>
                <w:rFonts w:ascii="Times New Roman" w:hAnsi="Times New Roman" w:cs="Times New Roman"/>
              </w:rPr>
              <w:t xml:space="preserve"> </w:t>
            </w:r>
            <w:r w:rsidRPr="00C01044">
              <w:rPr>
                <w:rFonts w:ascii="Times New Roman" w:hAnsi="Times New Roman" w:cs="Times New Roman"/>
              </w:rPr>
              <w:t>Atsižvelgiant į minėtų funkcijų svarbą</w:t>
            </w:r>
            <w:r w:rsidR="00061AF6" w:rsidRPr="00C01044">
              <w:rPr>
                <w:rFonts w:ascii="Times New Roman" w:hAnsi="Times New Roman" w:cs="Times New Roman"/>
              </w:rPr>
              <w:t xml:space="preserve">, manome, kad jų </w:t>
            </w:r>
            <w:r w:rsidR="00AF25DD" w:rsidRPr="00C01044">
              <w:rPr>
                <w:rFonts w:ascii="Times New Roman" w:hAnsi="Times New Roman" w:cs="Times New Roman"/>
              </w:rPr>
              <w:t xml:space="preserve">reglamentavimas pagrindiniame Registro veiklą reglamentuojančiame teisės akte </w:t>
            </w:r>
            <w:r w:rsidR="005A6CB8" w:rsidRPr="00C01044">
              <w:rPr>
                <w:rFonts w:ascii="Times New Roman" w:hAnsi="Times New Roman" w:cs="Times New Roman"/>
              </w:rPr>
              <w:t>yra tinkam</w:t>
            </w:r>
            <w:r w:rsidR="00061AF6" w:rsidRPr="00C01044">
              <w:rPr>
                <w:rFonts w:ascii="Times New Roman" w:hAnsi="Times New Roman" w:cs="Times New Roman"/>
              </w:rPr>
              <w:t>as ir  nėra perteklinis.</w:t>
            </w:r>
          </w:p>
        </w:tc>
      </w:tr>
      <w:tr w:rsidR="005A6CB8" w:rsidRPr="00C01044" w14:paraId="5FD7B600" w14:textId="77777777" w:rsidTr="00CF1CF0">
        <w:tc>
          <w:tcPr>
            <w:tcW w:w="1673" w:type="dxa"/>
          </w:tcPr>
          <w:p w14:paraId="5F8AD55D" w14:textId="77777777" w:rsidR="005A6CB8" w:rsidRPr="00C01044" w:rsidRDefault="005A6CB8" w:rsidP="00CC6B7B">
            <w:pPr>
              <w:jc w:val="both"/>
              <w:rPr>
                <w:rFonts w:ascii="Times New Roman" w:hAnsi="Times New Roman" w:cs="Times New Roman"/>
              </w:rPr>
            </w:pPr>
          </w:p>
        </w:tc>
        <w:tc>
          <w:tcPr>
            <w:tcW w:w="6686" w:type="dxa"/>
          </w:tcPr>
          <w:p w14:paraId="6C28333D" w14:textId="0566CAF3" w:rsidR="005A6CB8" w:rsidRPr="00C01044" w:rsidRDefault="005A6CB8" w:rsidP="00CC6B7B">
            <w:pPr>
              <w:tabs>
                <w:tab w:val="left" w:pos="497"/>
              </w:tabs>
              <w:jc w:val="both"/>
              <w:rPr>
                <w:rFonts w:ascii="Times New Roman" w:hAnsi="Times New Roman" w:cs="Times New Roman"/>
              </w:rPr>
            </w:pPr>
            <w:r w:rsidRPr="00C01044">
              <w:rPr>
                <w:rFonts w:ascii="Times New Roman" w:hAnsi="Times New Roman" w:cs="Times New Roman"/>
              </w:rPr>
              <w:t>3. Nuostatų projekto 76.3 ir 78.3 papunkčiuose siūlome atsisakyti žodžių „teisės aktuose nustatytoms funkcijoms atlikti“. Atkreiptinas dėmesys, kad Registre tvarkomi asmens duomenys teikiami esant nors vienai iš Reglamento (ES) 2016/679 6 straipsnio 1 dalyje įtvirtintų sąlygų, o teikiant asmens duomenis valdžios institucijoms taikomos šios dalies c ar e punkte įtvirtintos sąlygos. Taigi teisėto tvarkymo sąlygos nustatytos Reglamente (ES) 2016/679, o Nuostatų projekto formuluotė, kad registro duomenys teikiami valstybės ir savivaldybių institucijoms ir įstaigoms teisės aktuose nustatytoms funkcijoms atlikti, susiaurina šias sąlygas.</w:t>
            </w:r>
          </w:p>
        </w:tc>
        <w:tc>
          <w:tcPr>
            <w:tcW w:w="5386" w:type="dxa"/>
          </w:tcPr>
          <w:p w14:paraId="1FA6E3F3" w14:textId="77777777" w:rsidR="005A6CB8" w:rsidRPr="00C01044" w:rsidRDefault="005A6CB8" w:rsidP="005A6CB8">
            <w:pPr>
              <w:jc w:val="both"/>
              <w:rPr>
                <w:rFonts w:ascii="Times New Roman" w:hAnsi="Times New Roman" w:cs="Times New Roman"/>
                <w:b/>
              </w:rPr>
            </w:pPr>
            <w:r w:rsidRPr="00C01044">
              <w:rPr>
                <w:rFonts w:ascii="Times New Roman" w:hAnsi="Times New Roman" w:cs="Times New Roman"/>
                <w:b/>
              </w:rPr>
              <w:t>Atsižvelgta iš dalies.</w:t>
            </w:r>
          </w:p>
          <w:p w14:paraId="5D429EEC" w14:textId="57E537E0" w:rsidR="005A6CB8" w:rsidRPr="00C01044" w:rsidRDefault="005A6CB8" w:rsidP="000E0847">
            <w:pPr>
              <w:jc w:val="both"/>
              <w:rPr>
                <w:rFonts w:ascii="Times New Roman" w:hAnsi="Times New Roman" w:cs="Times New Roman"/>
              </w:rPr>
            </w:pPr>
            <w:r w:rsidRPr="00C01044">
              <w:rPr>
                <w:rFonts w:ascii="Times New Roman" w:hAnsi="Times New Roman" w:cs="Times New Roman"/>
              </w:rPr>
              <w:t>Nuostatų projekto 76 p</w:t>
            </w:r>
            <w:r w:rsidR="006848CF">
              <w:rPr>
                <w:rFonts w:ascii="Times New Roman" w:hAnsi="Times New Roman" w:cs="Times New Roman"/>
              </w:rPr>
              <w:t>unkto</w:t>
            </w:r>
            <w:r w:rsidRPr="00C01044">
              <w:rPr>
                <w:rFonts w:ascii="Times New Roman" w:hAnsi="Times New Roman" w:cs="Times New Roman"/>
              </w:rPr>
              <w:t xml:space="preserve"> atsisakyta kaip perteklinio. Nuostatų projekto 7</w:t>
            </w:r>
            <w:r w:rsidR="008051B7" w:rsidRPr="00C01044">
              <w:rPr>
                <w:rFonts w:ascii="Times New Roman" w:hAnsi="Times New Roman" w:cs="Times New Roman"/>
              </w:rPr>
              <w:t>7</w:t>
            </w:r>
            <w:r w:rsidRPr="00C01044">
              <w:rPr>
                <w:rFonts w:ascii="Times New Roman" w:hAnsi="Times New Roman" w:cs="Times New Roman"/>
              </w:rPr>
              <w:t xml:space="preserve">.3 </w:t>
            </w:r>
            <w:r w:rsidR="00E93AE3" w:rsidRPr="00C01044">
              <w:rPr>
                <w:rFonts w:ascii="Times New Roman" w:hAnsi="Times New Roman" w:cs="Times New Roman"/>
              </w:rPr>
              <w:t>p</w:t>
            </w:r>
            <w:r w:rsidR="006848CF">
              <w:rPr>
                <w:rFonts w:ascii="Times New Roman" w:hAnsi="Times New Roman" w:cs="Times New Roman"/>
              </w:rPr>
              <w:t>apunkčio</w:t>
            </w:r>
            <w:r w:rsidR="00E93AE3" w:rsidRPr="00C01044">
              <w:rPr>
                <w:rFonts w:ascii="Times New Roman" w:hAnsi="Times New Roman" w:cs="Times New Roman"/>
              </w:rPr>
              <w:t xml:space="preserve"> </w:t>
            </w:r>
            <w:r w:rsidRPr="00C01044">
              <w:rPr>
                <w:rFonts w:ascii="Times New Roman" w:hAnsi="Times New Roman" w:cs="Times New Roman"/>
              </w:rPr>
              <w:t xml:space="preserve">formuluotė atitinka </w:t>
            </w:r>
            <w:r w:rsidR="000E0847" w:rsidRPr="00C01044">
              <w:rPr>
                <w:rFonts w:ascii="Times New Roman" w:hAnsi="Times New Roman" w:cs="Times New Roman"/>
              </w:rPr>
              <w:t>Lietuvos Respublikos v</w:t>
            </w:r>
            <w:r w:rsidRPr="00C01044">
              <w:rPr>
                <w:rFonts w:ascii="Times New Roman" w:hAnsi="Times New Roman" w:cs="Times New Roman"/>
              </w:rPr>
              <w:t xml:space="preserve">alstybės informacinių išteklių valdymo įstatymo </w:t>
            </w:r>
            <w:r w:rsidR="000E0847" w:rsidRPr="00C01044">
              <w:rPr>
                <w:rFonts w:ascii="Times New Roman" w:hAnsi="Times New Roman" w:cs="Times New Roman"/>
              </w:rPr>
              <w:t xml:space="preserve">(toliau – VIIVĮ) </w:t>
            </w:r>
            <w:r w:rsidRPr="00C01044">
              <w:rPr>
                <w:rFonts w:ascii="Times New Roman" w:hAnsi="Times New Roman" w:cs="Times New Roman"/>
              </w:rPr>
              <w:t xml:space="preserve">29 straipsnio 3 dalies 3 punkto </w:t>
            </w:r>
            <w:r w:rsidR="00B30002" w:rsidRPr="00C01044">
              <w:rPr>
                <w:rFonts w:ascii="Times New Roman" w:hAnsi="Times New Roman" w:cs="Times New Roman"/>
              </w:rPr>
              <w:t xml:space="preserve">(redakcija įsigaliojusi nuo 2019-01-01) </w:t>
            </w:r>
            <w:r w:rsidRPr="00C01044">
              <w:rPr>
                <w:rFonts w:ascii="Times New Roman" w:hAnsi="Times New Roman" w:cs="Times New Roman"/>
              </w:rPr>
              <w:t>nuostatas</w:t>
            </w:r>
          </w:p>
        </w:tc>
      </w:tr>
      <w:tr w:rsidR="00D06617" w:rsidRPr="00C01044" w14:paraId="70DA6924" w14:textId="77777777" w:rsidTr="00CF1CF0">
        <w:tc>
          <w:tcPr>
            <w:tcW w:w="1673" w:type="dxa"/>
          </w:tcPr>
          <w:p w14:paraId="1A2E5CF7" w14:textId="77777777" w:rsidR="00D06617" w:rsidRPr="00C01044" w:rsidRDefault="00D06617" w:rsidP="00D06617">
            <w:pPr>
              <w:jc w:val="both"/>
              <w:rPr>
                <w:rFonts w:ascii="Times New Roman" w:hAnsi="Times New Roman" w:cs="Times New Roman"/>
              </w:rPr>
            </w:pPr>
            <w:r w:rsidRPr="00C01044">
              <w:rPr>
                <w:rFonts w:ascii="Times New Roman" w:hAnsi="Times New Roman" w:cs="Times New Roman"/>
              </w:rPr>
              <w:t>Valstybinės mokesčių inspekcijos prie Lietuvos Respublikos finansų ministerijos</w:t>
            </w:r>
          </w:p>
          <w:p w14:paraId="3CCCB976" w14:textId="62664190" w:rsidR="00D06617" w:rsidRPr="00C01044" w:rsidRDefault="00D06617" w:rsidP="00E93AE3">
            <w:pPr>
              <w:jc w:val="both"/>
              <w:rPr>
                <w:rFonts w:ascii="Times New Roman" w:hAnsi="Times New Roman" w:cs="Times New Roman"/>
              </w:rPr>
            </w:pPr>
            <w:r w:rsidRPr="00C01044">
              <w:rPr>
                <w:rFonts w:ascii="Times New Roman" w:hAnsi="Times New Roman" w:cs="Times New Roman"/>
              </w:rPr>
              <w:t>2019</w:t>
            </w:r>
            <w:r w:rsidR="00982D82" w:rsidRPr="00C01044">
              <w:rPr>
                <w:rFonts w:ascii="Times New Roman" w:hAnsi="Times New Roman" w:cs="Times New Roman"/>
              </w:rPr>
              <w:t>-02-</w:t>
            </w:r>
            <w:r w:rsidRPr="00C01044">
              <w:rPr>
                <w:rFonts w:ascii="Times New Roman" w:hAnsi="Times New Roman" w:cs="Times New Roman"/>
              </w:rPr>
              <w:t>28 raštas</w:t>
            </w:r>
            <w:r w:rsidR="00E93AE3" w:rsidRPr="00C01044">
              <w:rPr>
                <w:rFonts w:ascii="Times New Roman" w:hAnsi="Times New Roman" w:cs="Times New Roman"/>
              </w:rPr>
              <w:t> </w:t>
            </w:r>
            <w:r w:rsidRPr="00C01044">
              <w:rPr>
                <w:rFonts w:ascii="Times New Roman" w:hAnsi="Times New Roman" w:cs="Times New Roman"/>
              </w:rPr>
              <w:t>Nr.</w:t>
            </w:r>
            <w:r w:rsidR="00E93AE3" w:rsidRPr="00C01044">
              <w:rPr>
                <w:rFonts w:ascii="Times New Roman" w:hAnsi="Times New Roman" w:cs="Times New Roman"/>
              </w:rPr>
              <w:t> </w:t>
            </w:r>
            <w:r w:rsidRPr="00C01044">
              <w:rPr>
                <w:rFonts w:ascii="Times New Roman" w:hAnsi="Times New Roman" w:cs="Times New Roman"/>
              </w:rPr>
              <w:t>(1.18-31-4</w:t>
            </w:r>
            <w:r w:rsidR="00E93AE3" w:rsidRPr="00C01044">
              <w:rPr>
                <w:rFonts w:ascii="Times New Roman" w:hAnsi="Times New Roman" w:cs="Times New Roman"/>
              </w:rPr>
              <w:t> </w:t>
            </w:r>
            <w:r w:rsidRPr="00C01044">
              <w:rPr>
                <w:rFonts w:ascii="Times New Roman" w:hAnsi="Times New Roman" w:cs="Times New Roman"/>
              </w:rPr>
              <w:t>E)</w:t>
            </w:r>
            <w:r w:rsidR="00E93AE3" w:rsidRPr="00C01044">
              <w:rPr>
                <w:rFonts w:ascii="Times New Roman" w:hAnsi="Times New Roman" w:cs="Times New Roman"/>
              </w:rPr>
              <w:t> </w:t>
            </w:r>
            <w:r w:rsidRPr="00C01044">
              <w:rPr>
                <w:rFonts w:ascii="Times New Roman" w:hAnsi="Times New Roman" w:cs="Times New Roman"/>
              </w:rPr>
              <w:t>R-1232</w:t>
            </w:r>
          </w:p>
        </w:tc>
        <w:tc>
          <w:tcPr>
            <w:tcW w:w="6686" w:type="dxa"/>
          </w:tcPr>
          <w:p w14:paraId="60A608A1" w14:textId="77777777" w:rsidR="00D06617" w:rsidRPr="00C01044" w:rsidRDefault="00D06617" w:rsidP="00D06617">
            <w:pPr>
              <w:jc w:val="both"/>
              <w:rPr>
                <w:rFonts w:ascii="Times New Roman" w:hAnsi="Times New Roman" w:cs="Times New Roman"/>
              </w:rPr>
            </w:pPr>
            <w:r w:rsidRPr="00C01044">
              <w:rPr>
                <w:rFonts w:ascii="Times New Roman" w:hAnsi="Times New Roman" w:cs="Times New Roman"/>
              </w:rPr>
              <w:t>1. Dėl Projekto 11.2–11.4, 12.2–12.4 papunkčių.</w:t>
            </w:r>
          </w:p>
          <w:p w14:paraId="5CA5F189" w14:textId="77777777" w:rsidR="00D06617" w:rsidRPr="00C01044" w:rsidRDefault="00D06617" w:rsidP="00D06617">
            <w:pPr>
              <w:ind w:firstLine="28"/>
              <w:jc w:val="both"/>
              <w:rPr>
                <w:rFonts w:ascii="Times New Roman" w:hAnsi="Times New Roman" w:cs="Times New Roman"/>
              </w:rPr>
            </w:pPr>
            <w:r w:rsidRPr="00C01044">
              <w:rPr>
                <w:rFonts w:ascii="Times New Roman" w:hAnsi="Times New Roman" w:cs="Times New Roman"/>
              </w:rPr>
              <w:t>Manome, kad tokie fizinių ir juridinių asmenų duomenys kaip asmens kodas (įrašomas, jeigu jis suteiktas Lietuvos Respublikos gyventojų registro įstatymo nustatyta tvarka),</w:t>
            </w:r>
            <w:r w:rsidRPr="00C01044">
              <w:rPr>
                <w:rFonts w:ascii="Times New Roman" w:hAnsi="Times New Roman" w:cs="Times New Roman"/>
                <w:lang w:eastAsia="lt-LT"/>
              </w:rPr>
              <w:t xml:space="preserve"> </w:t>
            </w:r>
            <w:r w:rsidRPr="00C01044">
              <w:rPr>
                <w:rFonts w:ascii="Times New Roman" w:hAnsi="Times New Roman" w:cs="Times New Roman"/>
              </w:rPr>
              <w:t>vardas (vardai),</w:t>
            </w:r>
            <w:r w:rsidRPr="00C01044">
              <w:rPr>
                <w:rFonts w:ascii="Times New Roman" w:hAnsi="Times New Roman" w:cs="Times New Roman"/>
                <w:lang w:eastAsia="lt-LT"/>
              </w:rPr>
              <w:t xml:space="preserve"> </w:t>
            </w:r>
            <w:r w:rsidRPr="00C01044">
              <w:rPr>
                <w:rFonts w:ascii="Times New Roman" w:hAnsi="Times New Roman" w:cs="Times New Roman"/>
              </w:rPr>
              <w:t>pavardė (pavardės),</w:t>
            </w:r>
            <w:r w:rsidRPr="00C01044">
              <w:rPr>
                <w:rFonts w:ascii="Times New Roman" w:hAnsi="Times New Roman" w:cs="Times New Roman"/>
                <w:lang w:eastAsia="lt-LT"/>
              </w:rPr>
              <w:t xml:space="preserve"> </w:t>
            </w:r>
            <w:r w:rsidRPr="00C01044">
              <w:rPr>
                <w:rFonts w:ascii="Times New Roman" w:hAnsi="Times New Roman" w:cs="Times New Roman"/>
              </w:rPr>
              <w:t>juridinio asmens kodas,</w:t>
            </w:r>
            <w:r w:rsidRPr="00C01044">
              <w:rPr>
                <w:rFonts w:ascii="Times New Roman" w:hAnsi="Times New Roman" w:cs="Times New Roman"/>
                <w:lang w:eastAsia="lt-LT"/>
              </w:rPr>
              <w:t xml:space="preserve"> </w:t>
            </w:r>
            <w:r w:rsidRPr="00C01044">
              <w:rPr>
                <w:rFonts w:ascii="Times New Roman" w:hAnsi="Times New Roman" w:cs="Times New Roman"/>
              </w:rPr>
              <w:t>pridėtinės vertės mokesčio mokėtojo kodas,</w:t>
            </w:r>
            <w:r w:rsidRPr="00C01044">
              <w:rPr>
                <w:rFonts w:ascii="Times New Roman" w:hAnsi="Times New Roman" w:cs="Times New Roman"/>
                <w:lang w:eastAsia="lt-LT"/>
              </w:rPr>
              <w:t xml:space="preserve"> </w:t>
            </w:r>
            <w:r w:rsidRPr="00C01044">
              <w:rPr>
                <w:rFonts w:ascii="Times New Roman" w:hAnsi="Times New Roman" w:cs="Times New Roman"/>
              </w:rPr>
              <w:t>pavadinimas</w:t>
            </w:r>
            <w:r w:rsidRPr="00C01044">
              <w:rPr>
                <w:rFonts w:ascii="Times New Roman" w:hAnsi="Times New Roman" w:cs="Times New Roman"/>
                <w:lang w:eastAsia="lt-LT"/>
              </w:rPr>
              <w:t xml:space="preserve"> </w:t>
            </w:r>
            <w:r w:rsidRPr="00C01044">
              <w:rPr>
                <w:rFonts w:ascii="Times New Roman" w:hAnsi="Times New Roman" w:cs="Times New Roman"/>
              </w:rPr>
              <w:t xml:space="preserve">turi būti teikiami atitinkamai iš Lietuvos Respublikos gyventojų registro ir Juridinių asmenų registro, bet ne iš </w:t>
            </w:r>
            <w:r w:rsidRPr="00C01044">
              <w:rPr>
                <w:rFonts w:ascii="Times New Roman" w:hAnsi="Times New Roman" w:cs="Times New Roman"/>
                <w:color w:val="000000"/>
              </w:rPr>
              <w:t>Valstybinės mokesčių inspekcijos Mokesčių apskaitos informacinės sistemos</w:t>
            </w:r>
            <w:r w:rsidRPr="00C01044">
              <w:rPr>
                <w:rFonts w:ascii="Times New Roman" w:hAnsi="Times New Roman" w:cs="Times New Roman"/>
              </w:rPr>
              <w:t xml:space="preserve"> (toliau –MAIS), kaip šiuo metu yra nurodyta Projekto 71.12 papunktyje.</w:t>
            </w:r>
          </w:p>
          <w:p w14:paraId="14F3BADD" w14:textId="77777777" w:rsidR="00D06617" w:rsidRPr="00C01044" w:rsidRDefault="00D06617" w:rsidP="00CC6B7B">
            <w:pPr>
              <w:tabs>
                <w:tab w:val="left" w:pos="497"/>
              </w:tabs>
              <w:jc w:val="both"/>
              <w:rPr>
                <w:rFonts w:ascii="Times New Roman" w:hAnsi="Times New Roman" w:cs="Times New Roman"/>
              </w:rPr>
            </w:pPr>
          </w:p>
        </w:tc>
        <w:tc>
          <w:tcPr>
            <w:tcW w:w="5386" w:type="dxa"/>
          </w:tcPr>
          <w:p w14:paraId="5EDE42C1" w14:textId="77777777" w:rsidR="00D06617" w:rsidRPr="00C01044" w:rsidRDefault="00D06617" w:rsidP="00D06617">
            <w:pPr>
              <w:jc w:val="both"/>
              <w:rPr>
                <w:rFonts w:ascii="Times New Roman" w:hAnsi="Times New Roman" w:cs="Times New Roman"/>
                <w:b/>
              </w:rPr>
            </w:pPr>
            <w:r w:rsidRPr="00C01044">
              <w:rPr>
                <w:rFonts w:ascii="Times New Roman" w:hAnsi="Times New Roman" w:cs="Times New Roman"/>
                <w:b/>
              </w:rPr>
              <w:t>Neatsižvelgta.</w:t>
            </w:r>
          </w:p>
          <w:p w14:paraId="0FB3DC34" w14:textId="0F9D7DAB" w:rsidR="00D06617" w:rsidRPr="00C01044" w:rsidRDefault="00D06617" w:rsidP="00D06617">
            <w:pPr>
              <w:jc w:val="both"/>
              <w:rPr>
                <w:rFonts w:ascii="Times New Roman" w:hAnsi="Times New Roman" w:cs="Times New Roman"/>
              </w:rPr>
            </w:pPr>
            <w:r w:rsidRPr="00C01044">
              <w:rPr>
                <w:rFonts w:ascii="Times New Roman" w:hAnsi="Times New Roman" w:cs="Times New Roman"/>
              </w:rPr>
              <w:t>Fizinių ir juridinių asmenų duomenys, nurodyti Projekto 11</w:t>
            </w:r>
            <w:r w:rsidR="00E93AE3" w:rsidRPr="00C01044">
              <w:rPr>
                <w:rFonts w:ascii="Times New Roman" w:hAnsi="Times New Roman" w:cs="Times New Roman"/>
              </w:rPr>
              <w:t>–</w:t>
            </w:r>
            <w:r w:rsidRPr="00C01044">
              <w:rPr>
                <w:rFonts w:ascii="Times New Roman" w:hAnsi="Times New Roman" w:cs="Times New Roman"/>
              </w:rPr>
              <w:t>12 punktuose, gaunami iš visų susijusių registrų ir informacinių sistemų, siekiant tinkamai identifikuoti asmenis ir užtikrinti tvarkomų duomenų teisingumą, tikslumą ir išsamumą</w:t>
            </w:r>
            <w:r w:rsidR="00E93AE3" w:rsidRPr="00C01044">
              <w:rPr>
                <w:rFonts w:ascii="Times New Roman" w:hAnsi="Times New Roman" w:cs="Times New Roman"/>
              </w:rPr>
              <w:t>,</w:t>
            </w:r>
            <w:r w:rsidRPr="00C01044">
              <w:rPr>
                <w:rFonts w:ascii="Times New Roman" w:hAnsi="Times New Roman" w:cs="Times New Roman"/>
              </w:rPr>
              <w:t xml:space="preserve"> kaip to reikalauja </w:t>
            </w:r>
            <w:r w:rsidR="008B3E52" w:rsidRPr="00C01044">
              <w:rPr>
                <w:rFonts w:ascii="Times New Roman" w:hAnsi="Times New Roman" w:cs="Times New Roman"/>
              </w:rPr>
              <w:t>VIIVĮ</w:t>
            </w:r>
            <w:r w:rsidRPr="00C01044">
              <w:rPr>
                <w:rFonts w:ascii="Times New Roman" w:hAnsi="Times New Roman" w:cs="Times New Roman"/>
              </w:rPr>
              <w:t xml:space="preserve"> ir 2016</w:t>
            </w:r>
            <w:r w:rsidR="003805D8" w:rsidRPr="00C01044">
              <w:rPr>
                <w:rFonts w:ascii="Times New Roman" w:hAnsi="Times New Roman" w:cs="Times New Roman"/>
              </w:rPr>
              <w:t> </w:t>
            </w:r>
            <w:r w:rsidRPr="00C01044">
              <w:rPr>
                <w:rFonts w:ascii="Times New Roman" w:hAnsi="Times New Roman" w:cs="Times New Roman"/>
              </w:rPr>
              <w:t>m. balandžio 27 d. Europos Parlamento ir Tarybos reglamentas (ES) 2016/679 dėl fizinių asmenų apsaugos tvarkant asmens duomenis ir dėl laisvo tokių duomenų judėjimo ir kuriuo panaikinama Direktyva 95/46/EB (Bendrasis duomenų apsaugos reglamentas). Duomenų teikėjams, teikiant duomenis be asmens duomenų, bet kokių duomenų tvarkymas (išskyrus statistinius duomenis) registre ar valstybės informacinėje sistemoje būtų neįmanomas.</w:t>
            </w:r>
          </w:p>
          <w:p w14:paraId="65545F57" w14:textId="27EAD52D" w:rsidR="00D06617" w:rsidRPr="00C01044" w:rsidRDefault="00D06617" w:rsidP="006848CF">
            <w:pPr>
              <w:jc w:val="both"/>
              <w:rPr>
                <w:rFonts w:ascii="Times New Roman" w:hAnsi="Times New Roman" w:cs="Times New Roman"/>
                <w:b/>
              </w:rPr>
            </w:pPr>
            <w:r w:rsidRPr="00C01044">
              <w:rPr>
                <w:rFonts w:ascii="Times New Roman" w:hAnsi="Times New Roman" w:cs="Times New Roman"/>
              </w:rPr>
              <w:t>Pastaboje nurodytų fizinių ir juridinių asmenų duomenų teikimas iš Mokesčių apskaitos informacinės sistemos nustatytas ir Valstybinės mokesčių inspekcijos ir Informatikos ir ryšių departamento 2016-08-23 pasirašytoje Duomenų teikimo sutartyje Nr. (1.43-04-2)-270-33/(6-4)15R-107.</w:t>
            </w:r>
          </w:p>
        </w:tc>
      </w:tr>
      <w:tr w:rsidR="00D06617" w:rsidRPr="00C01044" w14:paraId="1B7899CF" w14:textId="77777777" w:rsidTr="00CF1CF0">
        <w:tc>
          <w:tcPr>
            <w:tcW w:w="1673" w:type="dxa"/>
          </w:tcPr>
          <w:p w14:paraId="2444ECD6" w14:textId="77777777" w:rsidR="00D06617" w:rsidRPr="00C01044" w:rsidRDefault="00D06617" w:rsidP="00CC6B7B">
            <w:pPr>
              <w:jc w:val="both"/>
              <w:rPr>
                <w:rFonts w:ascii="Times New Roman" w:hAnsi="Times New Roman" w:cs="Times New Roman"/>
              </w:rPr>
            </w:pPr>
          </w:p>
        </w:tc>
        <w:tc>
          <w:tcPr>
            <w:tcW w:w="6686" w:type="dxa"/>
          </w:tcPr>
          <w:p w14:paraId="1CB8801F" w14:textId="77777777" w:rsidR="00D06617" w:rsidRPr="00C01044" w:rsidRDefault="00D06617" w:rsidP="00D06617">
            <w:pPr>
              <w:tabs>
                <w:tab w:val="left" w:pos="28"/>
              </w:tabs>
              <w:jc w:val="both"/>
              <w:rPr>
                <w:rFonts w:ascii="Times New Roman" w:hAnsi="Times New Roman" w:cs="Times New Roman"/>
              </w:rPr>
            </w:pPr>
            <w:r w:rsidRPr="00C01044">
              <w:rPr>
                <w:rFonts w:ascii="Times New Roman" w:hAnsi="Times New Roman" w:cs="Times New Roman"/>
              </w:rPr>
              <w:t>3. Dėl 11.2 papunkčio.</w:t>
            </w:r>
          </w:p>
          <w:p w14:paraId="033E8D96" w14:textId="6D17F163" w:rsidR="00D06617" w:rsidRPr="00C01044" w:rsidRDefault="00D06617" w:rsidP="00D06617">
            <w:pPr>
              <w:tabs>
                <w:tab w:val="left" w:pos="497"/>
              </w:tabs>
              <w:jc w:val="both"/>
              <w:rPr>
                <w:rFonts w:ascii="Times New Roman" w:hAnsi="Times New Roman" w:cs="Times New Roman"/>
              </w:rPr>
            </w:pPr>
            <w:r w:rsidRPr="00C01044">
              <w:rPr>
                <w:rFonts w:ascii="Times New Roman" w:hAnsi="Times New Roman" w:cs="Times New Roman"/>
              </w:rPr>
              <w:t xml:space="preserve">Pagal Projekto 11.2 papunktį, vienas iš tvarkomų duomenų Įtariamųjų, kaltinamųjų ir nuteistųjų registre (toliau – IKNR) yra asmens kodas </w:t>
            </w:r>
            <w:r w:rsidRPr="00C01044">
              <w:rPr>
                <w:rFonts w:ascii="Times New Roman" w:hAnsi="Times New Roman" w:cs="Times New Roman"/>
              </w:rPr>
              <w:lastRenderedPageBreak/>
              <w:t>(įrašomas, jeigu jis suteiktas Lietuvos Respublikos gyventojų registro įstatymo nustatyta tvarka). Tačiau tuo atveju, jeigu nėra Lietuvos Respublikos asmens kodo, manome, kad turi būti fiksuojamas kitos šalies asmens kodas, jeigu jis yra žinomas, ir atitinkamos valstybės kodas. Šis ir toliau siūlomi tvarkomų duomenų papildymai reikalingi, siekiant identifikuoti užsieniečius, kai iš ĮKNR bus teikiami atsakymai apie fizinius asmenis, kuriems VMI prie FM pateiks paklausimus apie jų baustumą, siekiant nustatyti jų atitikimą minimaliems patikimo mokesčių mokėtojo kriterijams (pagal Lietuvos Respublikos mokesčių administravimo įstatymo 40¹ straipsnį).</w:t>
            </w:r>
          </w:p>
        </w:tc>
        <w:tc>
          <w:tcPr>
            <w:tcW w:w="5386" w:type="dxa"/>
          </w:tcPr>
          <w:p w14:paraId="50710ECB" w14:textId="77777777" w:rsidR="00D06617" w:rsidRPr="00C01044" w:rsidRDefault="00D06617" w:rsidP="00D06617">
            <w:pPr>
              <w:jc w:val="both"/>
              <w:rPr>
                <w:rFonts w:ascii="Times New Roman" w:hAnsi="Times New Roman" w:cs="Times New Roman"/>
                <w:b/>
              </w:rPr>
            </w:pPr>
            <w:r w:rsidRPr="00C01044">
              <w:rPr>
                <w:rFonts w:ascii="Times New Roman" w:hAnsi="Times New Roman" w:cs="Times New Roman"/>
                <w:b/>
              </w:rPr>
              <w:lastRenderedPageBreak/>
              <w:t>Neatsižvelgta.</w:t>
            </w:r>
          </w:p>
          <w:p w14:paraId="11CA5DAE" w14:textId="723CA11F" w:rsidR="00D06617" w:rsidRPr="00C01044" w:rsidRDefault="00D06617" w:rsidP="006F194A">
            <w:pPr>
              <w:jc w:val="both"/>
              <w:rPr>
                <w:rFonts w:ascii="Times New Roman" w:hAnsi="Times New Roman" w:cs="Times New Roman"/>
                <w:b/>
              </w:rPr>
            </w:pPr>
            <w:r w:rsidRPr="00C01044">
              <w:rPr>
                <w:rFonts w:ascii="Times New Roman" w:hAnsi="Times New Roman" w:cs="Times New Roman"/>
              </w:rPr>
              <w:t xml:space="preserve">Duomenys apie užsienio </w:t>
            </w:r>
            <w:r w:rsidR="006F194A" w:rsidRPr="00C01044">
              <w:rPr>
                <w:rFonts w:ascii="Times New Roman" w:hAnsi="Times New Roman" w:cs="Times New Roman"/>
              </w:rPr>
              <w:t xml:space="preserve">piliečiui </w:t>
            </w:r>
            <w:r w:rsidRPr="00C01044">
              <w:rPr>
                <w:rFonts w:ascii="Times New Roman" w:hAnsi="Times New Roman" w:cs="Times New Roman"/>
              </w:rPr>
              <w:t xml:space="preserve">užsienio šalyje suteiktą asmens kodą susijusiuose registruose ir informacinėse </w:t>
            </w:r>
            <w:r w:rsidRPr="00C01044">
              <w:rPr>
                <w:rFonts w:ascii="Times New Roman" w:hAnsi="Times New Roman" w:cs="Times New Roman"/>
              </w:rPr>
              <w:lastRenderedPageBreak/>
              <w:t>sistemose nėra kaupiami ir sąveikos būdu iš minėtų registrų ir sistemų negaunami. Asmenų identifikavimui naudojami kiti Projekto 11 punkte nurodyti asmens duomenys.</w:t>
            </w:r>
          </w:p>
        </w:tc>
      </w:tr>
      <w:tr w:rsidR="00D06617" w:rsidRPr="00C01044" w14:paraId="76D15A30" w14:textId="77777777" w:rsidTr="00CF1CF0">
        <w:tc>
          <w:tcPr>
            <w:tcW w:w="1673" w:type="dxa"/>
          </w:tcPr>
          <w:p w14:paraId="4B8FB0CB" w14:textId="77777777" w:rsidR="00D06617" w:rsidRPr="00C01044" w:rsidRDefault="00D06617" w:rsidP="00CC6B7B">
            <w:pPr>
              <w:jc w:val="both"/>
              <w:rPr>
                <w:rFonts w:ascii="Times New Roman" w:hAnsi="Times New Roman" w:cs="Times New Roman"/>
              </w:rPr>
            </w:pPr>
          </w:p>
        </w:tc>
        <w:tc>
          <w:tcPr>
            <w:tcW w:w="6686" w:type="dxa"/>
          </w:tcPr>
          <w:p w14:paraId="212288A9" w14:textId="77777777" w:rsidR="00D06617" w:rsidRPr="00C01044" w:rsidRDefault="00D06617" w:rsidP="00D06617">
            <w:pPr>
              <w:tabs>
                <w:tab w:val="left" w:pos="497"/>
              </w:tabs>
              <w:jc w:val="both"/>
              <w:rPr>
                <w:rFonts w:ascii="Times New Roman" w:hAnsi="Times New Roman" w:cs="Times New Roman"/>
              </w:rPr>
            </w:pPr>
            <w:r w:rsidRPr="00C01044">
              <w:rPr>
                <w:rFonts w:ascii="Times New Roman" w:hAnsi="Times New Roman" w:cs="Times New Roman"/>
              </w:rPr>
              <w:t>5. Dėl 11.16 papunkčio.</w:t>
            </w:r>
          </w:p>
          <w:p w14:paraId="627E2B9E" w14:textId="44E173F7" w:rsidR="00D06617" w:rsidRPr="00C01044" w:rsidRDefault="00D06617" w:rsidP="00D06617">
            <w:pPr>
              <w:tabs>
                <w:tab w:val="left" w:pos="28"/>
              </w:tabs>
              <w:jc w:val="both"/>
              <w:rPr>
                <w:rFonts w:ascii="Times New Roman" w:hAnsi="Times New Roman" w:cs="Times New Roman"/>
              </w:rPr>
            </w:pPr>
            <w:r w:rsidRPr="00C01044">
              <w:rPr>
                <w:rFonts w:ascii="Times New Roman" w:hAnsi="Times New Roman" w:cs="Times New Roman"/>
              </w:rPr>
              <w:t>Siūlome Projekto 11.16 papunktį papildyti valstybės, išdavusios dokumentą, kodu, siekiant identifikuoti užsienio asmenis.</w:t>
            </w:r>
          </w:p>
        </w:tc>
        <w:tc>
          <w:tcPr>
            <w:tcW w:w="5386" w:type="dxa"/>
          </w:tcPr>
          <w:p w14:paraId="5E80A512" w14:textId="77777777" w:rsidR="00D06617" w:rsidRPr="00C01044" w:rsidRDefault="00D06617" w:rsidP="00D06617">
            <w:pPr>
              <w:jc w:val="both"/>
              <w:rPr>
                <w:rFonts w:ascii="Times New Roman" w:hAnsi="Times New Roman" w:cs="Times New Roman"/>
                <w:b/>
              </w:rPr>
            </w:pPr>
            <w:r w:rsidRPr="00C01044">
              <w:rPr>
                <w:rFonts w:ascii="Times New Roman" w:hAnsi="Times New Roman" w:cs="Times New Roman"/>
                <w:b/>
              </w:rPr>
              <w:t>Neatsižvelgta.</w:t>
            </w:r>
          </w:p>
          <w:p w14:paraId="1D5C3E5E" w14:textId="1AFE2324" w:rsidR="00D06617" w:rsidRPr="00C01044" w:rsidRDefault="00D06617" w:rsidP="00D06617">
            <w:pPr>
              <w:jc w:val="both"/>
              <w:rPr>
                <w:rFonts w:ascii="Times New Roman" w:hAnsi="Times New Roman" w:cs="Times New Roman"/>
                <w:b/>
              </w:rPr>
            </w:pPr>
            <w:r w:rsidRPr="00C01044">
              <w:rPr>
                <w:rFonts w:ascii="Times New Roman" w:hAnsi="Times New Roman" w:cs="Times New Roman"/>
              </w:rPr>
              <w:t>Projekto 11.16 papunkčio duomenys, vadovaujantis Projekto 13 punktu ir 71.7 papunkčiu gaunami iš Europos nuosprendžių registrų informacinės sistemos (ECRIS) pagal Tarybos pamatinį sprendimą 2009/315/TVR dėl valstybių narių keitimosi informacija iš nuosprendžių registro organizavimo ir turinio, kuris nenumato ir nesuteikia teisės E</w:t>
            </w:r>
            <w:r w:rsidR="006F194A" w:rsidRPr="00C01044">
              <w:rPr>
                <w:rFonts w:ascii="Times New Roman" w:hAnsi="Times New Roman" w:cs="Times New Roman"/>
              </w:rPr>
              <w:t xml:space="preserve">uropos </w:t>
            </w:r>
            <w:r w:rsidRPr="00C01044">
              <w:rPr>
                <w:rFonts w:ascii="Times New Roman" w:hAnsi="Times New Roman" w:cs="Times New Roman"/>
              </w:rPr>
              <w:t>S</w:t>
            </w:r>
            <w:r w:rsidR="006F194A" w:rsidRPr="00C01044">
              <w:rPr>
                <w:rFonts w:ascii="Times New Roman" w:hAnsi="Times New Roman" w:cs="Times New Roman"/>
              </w:rPr>
              <w:t>ąjungos</w:t>
            </w:r>
            <w:r w:rsidRPr="00C01044">
              <w:rPr>
                <w:rFonts w:ascii="Times New Roman" w:hAnsi="Times New Roman" w:cs="Times New Roman"/>
              </w:rPr>
              <w:t xml:space="preserve"> valstybėms narėms keistis informacija apie asmens dokumentą išdavusią valstybę (kodą).</w:t>
            </w:r>
          </w:p>
        </w:tc>
      </w:tr>
      <w:tr w:rsidR="00982D82" w:rsidRPr="00C01044" w14:paraId="2799AAE9" w14:textId="77777777" w:rsidTr="00CF1CF0">
        <w:tc>
          <w:tcPr>
            <w:tcW w:w="1673" w:type="dxa"/>
          </w:tcPr>
          <w:p w14:paraId="69B43F65" w14:textId="437CFB23" w:rsidR="00982D82" w:rsidRPr="00C01044" w:rsidRDefault="00982D82" w:rsidP="00CC6B7B">
            <w:pPr>
              <w:jc w:val="both"/>
              <w:rPr>
                <w:rFonts w:ascii="Times New Roman" w:hAnsi="Times New Roman" w:cs="Times New Roman"/>
              </w:rPr>
            </w:pPr>
            <w:r w:rsidRPr="00C01044">
              <w:rPr>
                <w:rFonts w:ascii="Times New Roman" w:hAnsi="Times New Roman" w:cs="Times New Roman"/>
              </w:rPr>
              <w:t>Europos teisės departamento prie Lietuvos Respublikos teisingumo ministerijos 2019-02-22 raštas Nr. 115</w:t>
            </w:r>
          </w:p>
        </w:tc>
        <w:tc>
          <w:tcPr>
            <w:tcW w:w="6686" w:type="dxa"/>
          </w:tcPr>
          <w:p w14:paraId="42F1019F" w14:textId="072DCE19" w:rsidR="00982D82" w:rsidRPr="00C01044" w:rsidRDefault="00982D82" w:rsidP="00D06617">
            <w:pPr>
              <w:tabs>
                <w:tab w:val="left" w:pos="497"/>
              </w:tabs>
              <w:jc w:val="both"/>
              <w:rPr>
                <w:rFonts w:ascii="Times New Roman" w:hAnsi="Times New Roman" w:cs="Times New Roman"/>
              </w:rPr>
            </w:pPr>
            <w:r w:rsidRPr="00C01044">
              <w:rPr>
                <w:rFonts w:ascii="Times New Roman" w:hAnsi="Times New Roman" w:cs="Times New Roman"/>
              </w:rPr>
              <w:t>4. Atkreipiame dėmesį, kad kai kurios Atitikties lentelėje nurodytos Informatikos ir ryšių departamento prie Lietuvos Respublikos vidaus reikalų ministerijos direktoriaus 2012 m. rugpjūčio 10 d. įsakymo Nr. 5V-67 „Dėl Įtariamųjų, kaltinamųjų ir nuteistųjų registro objektų registravimo ir duomenų teikimo taisyklių patvirtinimo“ nuostatos turėtų būti keičiamos siekiant jas suderinti su 2016 m. balandžio 27 d. Europos Parlamento ir Tarybos reglamentu (ES) 2016/679 dėl fizinių asmenų apsaugos tvarkant asmens duomenis ir dėl laisvo tokių duomenų judėjimo ir kuriuo panaikinama Direktyva 95/46/EB (Bendrasis duomenų apsaugos reglamentas).</w:t>
            </w:r>
          </w:p>
        </w:tc>
        <w:tc>
          <w:tcPr>
            <w:tcW w:w="5386" w:type="dxa"/>
          </w:tcPr>
          <w:p w14:paraId="034854C6" w14:textId="77777777" w:rsidR="00982D82" w:rsidRPr="00C01044" w:rsidRDefault="00982D82" w:rsidP="00D06617">
            <w:pPr>
              <w:jc w:val="both"/>
              <w:rPr>
                <w:rFonts w:ascii="Times New Roman" w:hAnsi="Times New Roman" w:cs="Times New Roman"/>
                <w:b/>
              </w:rPr>
            </w:pPr>
            <w:r w:rsidRPr="00C01044">
              <w:rPr>
                <w:rFonts w:ascii="Times New Roman" w:hAnsi="Times New Roman" w:cs="Times New Roman"/>
                <w:b/>
              </w:rPr>
              <w:t>Neatsižvelgta.</w:t>
            </w:r>
          </w:p>
          <w:p w14:paraId="32D81B3C" w14:textId="7700E0D5" w:rsidR="00982D82" w:rsidRPr="00C01044" w:rsidRDefault="00982D82" w:rsidP="00061AF6">
            <w:pPr>
              <w:jc w:val="both"/>
              <w:rPr>
                <w:rFonts w:ascii="Times New Roman" w:hAnsi="Times New Roman" w:cs="Times New Roman"/>
              </w:rPr>
            </w:pPr>
            <w:r w:rsidRPr="00C01044">
              <w:rPr>
                <w:rFonts w:ascii="Times New Roman" w:hAnsi="Times New Roman" w:cs="Times New Roman"/>
              </w:rPr>
              <w:t>Įta</w:t>
            </w:r>
            <w:r w:rsidR="009444BA" w:rsidRPr="00C01044">
              <w:rPr>
                <w:rFonts w:ascii="Times New Roman" w:hAnsi="Times New Roman" w:cs="Times New Roman"/>
              </w:rPr>
              <w:t>r</w:t>
            </w:r>
            <w:r w:rsidRPr="00C01044">
              <w:rPr>
                <w:rFonts w:ascii="Times New Roman" w:hAnsi="Times New Roman" w:cs="Times New Roman"/>
              </w:rPr>
              <w:t>iamųjų, kaltinamųjų ir nuteistųjų registro objektų</w:t>
            </w:r>
            <w:r w:rsidR="009444BA" w:rsidRPr="00C01044">
              <w:rPr>
                <w:rFonts w:ascii="Times New Roman" w:hAnsi="Times New Roman" w:cs="Times New Roman"/>
              </w:rPr>
              <w:t xml:space="preserve"> registravimo ir duomenų teikimo taisyklės, patvirtintos </w:t>
            </w:r>
            <w:r w:rsidRPr="00C01044">
              <w:rPr>
                <w:rFonts w:ascii="Times New Roman" w:hAnsi="Times New Roman" w:cs="Times New Roman"/>
              </w:rPr>
              <w:t>Informatikos ir ryšių departamento prie Lietuvos Respublikos vidaus reikalų ministerijos direktoriaus 2012</w:t>
            </w:r>
            <w:r w:rsidR="006848CF">
              <w:rPr>
                <w:rFonts w:ascii="Times New Roman" w:hAnsi="Times New Roman" w:cs="Times New Roman"/>
              </w:rPr>
              <w:t> </w:t>
            </w:r>
            <w:r w:rsidRPr="00C01044">
              <w:rPr>
                <w:rFonts w:ascii="Times New Roman" w:hAnsi="Times New Roman" w:cs="Times New Roman"/>
              </w:rPr>
              <w:t>m. rugpjūčio 10 d. įsakym</w:t>
            </w:r>
            <w:r w:rsidR="009444BA" w:rsidRPr="00C01044">
              <w:rPr>
                <w:rFonts w:ascii="Times New Roman" w:hAnsi="Times New Roman" w:cs="Times New Roman"/>
              </w:rPr>
              <w:t>u</w:t>
            </w:r>
            <w:r w:rsidRPr="00C01044">
              <w:rPr>
                <w:rFonts w:ascii="Times New Roman" w:hAnsi="Times New Roman" w:cs="Times New Roman"/>
              </w:rPr>
              <w:t xml:space="preserve"> Nr. 5V-67 „Dėl Įtariamųjų, kaltinamųjų ir nuteistųjų registro objektų registravimo ir duomenų teikimo taisyklių patvirtinimo“</w:t>
            </w:r>
            <w:r w:rsidR="009444BA" w:rsidRPr="00C01044">
              <w:rPr>
                <w:rFonts w:ascii="Times New Roman" w:hAnsi="Times New Roman" w:cs="Times New Roman"/>
              </w:rPr>
              <w:t xml:space="preserve"> bus keičiamos</w:t>
            </w:r>
            <w:r w:rsidR="00061AF6" w:rsidRPr="00C01044">
              <w:rPr>
                <w:rFonts w:ascii="Times New Roman" w:hAnsi="Times New Roman" w:cs="Times New Roman"/>
              </w:rPr>
              <w:t>,</w:t>
            </w:r>
            <w:r w:rsidR="009444BA" w:rsidRPr="00C01044">
              <w:rPr>
                <w:rFonts w:ascii="Times New Roman" w:hAnsi="Times New Roman" w:cs="Times New Roman"/>
              </w:rPr>
              <w:t xml:space="preserve"> p</w:t>
            </w:r>
            <w:r w:rsidR="00061AF6" w:rsidRPr="00C01044">
              <w:rPr>
                <w:rFonts w:ascii="Times New Roman" w:hAnsi="Times New Roman" w:cs="Times New Roman"/>
              </w:rPr>
              <w:t>riėmus N</w:t>
            </w:r>
            <w:r w:rsidR="009444BA" w:rsidRPr="00C01044">
              <w:rPr>
                <w:rFonts w:ascii="Times New Roman" w:hAnsi="Times New Roman" w:cs="Times New Roman"/>
              </w:rPr>
              <w:t>uostatų p</w:t>
            </w:r>
            <w:r w:rsidR="00061AF6" w:rsidRPr="00C01044">
              <w:rPr>
                <w:rFonts w:ascii="Times New Roman" w:hAnsi="Times New Roman" w:cs="Times New Roman"/>
              </w:rPr>
              <w:t>rojektą.</w:t>
            </w:r>
          </w:p>
        </w:tc>
      </w:tr>
      <w:tr w:rsidR="00FB6791" w:rsidRPr="00C01044" w14:paraId="487907A9" w14:textId="77777777" w:rsidTr="00CF1CF0">
        <w:tc>
          <w:tcPr>
            <w:tcW w:w="1673" w:type="dxa"/>
          </w:tcPr>
          <w:p w14:paraId="2B503B67" w14:textId="08E8F28B" w:rsidR="00FB6791" w:rsidRPr="00C01044" w:rsidRDefault="00FB6791" w:rsidP="00FB6791">
            <w:pPr>
              <w:jc w:val="both"/>
              <w:rPr>
                <w:rFonts w:ascii="Times New Roman" w:hAnsi="Times New Roman" w:cs="Times New Roman"/>
              </w:rPr>
            </w:pPr>
            <w:r w:rsidRPr="00C01044">
              <w:rPr>
                <w:rFonts w:ascii="Times New Roman" w:hAnsi="Times New Roman" w:cs="Times New Roman"/>
              </w:rPr>
              <w:t>Lietuvos Respublikos Vyriausybės kanceliarijos Teisės grupės 2019-01-16 išvada Nr. NV-139</w:t>
            </w:r>
          </w:p>
        </w:tc>
        <w:tc>
          <w:tcPr>
            <w:tcW w:w="6686" w:type="dxa"/>
          </w:tcPr>
          <w:p w14:paraId="511116C9" w14:textId="007F5F71" w:rsidR="0038133B" w:rsidRPr="00C01044" w:rsidRDefault="00061AF6" w:rsidP="00061AF6">
            <w:pPr>
              <w:tabs>
                <w:tab w:val="left" w:pos="497"/>
              </w:tabs>
              <w:jc w:val="both"/>
              <w:rPr>
                <w:rFonts w:ascii="Times New Roman" w:hAnsi="Times New Roman" w:cs="Times New Roman"/>
              </w:rPr>
            </w:pPr>
            <w:r w:rsidRPr="00C01044">
              <w:rPr>
                <w:rFonts w:ascii="Times New Roman" w:hAnsi="Times New Roman" w:cs="Times New Roman"/>
              </w:rPr>
              <w:t xml:space="preserve">1. </w:t>
            </w:r>
            <w:r w:rsidR="00B21CBA" w:rsidRPr="00C01044">
              <w:rPr>
                <w:rFonts w:ascii="Times New Roman" w:hAnsi="Times New Roman" w:cs="Times New Roman"/>
              </w:rPr>
              <w:t xml:space="preserve">Teikime Vyriausybei nurodyta, kad siūloma patikslinti Įtariamųjų, kaltinamųjų ir nuteistųjų registro (toliau – Registras) tvarkytojų sąrašą, todėl Projekte siūlomų patvirtinti Įtariamųjų, kaltinamųjų ir nuteistųjų registro nuostatų (toliau – Nuostatai) 8 punkte </w:t>
            </w:r>
            <w:r w:rsidR="00B21CBA" w:rsidRPr="00C01044">
              <w:rPr>
                <w:rFonts w:ascii="Times New Roman" w:hAnsi="Times New Roman" w:cs="Times New Roman"/>
                <w:i/>
              </w:rPr>
              <w:t xml:space="preserve">keičiami </w:t>
            </w:r>
            <w:r w:rsidR="00B21CBA" w:rsidRPr="00C01044">
              <w:rPr>
                <w:rFonts w:ascii="Times New Roman" w:hAnsi="Times New Roman" w:cs="Times New Roman"/>
              </w:rPr>
              <w:t xml:space="preserve">Registro tvarkytojai (juo paskiriamas tik </w:t>
            </w:r>
            <w:bookmarkStart w:id="0" w:name="_Hlk535415557"/>
            <w:r w:rsidR="00B21CBA" w:rsidRPr="00C01044">
              <w:rPr>
                <w:rFonts w:ascii="Times New Roman" w:hAnsi="Times New Roman" w:cs="Times New Roman"/>
              </w:rPr>
              <w:t>Informatikos ir ryšių departamentas prie Vidaus reikalų ministerijos</w:t>
            </w:r>
            <w:bookmarkEnd w:id="0"/>
            <w:r w:rsidR="00B21CBA" w:rsidRPr="00C01044">
              <w:rPr>
                <w:rFonts w:ascii="Times New Roman" w:hAnsi="Times New Roman" w:cs="Times New Roman"/>
              </w:rPr>
              <w:t xml:space="preserve">, atsisakant Lietuvos Respublikos Prezidento kanceliarijos, ikiteisminio tyrimo įstaigos ir kitų). Pažymėtina, kad pagal Valstybės informacinių išteklių valdymo įstatymo (toliau – Įstatymas) 20 </w:t>
            </w:r>
            <w:r w:rsidR="00B21CBA" w:rsidRPr="00C01044">
              <w:rPr>
                <w:rFonts w:ascii="Times New Roman" w:hAnsi="Times New Roman" w:cs="Times New Roman"/>
              </w:rPr>
              <w:lastRenderedPageBreak/>
              <w:t xml:space="preserve">straipsnio 1  dalies nuostatas </w:t>
            </w:r>
            <w:r w:rsidR="00B21CBA" w:rsidRPr="00C01044">
              <w:rPr>
                <w:rFonts w:ascii="Times New Roman" w:hAnsi="Times New Roman" w:cs="Times New Roman"/>
                <w:i/>
              </w:rPr>
              <w:t>keičiant registro tvarkytojus registras turi būti reorganizuojamas.</w:t>
            </w:r>
            <w:r w:rsidR="00B21CBA" w:rsidRPr="00C01044">
              <w:rPr>
                <w:rFonts w:ascii="Times New Roman" w:hAnsi="Times New Roman" w:cs="Times New Roman"/>
              </w:rPr>
              <w:t xml:space="preserve"> Atsižvelgdami į tai, siūlome Projektą papildyti Įstatymo 20 straipsnio 4 dalį įgyvendinančiomis nuostatomis, nes reorganizuojant registrą turi būti nustatyta registro reorganizavimo pabaiga, registro valdytojo ir registro tvarkytojo teisės ir pareigos registro reorganizavimo laikotarpiu, keistini teisės aktai, registro duomenų, registro informacijos, registrui pateiktų dokumentų ir (arba) jų kopijų perdavimo tvarka, terminai, registro išduotų dokumentų ir (arba) jų kopijų galiojimas, teikėjų ir gavėjų informavimo tvarka, registro objekto registravimo registre tęstinumo užtikrinimo priemonės ir (arba) kitos registro reorganizavimo sąlygos. Atitinkamai tikslinant Projekte nauja redakcija dėstomo nutarimo preambulę, duodant nuorodą ir į Įstatymo 20 straipsnio 1 dalį ir atsižvelgiant į tai, kad duodama nuoroda į tos pačios teisinės galios teisės aktą, atsisakytina Registrų steigimo, kūrimo, reorganizavimo ir likvidavimo tvarkos aprašo, patvirtinto Lietuvos Respublikos Vyriausybės 2012 m. liepos 18 d. nutarimu Nr. 881 (toliau – Aprašas) įvardinimo. </w:t>
            </w:r>
            <w:bookmarkStart w:id="1" w:name="_Hlk535333031"/>
          </w:p>
          <w:p w14:paraId="4003B21D" w14:textId="17A3F0CB" w:rsidR="00FB6791" w:rsidRPr="00C01044" w:rsidRDefault="00B21CBA" w:rsidP="0038133B">
            <w:pPr>
              <w:pStyle w:val="Sraopastraipa"/>
              <w:tabs>
                <w:tab w:val="left" w:pos="497"/>
              </w:tabs>
              <w:ind w:left="0"/>
              <w:jc w:val="both"/>
              <w:rPr>
                <w:rFonts w:ascii="Times New Roman" w:hAnsi="Times New Roman" w:cs="Times New Roman"/>
              </w:rPr>
            </w:pPr>
            <w:r w:rsidRPr="00C01044">
              <w:rPr>
                <w:rFonts w:ascii="Times New Roman" w:hAnsi="Times New Roman" w:cs="Times New Roman"/>
              </w:rPr>
              <w:t xml:space="preserve">Be to, atkreiptinas dėmesys, kad </w:t>
            </w:r>
            <w:bookmarkStart w:id="2" w:name="_Hlk535331461"/>
            <w:r w:rsidRPr="00C01044">
              <w:rPr>
                <w:rFonts w:ascii="Times New Roman" w:hAnsi="Times New Roman" w:cs="Times New Roman"/>
              </w:rPr>
              <w:t>Įtariamųjų, kaltinamųjų ir nuteistųjų registro įstatymas</w:t>
            </w:r>
            <w:bookmarkEnd w:id="2"/>
            <w:r w:rsidRPr="00C01044">
              <w:rPr>
                <w:rFonts w:ascii="Times New Roman" w:hAnsi="Times New Roman" w:cs="Times New Roman"/>
              </w:rPr>
              <w:t xml:space="preserve"> neatitinka Įstatymo nuostatų, nes šis įstatymas turi paskirti registro valdytoją, o registro tvarkytojas paskiriamas Vyriausybės priimtu teisės aktu, kuriuo tvirtinami registro nuostatai, o šiame įstatyme gali būti nustatyti tik įgaliojimai Vyriausybei paskirti valstybės registro tvarkytoją. Taip pat Įtariamųjų, kaltinamųjų ir nuteistųjų registro įstatymo sąvokos neatitinka Įstatyme vartojamų sąvokų (pvz., „registro tvarkytojas“), todėl turėtų būti tikslinamas įstatyminis reguliavimas.</w:t>
            </w:r>
            <w:bookmarkEnd w:id="1"/>
          </w:p>
        </w:tc>
        <w:tc>
          <w:tcPr>
            <w:tcW w:w="5386" w:type="dxa"/>
          </w:tcPr>
          <w:p w14:paraId="00971826" w14:textId="77777777" w:rsidR="00FB6791" w:rsidRPr="00C01044" w:rsidRDefault="00B21CBA" w:rsidP="00CC6B7B">
            <w:pPr>
              <w:jc w:val="both"/>
              <w:rPr>
                <w:rFonts w:ascii="Times New Roman" w:hAnsi="Times New Roman" w:cs="Times New Roman"/>
                <w:b/>
                <w:bCs/>
              </w:rPr>
            </w:pPr>
            <w:r w:rsidRPr="00C01044">
              <w:rPr>
                <w:rFonts w:ascii="Times New Roman" w:hAnsi="Times New Roman" w:cs="Times New Roman"/>
                <w:b/>
                <w:bCs/>
              </w:rPr>
              <w:lastRenderedPageBreak/>
              <w:t>Atsižvelgta iš dalies.</w:t>
            </w:r>
          </w:p>
          <w:p w14:paraId="5B838CEF" w14:textId="560845EE" w:rsidR="004B1D9A" w:rsidRPr="00C01044" w:rsidRDefault="004B1D9A" w:rsidP="004B1D9A">
            <w:pPr>
              <w:jc w:val="both"/>
              <w:rPr>
                <w:rFonts w:ascii="Times New Roman" w:hAnsi="Times New Roman" w:cs="Times New Roman"/>
                <w:bCs/>
              </w:rPr>
            </w:pPr>
            <w:r w:rsidRPr="00C01044">
              <w:rPr>
                <w:rFonts w:ascii="Times New Roman" w:hAnsi="Times New Roman" w:cs="Times New Roman"/>
                <w:bCs/>
              </w:rPr>
              <w:t>Registro valdytoju ir Registro tvarkytoju išlieka Informatikos ir ryšių departamentas . VIIVĮ</w:t>
            </w:r>
            <w:r w:rsidR="003805D8" w:rsidRPr="00C01044">
              <w:rPr>
                <w:rFonts w:ascii="Times New Roman" w:hAnsi="Times New Roman" w:cs="Times New Roman"/>
                <w:bCs/>
              </w:rPr>
              <w:t xml:space="preserve"> </w:t>
            </w:r>
            <w:r w:rsidRPr="00C01044">
              <w:rPr>
                <w:rFonts w:ascii="Times New Roman" w:hAnsi="Times New Roman" w:cs="Times New Roman"/>
                <w:bCs/>
              </w:rPr>
              <w:t xml:space="preserve">20 straipsnio 1 dalyje kalbama apie registro valdytojo ir (arba) registro tvarkytojo pasikeitimą, t. y. </w:t>
            </w:r>
            <w:r w:rsidR="00D36315" w:rsidRPr="00C01044">
              <w:rPr>
                <w:rFonts w:ascii="Times New Roman" w:hAnsi="Times New Roman" w:cs="Times New Roman"/>
                <w:bCs/>
              </w:rPr>
              <w:t>manome</w:t>
            </w:r>
            <w:r w:rsidRPr="00C01044">
              <w:rPr>
                <w:rFonts w:ascii="Times New Roman" w:hAnsi="Times New Roman" w:cs="Times New Roman"/>
                <w:bCs/>
              </w:rPr>
              <w:t xml:space="preserve">, kad reorganizavimas būtų būtinas tuo atveju, jeigu Informatikos ir ryšių departamentas netektų vieno iš nurodyto statuso ir vietoje jo valdytoju ar tvarkytoju būtų paskirta kita institucija. Šiuo </w:t>
            </w:r>
            <w:r w:rsidRPr="00C01044">
              <w:rPr>
                <w:rFonts w:ascii="Times New Roman" w:hAnsi="Times New Roman" w:cs="Times New Roman"/>
                <w:bCs/>
              </w:rPr>
              <w:lastRenderedPageBreak/>
              <w:t>atveju iš esmės keičiasi tik tvarkytojų skaičius</w:t>
            </w:r>
            <w:r w:rsidRPr="00C01044">
              <w:rPr>
                <w:rFonts w:ascii="Times New Roman" w:hAnsi="Times New Roman" w:cs="Times New Roman"/>
                <w:b/>
                <w:bCs/>
              </w:rPr>
              <w:t xml:space="preserve"> </w:t>
            </w:r>
            <w:r w:rsidRPr="00C01044">
              <w:rPr>
                <w:rFonts w:ascii="Times New Roman" w:hAnsi="Times New Roman" w:cs="Times New Roman"/>
                <w:bCs/>
              </w:rPr>
              <w:t xml:space="preserve">(išsibraukia dalis tvarkytojų, kurie </w:t>
            </w:r>
            <w:r w:rsidRPr="00C01044">
              <w:rPr>
                <w:rFonts w:ascii="Times New Roman" w:hAnsi="Times New Roman" w:cs="Times New Roman"/>
                <w:bCs/>
                <w:i/>
              </w:rPr>
              <w:t>de facto</w:t>
            </w:r>
            <w:r w:rsidRPr="00C01044">
              <w:rPr>
                <w:rFonts w:ascii="Times New Roman" w:hAnsi="Times New Roman" w:cs="Times New Roman"/>
                <w:bCs/>
              </w:rPr>
              <w:t xml:space="preserve"> net nevykdė tvarkytojų funkcijų)</w:t>
            </w:r>
            <w:r w:rsidR="00D36315" w:rsidRPr="00C01044">
              <w:rPr>
                <w:rFonts w:ascii="Times New Roman" w:hAnsi="Times New Roman" w:cs="Times New Roman"/>
                <w:bCs/>
              </w:rPr>
              <w:t xml:space="preserve">, tad manome, </w:t>
            </w:r>
            <w:r w:rsidRPr="00C01044">
              <w:rPr>
                <w:rFonts w:ascii="Times New Roman" w:hAnsi="Times New Roman" w:cs="Times New Roman"/>
                <w:bCs/>
              </w:rPr>
              <w:t xml:space="preserve">kad </w:t>
            </w:r>
            <w:r w:rsidR="006F194A" w:rsidRPr="00C01044">
              <w:rPr>
                <w:rFonts w:ascii="Times New Roman" w:hAnsi="Times New Roman" w:cs="Times New Roman"/>
                <w:bCs/>
              </w:rPr>
              <w:t xml:space="preserve">Registras </w:t>
            </w:r>
            <w:r w:rsidR="00D36315" w:rsidRPr="00C01044">
              <w:rPr>
                <w:rFonts w:ascii="Times New Roman" w:hAnsi="Times New Roman" w:cs="Times New Roman"/>
                <w:bCs/>
              </w:rPr>
              <w:t xml:space="preserve">šiuo atveju nėra </w:t>
            </w:r>
            <w:r w:rsidRPr="00C01044">
              <w:rPr>
                <w:rFonts w:ascii="Times New Roman" w:hAnsi="Times New Roman" w:cs="Times New Roman"/>
                <w:bCs/>
              </w:rPr>
              <w:t xml:space="preserve">reorganizuojamas. </w:t>
            </w:r>
          </w:p>
          <w:p w14:paraId="68D4D840" w14:textId="77BE4223" w:rsidR="0038133B" w:rsidRPr="00C01044" w:rsidRDefault="0038133B" w:rsidP="00783794">
            <w:pPr>
              <w:jc w:val="both"/>
              <w:rPr>
                <w:rFonts w:ascii="Times New Roman" w:hAnsi="Times New Roman" w:cs="Times New Roman"/>
                <w:bCs/>
              </w:rPr>
            </w:pPr>
            <w:r w:rsidRPr="00C01044">
              <w:rPr>
                <w:rFonts w:ascii="Times New Roman" w:hAnsi="Times New Roman" w:cs="Times New Roman"/>
                <w:bCs/>
              </w:rPr>
              <w:t xml:space="preserve">Dėl pastabos dalies, kurioje nurodyta, kad Įtariamųjų, kaltinamųjų ir nuteistųjų registro įstatymas (toliau – ĮKNRĮ) neatitinka </w:t>
            </w:r>
            <w:r w:rsidR="00783794" w:rsidRPr="00C01044">
              <w:rPr>
                <w:rFonts w:ascii="Times New Roman" w:hAnsi="Times New Roman" w:cs="Times New Roman"/>
                <w:bCs/>
              </w:rPr>
              <w:t>VIIVĮ</w:t>
            </w:r>
            <w:r w:rsidR="00783794" w:rsidRPr="00C01044" w:rsidDel="00783794">
              <w:rPr>
                <w:rFonts w:ascii="Times New Roman" w:hAnsi="Times New Roman" w:cs="Times New Roman"/>
                <w:bCs/>
              </w:rPr>
              <w:t xml:space="preserve"> </w:t>
            </w:r>
            <w:r w:rsidRPr="00C01044">
              <w:rPr>
                <w:rFonts w:ascii="Times New Roman" w:hAnsi="Times New Roman" w:cs="Times New Roman"/>
                <w:bCs/>
              </w:rPr>
              <w:t xml:space="preserve">pažymėtina, kad VIIVĮ 50 str. 1 dalyje nustatyta, kad šio įstatymo 12 straipsnio 1 dalis, 17 straipsnis, 18 straipsnio 1 ir 2 dalys, 22 straipsnio 1 dalis, 23 straipsnis taikomi tik po šio įstatymo įsigaliojimo </w:t>
            </w:r>
            <w:r w:rsidR="001E091D" w:rsidRPr="00C01044">
              <w:rPr>
                <w:rFonts w:ascii="Times New Roman" w:hAnsi="Times New Roman" w:cs="Times New Roman"/>
                <w:bCs/>
              </w:rPr>
              <w:t>(2012</w:t>
            </w:r>
            <w:r w:rsidR="006848CF">
              <w:rPr>
                <w:rFonts w:ascii="Times New Roman" w:hAnsi="Times New Roman" w:cs="Times New Roman"/>
                <w:bCs/>
              </w:rPr>
              <w:t> </w:t>
            </w:r>
            <w:r w:rsidR="001E091D" w:rsidRPr="00C01044">
              <w:rPr>
                <w:rFonts w:ascii="Times New Roman" w:hAnsi="Times New Roman" w:cs="Times New Roman"/>
                <w:bCs/>
              </w:rPr>
              <w:t xml:space="preserve">m. sausio 1 d.) </w:t>
            </w:r>
            <w:r w:rsidRPr="00C01044">
              <w:rPr>
                <w:rFonts w:ascii="Times New Roman" w:hAnsi="Times New Roman" w:cs="Times New Roman"/>
                <w:bCs/>
              </w:rPr>
              <w:t>steigiamiems registrams, o Į</w:t>
            </w:r>
            <w:r w:rsidR="00D06617" w:rsidRPr="00C01044">
              <w:rPr>
                <w:rFonts w:ascii="Times New Roman" w:hAnsi="Times New Roman" w:cs="Times New Roman"/>
                <w:bCs/>
              </w:rPr>
              <w:t>KNRĮ</w:t>
            </w:r>
            <w:r w:rsidR="001E091D" w:rsidRPr="00C01044">
              <w:rPr>
                <w:rFonts w:ascii="Times New Roman" w:hAnsi="Times New Roman" w:cs="Times New Roman"/>
                <w:bCs/>
              </w:rPr>
              <w:t xml:space="preserve">, kuriuo įsteigtas Registras, </w:t>
            </w:r>
            <w:r w:rsidRPr="00C01044">
              <w:rPr>
                <w:rFonts w:ascii="Times New Roman" w:hAnsi="Times New Roman" w:cs="Times New Roman"/>
                <w:bCs/>
              </w:rPr>
              <w:t>priimtas 2011 m. birželio 22 d</w:t>
            </w:r>
            <w:r w:rsidR="001E091D" w:rsidRPr="00C01044">
              <w:rPr>
                <w:rFonts w:ascii="Times New Roman" w:hAnsi="Times New Roman" w:cs="Times New Roman"/>
                <w:bCs/>
              </w:rPr>
              <w:t xml:space="preserve">. </w:t>
            </w:r>
            <w:r w:rsidRPr="00C01044">
              <w:rPr>
                <w:rFonts w:ascii="Times New Roman" w:hAnsi="Times New Roman" w:cs="Times New Roman"/>
                <w:bCs/>
              </w:rPr>
              <w:t>Be to</w:t>
            </w:r>
            <w:r w:rsidR="009820F2" w:rsidRPr="00C01044">
              <w:rPr>
                <w:rFonts w:ascii="Times New Roman" w:hAnsi="Times New Roman" w:cs="Times New Roman"/>
                <w:bCs/>
              </w:rPr>
              <w:t>,</w:t>
            </w:r>
            <w:r w:rsidRPr="00C01044">
              <w:rPr>
                <w:rFonts w:ascii="Times New Roman" w:hAnsi="Times New Roman" w:cs="Times New Roman"/>
                <w:bCs/>
              </w:rPr>
              <w:t xml:space="preserve"> pažymėtina, kad pastaba teikiama ne dėl teikiamo Nutarimo projekto, o dėl IKNRĮ nustatyto reguliavimo ir nesusijusi su teikiamo Nutarimo projekto tikslais, nes Nutarimo projektu tik siūloma spręsti organizacinius bei praktinius Registro tvarkymo klausimus, atlikti kitus Registro nuostatų pakeitimus, atsisakant Registro veiklai užtikrinti neaktualių nuostatų</w:t>
            </w:r>
            <w:r w:rsidR="009820F2" w:rsidRPr="00C01044">
              <w:rPr>
                <w:rFonts w:ascii="Times New Roman" w:hAnsi="Times New Roman" w:cs="Times New Roman"/>
                <w:bCs/>
              </w:rPr>
              <w:t>, taip pat suderinti nuostatas su</w:t>
            </w:r>
            <w:r w:rsidR="009820F2" w:rsidRPr="00C01044">
              <w:rPr>
                <w:rFonts w:ascii="Times New Roman" w:hAnsi="Times New Roman" w:cs="Times New Roman"/>
              </w:rPr>
              <w:t xml:space="preserve"> </w:t>
            </w:r>
            <w:r w:rsidR="009820F2" w:rsidRPr="00C01044">
              <w:rPr>
                <w:rFonts w:ascii="Times New Roman" w:hAnsi="Times New Roman" w:cs="Times New Roman"/>
                <w:bCs/>
              </w:rPr>
              <w:t xml:space="preserve">Bendruoju duomenų apsaugos reglamentu. </w:t>
            </w:r>
            <w:r w:rsidRPr="00C01044">
              <w:rPr>
                <w:rFonts w:ascii="Times New Roman" w:hAnsi="Times New Roman" w:cs="Times New Roman"/>
                <w:bCs/>
              </w:rPr>
              <w:t xml:space="preserve"> </w:t>
            </w:r>
          </w:p>
        </w:tc>
      </w:tr>
      <w:tr w:rsidR="00FB6791" w:rsidRPr="00C01044" w14:paraId="7744FDEA" w14:textId="77777777" w:rsidTr="00CF1CF0">
        <w:tc>
          <w:tcPr>
            <w:tcW w:w="1673" w:type="dxa"/>
          </w:tcPr>
          <w:p w14:paraId="578A1A06" w14:textId="77777777" w:rsidR="00FB6791" w:rsidRPr="00C01044" w:rsidRDefault="00FB6791" w:rsidP="00CC6B7B">
            <w:pPr>
              <w:jc w:val="both"/>
              <w:rPr>
                <w:rFonts w:ascii="Times New Roman" w:hAnsi="Times New Roman" w:cs="Times New Roman"/>
              </w:rPr>
            </w:pPr>
          </w:p>
        </w:tc>
        <w:tc>
          <w:tcPr>
            <w:tcW w:w="6686" w:type="dxa"/>
          </w:tcPr>
          <w:p w14:paraId="68154520" w14:textId="397EF6D7" w:rsidR="00FB6791" w:rsidRPr="00C01044" w:rsidRDefault="00061AF6" w:rsidP="00061AF6">
            <w:pPr>
              <w:tabs>
                <w:tab w:val="left" w:pos="497"/>
              </w:tabs>
              <w:jc w:val="both"/>
              <w:rPr>
                <w:rFonts w:ascii="Times New Roman" w:hAnsi="Times New Roman" w:cs="Times New Roman"/>
              </w:rPr>
            </w:pPr>
            <w:r w:rsidRPr="00C01044">
              <w:rPr>
                <w:rFonts w:ascii="Times New Roman" w:hAnsi="Times New Roman" w:cs="Times New Roman"/>
              </w:rPr>
              <w:t xml:space="preserve">2. </w:t>
            </w:r>
            <w:r w:rsidR="0035611D" w:rsidRPr="00C01044">
              <w:rPr>
                <w:rFonts w:ascii="Times New Roman" w:hAnsi="Times New Roman" w:cs="Times New Roman"/>
              </w:rPr>
              <w:t xml:space="preserve">Vienas iš Projekte keliamų tikslų yra patikslinti Nuostatus, suderinant juos su </w:t>
            </w:r>
            <w:bookmarkStart w:id="3" w:name="_Hlk535422536"/>
            <w:r w:rsidR="0035611D" w:rsidRPr="00C01044">
              <w:rPr>
                <w:rFonts w:ascii="Times New Roman" w:hAnsi="Times New Roman" w:cs="Times New Roman"/>
              </w:rPr>
              <w:t>Apraš</w:t>
            </w:r>
            <w:bookmarkEnd w:id="3"/>
            <w:r w:rsidR="0035611D" w:rsidRPr="00C01044">
              <w:rPr>
                <w:rFonts w:ascii="Times New Roman" w:hAnsi="Times New Roman" w:cs="Times New Roman"/>
              </w:rPr>
              <w:t xml:space="preserve">o nuostatomis, tačiau atkreiptinas dėmesys, kad Nuostatuose nėra visų normų, kurios turi būti nustatomos pagal Aprašą. Pavyzdžiui, pagal Aprašo </w:t>
            </w:r>
            <w:r w:rsidR="0035611D" w:rsidRPr="00C01044">
              <w:rPr>
                <w:rFonts w:ascii="Times New Roman" w:hAnsi="Times New Roman" w:cs="Times New Roman"/>
                <w:bCs/>
                <w:iCs/>
              </w:rPr>
              <w:t xml:space="preserve">18 punktą, Nuostatų VI skyriuje turi būti </w:t>
            </w:r>
            <w:r w:rsidR="0035611D" w:rsidRPr="00C01044">
              <w:rPr>
                <w:rFonts w:ascii="Times New Roman" w:hAnsi="Times New Roman" w:cs="Times New Roman"/>
                <w:bCs/>
                <w:i/>
                <w:iCs/>
              </w:rPr>
              <w:t xml:space="preserve">išsamiai </w:t>
            </w:r>
            <w:r w:rsidR="0035611D" w:rsidRPr="00C01044">
              <w:rPr>
                <w:rFonts w:ascii="Times New Roman" w:hAnsi="Times New Roman" w:cs="Times New Roman"/>
                <w:bCs/>
                <w:iCs/>
              </w:rPr>
              <w:t>aprašoma, kaip realizuojama sąveika su susijusiais registrais ir valstybės informacinėmis sistemomis;</w:t>
            </w:r>
            <w:r w:rsidR="0035611D" w:rsidRPr="00C01044">
              <w:rPr>
                <w:rFonts w:ascii="Times New Roman" w:hAnsi="Times New Roman" w:cs="Times New Roman"/>
              </w:rPr>
              <w:t xml:space="preserve"> Nuostatų 84 punkte nustatyta tik deklaratyvaus pobūdžio norma, kad atsisakymas teikti Registro duomenis gali būti skundžiamas Lietuvos Respublikos administracinių bylų teisenos įstatymo nustatyta tvarka, tačiau pagal Aprašo 19.2 papunktį turėtų būti nustatoma atsisakymo teikti Registro duomenis apskundimo tvarka, kad Registro duomenų gavėjas žinotų, </w:t>
            </w:r>
            <w:r w:rsidR="0035611D" w:rsidRPr="00C01044">
              <w:rPr>
                <w:rFonts w:ascii="Times New Roman" w:hAnsi="Times New Roman" w:cs="Times New Roman"/>
                <w:i/>
              </w:rPr>
              <w:t>kam ir kokia tvarka</w:t>
            </w:r>
            <w:r w:rsidR="0035611D" w:rsidRPr="00C01044">
              <w:rPr>
                <w:rFonts w:ascii="Times New Roman" w:hAnsi="Times New Roman" w:cs="Times New Roman"/>
              </w:rPr>
              <w:t xml:space="preserve"> gali apskųsti atsisakymą teikti duomenis</w:t>
            </w:r>
            <w:r w:rsidR="0035611D" w:rsidRPr="00C01044">
              <w:rPr>
                <w:rFonts w:ascii="Times New Roman" w:hAnsi="Times New Roman" w:cs="Times New Roman"/>
                <w:bCs/>
                <w:iCs/>
              </w:rPr>
              <w:t>)</w:t>
            </w:r>
            <w:r w:rsidR="0035611D" w:rsidRPr="00C01044">
              <w:rPr>
                <w:rFonts w:ascii="Times New Roman" w:hAnsi="Times New Roman" w:cs="Times New Roman"/>
              </w:rPr>
              <w:t xml:space="preserve"> </w:t>
            </w:r>
            <w:r w:rsidR="0035611D" w:rsidRPr="00C01044">
              <w:rPr>
                <w:rFonts w:ascii="Times New Roman" w:hAnsi="Times New Roman" w:cs="Times New Roman"/>
                <w:bCs/>
                <w:iCs/>
              </w:rPr>
              <w:t>ir kt.</w:t>
            </w:r>
          </w:p>
        </w:tc>
        <w:tc>
          <w:tcPr>
            <w:tcW w:w="5386" w:type="dxa"/>
          </w:tcPr>
          <w:p w14:paraId="1951B80F" w14:textId="77777777" w:rsidR="00FB6791" w:rsidRPr="00C01044" w:rsidRDefault="0035611D" w:rsidP="00CC6B7B">
            <w:pPr>
              <w:jc w:val="both"/>
              <w:rPr>
                <w:rFonts w:ascii="Times New Roman" w:hAnsi="Times New Roman" w:cs="Times New Roman"/>
                <w:b/>
                <w:bCs/>
              </w:rPr>
            </w:pPr>
            <w:r w:rsidRPr="00C01044">
              <w:rPr>
                <w:rFonts w:ascii="Times New Roman" w:hAnsi="Times New Roman" w:cs="Times New Roman"/>
                <w:b/>
                <w:bCs/>
              </w:rPr>
              <w:t>Atsižvelgta iš dalies.</w:t>
            </w:r>
          </w:p>
          <w:p w14:paraId="22BB3CD8" w14:textId="3B732061" w:rsidR="0035611D" w:rsidRPr="00C01044" w:rsidRDefault="0035611D" w:rsidP="0035611D">
            <w:pPr>
              <w:jc w:val="both"/>
              <w:rPr>
                <w:rFonts w:ascii="Times New Roman" w:hAnsi="Times New Roman" w:cs="Times New Roman"/>
                <w:bCs/>
              </w:rPr>
            </w:pPr>
            <w:r w:rsidRPr="00C01044">
              <w:rPr>
                <w:rFonts w:ascii="Times New Roman" w:hAnsi="Times New Roman" w:cs="Times New Roman"/>
                <w:bCs/>
              </w:rPr>
              <w:t xml:space="preserve">Išsamiai sąveikos realizavimas aprašomas Registro specifikacijoje ir sudaromose sutartyse dėl </w:t>
            </w:r>
            <w:r w:rsidR="00982D82" w:rsidRPr="00C01044">
              <w:rPr>
                <w:rFonts w:ascii="Times New Roman" w:hAnsi="Times New Roman" w:cs="Times New Roman"/>
                <w:bCs/>
              </w:rPr>
              <w:t xml:space="preserve">Registro </w:t>
            </w:r>
            <w:r w:rsidRPr="00C01044">
              <w:rPr>
                <w:rFonts w:ascii="Times New Roman" w:hAnsi="Times New Roman" w:cs="Times New Roman"/>
                <w:bCs/>
              </w:rPr>
              <w:t xml:space="preserve">duomenų </w:t>
            </w:r>
            <w:r w:rsidR="00982D82" w:rsidRPr="00C01044">
              <w:rPr>
                <w:rFonts w:ascii="Times New Roman" w:hAnsi="Times New Roman" w:cs="Times New Roman"/>
                <w:bCs/>
              </w:rPr>
              <w:t>teikimo</w:t>
            </w:r>
            <w:r w:rsidRPr="00C01044">
              <w:rPr>
                <w:rFonts w:ascii="Times New Roman" w:hAnsi="Times New Roman" w:cs="Times New Roman"/>
                <w:bCs/>
              </w:rPr>
              <w:t>, todėl papildytas Nuostatų projekto 73</w:t>
            </w:r>
            <w:r w:rsidR="00783794" w:rsidRPr="00C01044">
              <w:rPr>
                <w:rFonts w:ascii="Times New Roman" w:hAnsi="Times New Roman" w:cs="Times New Roman"/>
                <w:bCs/>
              </w:rPr>
              <w:t> </w:t>
            </w:r>
            <w:r w:rsidRPr="00C01044">
              <w:rPr>
                <w:rFonts w:ascii="Times New Roman" w:hAnsi="Times New Roman" w:cs="Times New Roman"/>
                <w:bCs/>
              </w:rPr>
              <w:t>p</w:t>
            </w:r>
            <w:r w:rsidR="006848CF">
              <w:rPr>
                <w:rFonts w:ascii="Times New Roman" w:hAnsi="Times New Roman" w:cs="Times New Roman"/>
                <w:bCs/>
              </w:rPr>
              <w:t>unktas</w:t>
            </w:r>
            <w:r w:rsidRPr="00C01044">
              <w:rPr>
                <w:rFonts w:ascii="Times New Roman" w:hAnsi="Times New Roman" w:cs="Times New Roman"/>
                <w:bCs/>
              </w:rPr>
              <w:t xml:space="preserve"> nurodant, kad duomenys gaunami </w:t>
            </w:r>
            <w:r w:rsidR="00783794" w:rsidRPr="00C01044">
              <w:rPr>
                <w:rFonts w:ascii="Times New Roman" w:hAnsi="Times New Roman" w:cs="Times New Roman"/>
                <w:bCs/>
              </w:rPr>
              <w:t xml:space="preserve">pasirašius </w:t>
            </w:r>
            <w:r w:rsidRPr="00C01044">
              <w:rPr>
                <w:rFonts w:ascii="Times New Roman" w:hAnsi="Times New Roman" w:cs="Times New Roman"/>
                <w:bCs/>
              </w:rPr>
              <w:t>sutartis.</w:t>
            </w:r>
          </w:p>
          <w:p w14:paraId="1309BA83" w14:textId="2805071B" w:rsidR="0035611D" w:rsidRPr="00C01044" w:rsidRDefault="0035611D" w:rsidP="007324BC">
            <w:pPr>
              <w:jc w:val="both"/>
              <w:rPr>
                <w:rFonts w:ascii="Times New Roman" w:hAnsi="Times New Roman" w:cs="Times New Roman"/>
                <w:bCs/>
              </w:rPr>
            </w:pPr>
            <w:r w:rsidRPr="00C01044">
              <w:rPr>
                <w:rFonts w:ascii="Times New Roman" w:hAnsi="Times New Roman" w:cs="Times New Roman"/>
                <w:bCs/>
              </w:rPr>
              <w:t xml:space="preserve">Administracinių bylų teisenos įstatymo nuostatų, kuriose nurodoma kam ir kokia tvarka galima apskųsti atsisakymą teikti duomenis, perkėlimas į Nuostatų projektą būtų perteklinis. </w:t>
            </w:r>
          </w:p>
        </w:tc>
      </w:tr>
      <w:tr w:rsidR="0035611D" w:rsidRPr="00C01044" w14:paraId="75B677F4" w14:textId="77777777" w:rsidTr="00CF1CF0">
        <w:tc>
          <w:tcPr>
            <w:tcW w:w="1673" w:type="dxa"/>
          </w:tcPr>
          <w:p w14:paraId="7700EA1B" w14:textId="77777777" w:rsidR="0035611D" w:rsidRPr="00C01044" w:rsidRDefault="0035611D" w:rsidP="00CC6B7B">
            <w:pPr>
              <w:jc w:val="both"/>
              <w:rPr>
                <w:rFonts w:ascii="Times New Roman" w:hAnsi="Times New Roman" w:cs="Times New Roman"/>
              </w:rPr>
            </w:pPr>
          </w:p>
        </w:tc>
        <w:tc>
          <w:tcPr>
            <w:tcW w:w="6686" w:type="dxa"/>
          </w:tcPr>
          <w:p w14:paraId="79220E28" w14:textId="3E7F8DB2" w:rsidR="0035611D" w:rsidRPr="00C01044" w:rsidRDefault="00061AF6" w:rsidP="00061AF6">
            <w:pPr>
              <w:jc w:val="both"/>
              <w:rPr>
                <w:rFonts w:ascii="Times New Roman" w:hAnsi="Times New Roman" w:cs="Times New Roman"/>
              </w:rPr>
            </w:pPr>
            <w:r w:rsidRPr="00C01044">
              <w:rPr>
                <w:rFonts w:ascii="Times New Roman" w:hAnsi="Times New Roman" w:cs="Times New Roman"/>
              </w:rPr>
              <w:t xml:space="preserve">4. </w:t>
            </w:r>
            <w:r w:rsidR="0035611D" w:rsidRPr="00C01044">
              <w:rPr>
                <w:rFonts w:ascii="Times New Roman" w:hAnsi="Times New Roman" w:cs="Times New Roman"/>
              </w:rPr>
              <w:t>Nuostatų 3 punkto formuluotė, kad Registro asmens duomenys tvarkomi ir „kitais teisėtais tikslais“ yra neapibrėžta ir šie duomenys gali būti tvarkomi bet kokiais teisėtais tikslais. Siekiant aiškumo ir apibrėžtumo siūlome nurodyti bent su kuo šie teisėti tikslai susiję (sritį).  Taip pat siekiant to paties tikslo – atsisakytina arba tikslintina Nuostatuose vartojama formuluotė „teisės aktų nustatyta tvarka“ (Nuostatų 9.5-9.7 papunkčiai), „teisės aktų nustatytų (-oms)“ (Nuostatų 53.1, 53.2, 76.3, 78.3 papunkčiai) ir kita.</w:t>
            </w:r>
          </w:p>
        </w:tc>
        <w:tc>
          <w:tcPr>
            <w:tcW w:w="5386" w:type="dxa"/>
          </w:tcPr>
          <w:p w14:paraId="63270F79" w14:textId="77777777" w:rsidR="0035611D" w:rsidRPr="00C01044" w:rsidRDefault="0035611D" w:rsidP="00CC6B7B">
            <w:pPr>
              <w:jc w:val="both"/>
              <w:rPr>
                <w:rFonts w:ascii="Times New Roman" w:hAnsi="Times New Roman" w:cs="Times New Roman"/>
                <w:b/>
                <w:bCs/>
              </w:rPr>
            </w:pPr>
            <w:r w:rsidRPr="00C01044">
              <w:rPr>
                <w:rFonts w:ascii="Times New Roman" w:hAnsi="Times New Roman" w:cs="Times New Roman"/>
                <w:b/>
                <w:bCs/>
              </w:rPr>
              <w:t>Atsižvelgta iš dalies.</w:t>
            </w:r>
          </w:p>
          <w:p w14:paraId="6C8972C4" w14:textId="58FC352B" w:rsidR="0035611D" w:rsidRPr="00C01044" w:rsidRDefault="0035611D" w:rsidP="0035611D">
            <w:pPr>
              <w:jc w:val="both"/>
              <w:rPr>
                <w:rFonts w:ascii="Times New Roman" w:hAnsi="Times New Roman" w:cs="Times New Roman"/>
                <w:bCs/>
              </w:rPr>
            </w:pPr>
            <w:r w:rsidRPr="00C01044">
              <w:rPr>
                <w:rFonts w:ascii="Times New Roman" w:hAnsi="Times New Roman" w:cs="Times New Roman"/>
                <w:bCs/>
              </w:rPr>
              <w:t xml:space="preserve">Nuostatų projekto 76 </w:t>
            </w:r>
            <w:r w:rsidR="00D06617" w:rsidRPr="00C01044">
              <w:rPr>
                <w:rFonts w:ascii="Times New Roman" w:hAnsi="Times New Roman" w:cs="Times New Roman"/>
                <w:bCs/>
              </w:rPr>
              <w:t>p</w:t>
            </w:r>
            <w:r w:rsidR="006848CF">
              <w:rPr>
                <w:rFonts w:ascii="Times New Roman" w:hAnsi="Times New Roman" w:cs="Times New Roman"/>
                <w:bCs/>
              </w:rPr>
              <w:t>unkto</w:t>
            </w:r>
            <w:r w:rsidR="00D06617" w:rsidRPr="00C01044">
              <w:rPr>
                <w:rFonts w:ascii="Times New Roman" w:hAnsi="Times New Roman" w:cs="Times New Roman"/>
                <w:bCs/>
              </w:rPr>
              <w:t xml:space="preserve"> atsisakyta kaip perteklinio, o Nuostatų projekto </w:t>
            </w:r>
            <w:r w:rsidRPr="00C01044">
              <w:rPr>
                <w:rFonts w:ascii="Times New Roman" w:hAnsi="Times New Roman" w:cs="Times New Roman"/>
                <w:bCs/>
              </w:rPr>
              <w:t>7</w:t>
            </w:r>
            <w:r w:rsidR="008051B7" w:rsidRPr="00C01044">
              <w:rPr>
                <w:rFonts w:ascii="Times New Roman" w:hAnsi="Times New Roman" w:cs="Times New Roman"/>
                <w:bCs/>
              </w:rPr>
              <w:t>7</w:t>
            </w:r>
            <w:r w:rsidRPr="00C01044">
              <w:rPr>
                <w:rFonts w:ascii="Times New Roman" w:hAnsi="Times New Roman" w:cs="Times New Roman"/>
                <w:bCs/>
              </w:rPr>
              <w:t>.3 p</w:t>
            </w:r>
            <w:r w:rsidR="006848CF">
              <w:rPr>
                <w:rFonts w:ascii="Times New Roman" w:hAnsi="Times New Roman" w:cs="Times New Roman"/>
                <w:bCs/>
              </w:rPr>
              <w:t>apunktis</w:t>
            </w:r>
            <w:r w:rsidRPr="00C01044">
              <w:rPr>
                <w:rFonts w:ascii="Times New Roman" w:hAnsi="Times New Roman" w:cs="Times New Roman"/>
                <w:bCs/>
              </w:rPr>
              <w:t xml:space="preserve"> formuluojam</w:t>
            </w:r>
            <w:r w:rsidR="00D06617" w:rsidRPr="00C01044">
              <w:rPr>
                <w:rFonts w:ascii="Times New Roman" w:hAnsi="Times New Roman" w:cs="Times New Roman"/>
                <w:bCs/>
              </w:rPr>
              <w:t>as</w:t>
            </w:r>
            <w:r w:rsidRPr="00C01044">
              <w:rPr>
                <w:rFonts w:ascii="Times New Roman" w:hAnsi="Times New Roman" w:cs="Times New Roman"/>
                <w:bCs/>
              </w:rPr>
              <w:t xml:space="preserve"> kaip nustatyta VIIVĮ 29 str</w:t>
            </w:r>
            <w:r w:rsidR="00D06617" w:rsidRPr="00C01044">
              <w:rPr>
                <w:rFonts w:ascii="Times New Roman" w:hAnsi="Times New Roman" w:cs="Times New Roman"/>
                <w:bCs/>
              </w:rPr>
              <w:t xml:space="preserve">aipsnio </w:t>
            </w:r>
            <w:r w:rsidRPr="00C01044">
              <w:rPr>
                <w:rFonts w:ascii="Times New Roman" w:hAnsi="Times New Roman" w:cs="Times New Roman"/>
                <w:bCs/>
              </w:rPr>
              <w:t>3 d</w:t>
            </w:r>
            <w:r w:rsidR="00D06617" w:rsidRPr="00C01044">
              <w:rPr>
                <w:rFonts w:ascii="Times New Roman" w:hAnsi="Times New Roman" w:cs="Times New Roman"/>
                <w:bCs/>
              </w:rPr>
              <w:t>alies</w:t>
            </w:r>
            <w:r w:rsidRPr="00C01044">
              <w:rPr>
                <w:rFonts w:ascii="Times New Roman" w:hAnsi="Times New Roman" w:cs="Times New Roman"/>
                <w:bCs/>
              </w:rPr>
              <w:t xml:space="preserve"> 3 p</w:t>
            </w:r>
            <w:r w:rsidR="00D06617" w:rsidRPr="00C01044">
              <w:rPr>
                <w:rFonts w:ascii="Times New Roman" w:hAnsi="Times New Roman" w:cs="Times New Roman"/>
                <w:bCs/>
              </w:rPr>
              <w:t>unkte</w:t>
            </w:r>
            <w:r w:rsidR="00B30002" w:rsidRPr="00C01044">
              <w:rPr>
                <w:rFonts w:ascii="Times New Roman" w:hAnsi="Times New Roman" w:cs="Times New Roman"/>
                <w:bCs/>
              </w:rPr>
              <w:t xml:space="preserve"> (redakcija įsigaliojusi 2019-01-01)</w:t>
            </w:r>
            <w:r w:rsidRPr="00C01044">
              <w:rPr>
                <w:rFonts w:ascii="Times New Roman" w:hAnsi="Times New Roman" w:cs="Times New Roman"/>
                <w:bCs/>
              </w:rPr>
              <w:t>.</w:t>
            </w:r>
          </w:p>
          <w:p w14:paraId="2A861A94" w14:textId="27115AB6" w:rsidR="0035611D" w:rsidRPr="00C01044" w:rsidRDefault="0035611D" w:rsidP="0035611D">
            <w:pPr>
              <w:jc w:val="both"/>
              <w:rPr>
                <w:rFonts w:ascii="Times New Roman" w:hAnsi="Times New Roman" w:cs="Times New Roman"/>
                <w:b/>
                <w:bCs/>
              </w:rPr>
            </w:pPr>
          </w:p>
        </w:tc>
      </w:tr>
      <w:tr w:rsidR="0035611D" w:rsidRPr="00C01044" w14:paraId="5F75FCC2" w14:textId="77777777" w:rsidTr="00CF1CF0">
        <w:tc>
          <w:tcPr>
            <w:tcW w:w="1673" w:type="dxa"/>
          </w:tcPr>
          <w:p w14:paraId="3A9FFD01" w14:textId="640C3B89" w:rsidR="0035611D" w:rsidRPr="00C01044" w:rsidRDefault="0035611D" w:rsidP="0035611D">
            <w:pPr>
              <w:jc w:val="both"/>
              <w:rPr>
                <w:rFonts w:ascii="Times New Roman" w:hAnsi="Times New Roman" w:cs="Times New Roman"/>
              </w:rPr>
            </w:pPr>
          </w:p>
        </w:tc>
        <w:tc>
          <w:tcPr>
            <w:tcW w:w="6686" w:type="dxa"/>
          </w:tcPr>
          <w:p w14:paraId="26B9E250" w14:textId="20E8611F" w:rsidR="0035611D" w:rsidRPr="00C01044" w:rsidRDefault="00061AF6" w:rsidP="00061AF6">
            <w:pPr>
              <w:jc w:val="both"/>
              <w:rPr>
                <w:rFonts w:ascii="Times New Roman" w:hAnsi="Times New Roman" w:cs="Times New Roman"/>
              </w:rPr>
            </w:pPr>
            <w:r w:rsidRPr="00C01044">
              <w:rPr>
                <w:rFonts w:ascii="Times New Roman" w:hAnsi="Times New Roman" w:cs="Times New Roman"/>
              </w:rPr>
              <w:t xml:space="preserve">5. </w:t>
            </w:r>
            <w:r w:rsidR="0035611D" w:rsidRPr="00C01044">
              <w:rPr>
                <w:rFonts w:ascii="Times New Roman" w:hAnsi="Times New Roman" w:cs="Times New Roman"/>
              </w:rPr>
              <w:t xml:space="preserve">Siūlome pagrįsti arba patikslinti Nuostatų 54 punkte siūlomą reguliavimą, nes neaišku, ką reiškia nuostata „keičiantis į Registro duomenų bazę įrašytiems Registro duomenims“, nes jie automatiškai negali keistis  ir koks yra pagrindas Registro duomenų bazėje laikyti ir iki keitimo įrašytus Registro duomenis, nes pagal šį punktą siūloma naujus Registro duomenis į Registro duomenų bazę įrašyti nesunaikinus ankstesnių į šią bazę įrašytų Registro duomenų. </w:t>
            </w:r>
          </w:p>
        </w:tc>
        <w:tc>
          <w:tcPr>
            <w:tcW w:w="5386" w:type="dxa"/>
          </w:tcPr>
          <w:p w14:paraId="0D4150B7" w14:textId="77777777" w:rsidR="0035611D" w:rsidRPr="00C01044" w:rsidRDefault="0090419E" w:rsidP="0035611D">
            <w:pPr>
              <w:jc w:val="both"/>
              <w:rPr>
                <w:rFonts w:ascii="Times New Roman" w:hAnsi="Times New Roman" w:cs="Times New Roman"/>
                <w:b/>
                <w:bCs/>
              </w:rPr>
            </w:pPr>
            <w:r w:rsidRPr="00C01044">
              <w:rPr>
                <w:rFonts w:ascii="Times New Roman" w:hAnsi="Times New Roman" w:cs="Times New Roman"/>
                <w:b/>
                <w:bCs/>
              </w:rPr>
              <w:t>Atsižvelgta iš dalies.</w:t>
            </w:r>
          </w:p>
          <w:p w14:paraId="4F616EFC" w14:textId="5E90A795" w:rsidR="0090419E" w:rsidRPr="00C01044" w:rsidRDefault="0090419E" w:rsidP="0035611D">
            <w:pPr>
              <w:jc w:val="both"/>
              <w:rPr>
                <w:rFonts w:ascii="Times New Roman" w:hAnsi="Times New Roman" w:cs="Times New Roman"/>
                <w:bCs/>
              </w:rPr>
            </w:pPr>
            <w:r w:rsidRPr="00C01044">
              <w:rPr>
                <w:rFonts w:ascii="Times New Roman" w:hAnsi="Times New Roman" w:cs="Times New Roman"/>
                <w:bCs/>
              </w:rPr>
              <w:t>Patikslintas Nuostatų projekto 54 p</w:t>
            </w:r>
            <w:r w:rsidR="00BB365A">
              <w:rPr>
                <w:rFonts w:ascii="Times New Roman" w:hAnsi="Times New Roman" w:cs="Times New Roman"/>
                <w:bCs/>
              </w:rPr>
              <w:t>unktas.</w:t>
            </w:r>
          </w:p>
          <w:p w14:paraId="442BCD76" w14:textId="5CA071CF" w:rsidR="0090419E" w:rsidRPr="00C01044" w:rsidRDefault="0090419E" w:rsidP="00783794">
            <w:pPr>
              <w:jc w:val="both"/>
              <w:rPr>
                <w:rFonts w:ascii="Times New Roman" w:hAnsi="Times New Roman" w:cs="Times New Roman"/>
                <w:bCs/>
              </w:rPr>
            </w:pPr>
            <w:r w:rsidRPr="00C01044">
              <w:rPr>
                <w:rFonts w:ascii="Times New Roman" w:hAnsi="Times New Roman" w:cs="Times New Roman"/>
                <w:bCs/>
              </w:rPr>
              <w:t xml:space="preserve">Ankstesni duomenys Registre saugomi, nes </w:t>
            </w:r>
            <w:r w:rsidR="00783794" w:rsidRPr="00C01044">
              <w:rPr>
                <w:rFonts w:ascii="Times New Roman" w:hAnsi="Times New Roman" w:cs="Times New Roman"/>
                <w:bCs/>
              </w:rPr>
              <w:t>pagal juos</w:t>
            </w:r>
            <w:r w:rsidRPr="00C01044">
              <w:rPr>
                <w:rFonts w:ascii="Times New Roman" w:hAnsi="Times New Roman" w:cs="Times New Roman"/>
                <w:bCs/>
              </w:rPr>
              <w:t xml:space="preserve"> gali būti išduotos Registro pažymos, patvirtinančios juridinius faktus, dėl kurių vėliau kilus neaiškumui, turėtume jų išdavimo pagrįstumą patvirtinančius duomenis ar dokumentus.</w:t>
            </w:r>
          </w:p>
        </w:tc>
      </w:tr>
      <w:tr w:rsidR="0090419E" w:rsidRPr="00C01044" w14:paraId="7726AFAE" w14:textId="77777777" w:rsidTr="00CF1CF0">
        <w:tc>
          <w:tcPr>
            <w:tcW w:w="1673" w:type="dxa"/>
          </w:tcPr>
          <w:p w14:paraId="7C62B671" w14:textId="77777777" w:rsidR="0090419E" w:rsidRPr="00C01044" w:rsidRDefault="0090419E" w:rsidP="0035611D">
            <w:pPr>
              <w:jc w:val="both"/>
              <w:rPr>
                <w:rFonts w:ascii="Times New Roman" w:hAnsi="Times New Roman" w:cs="Times New Roman"/>
              </w:rPr>
            </w:pPr>
          </w:p>
        </w:tc>
        <w:tc>
          <w:tcPr>
            <w:tcW w:w="6686" w:type="dxa"/>
          </w:tcPr>
          <w:p w14:paraId="71FE053C" w14:textId="4C5EB046" w:rsidR="0090419E" w:rsidRPr="00C01044" w:rsidRDefault="004B1D9A" w:rsidP="004B1D9A">
            <w:pPr>
              <w:pStyle w:val="Sraopastraipa"/>
              <w:ind w:left="0"/>
              <w:jc w:val="both"/>
              <w:rPr>
                <w:rFonts w:ascii="Times New Roman" w:hAnsi="Times New Roman" w:cs="Times New Roman"/>
              </w:rPr>
            </w:pPr>
            <w:r w:rsidRPr="00C01044">
              <w:rPr>
                <w:rFonts w:ascii="Times New Roman" w:hAnsi="Times New Roman" w:cs="Times New Roman"/>
              </w:rPr>
              <w:t>9. Nuostatų 83 punkte nustatyta, kad šiame punkte nustatyta tvarka netaikoma Nuostatų 77.4 papunktyje nurodyta forma teikiamiems duomenims, todėl neaišku pagal kokią tvarką šie duomenys teikiami. Siūlome tikslinti.</w:t>
            </w:r>
          </w:p>
        </w:tc>
        <w:tc>
          <w:tcPr>
            <w:tcW w:w="5386" w:type="dxa"/>
          </w:tcPr>
          <w:p w14:paraId="5B687901" w14:textId="77777777" w:rsidR="0090419E" w:rsidRPr="00C01044" w:rsidRDefault="004B1D9A" w:rsidP="0035611D">
            <w:pPr>
              <w:jc w:val="both"/>
              <w:rPr>
                <w:rFonts w:ascii="Times New Roman" w:hAnsi="Times New Roman" w:cs="Times New Roman"/>
                <w:b/>
                <w:bCs/>
              </w:rPr>
            </w:pPr>
            <w:r w:rsidRPr="00C01044">
              <w:rPr>
                <w:rFonts w:ascii="Times New Roman" w:hAnsi="Times New Roman" w:cs="Times New Roman"/>
                <w:b/>
                <w:bCs/>
              </w:rPr>
              <w:t>Atsižvelgta iš dalies.</w:t>
            </w:r>
          </w:p>
          <w:p w14:paraId="391BB620" w14:textId="5035D9FD" w:rsidR="004B1D9A" w:rsidRPr="00C01044" w:rsidRDefault="004B1D9A" w:rsidP="00A94691">
            <w:pPr>
              <w:jc w:val="both"/>
              <w:rPr>
                <w:rFonts w:ascii="Times New Roman" w:hAnsi="Times New Roman" w:cs="Times New Roman"/>
                <w:bCs/>
              </w:rPr>
            </w:pPr>
            <w:r w:rsidRPr="00C01044">
              <w:rPr>
                <w:rFonts w:ascii="Times New Roman" w:hAnsi="Times New Roman" w:cs="Times New Roman"/>
                <w:bCs/>
              </w:rPr>
              <w:t xml:space="preserve">Nuostatų </w:t>
            </w:r>
            <w:r w:rsidR="00AE0287" w:rsidRPr="00C01044">
              <w:rPr>
                <w:rFonts w:ascii="Times New Roman" w:hAnsi="Times New Roman" w:cs="Times New Roman"/>
                <w:bCs/>
              </w:rPr>
              <w:t xml:space="preserve">projekto </w:t>
            </w:r>
            <w:r w:rsidRPr="00C01044">
              <w:rPr>
                <w:rFonts w:ascii="Times New Roman" w:hAnsi="Times New Roman" w:cs="Times New Roman"/>
                <w:bCs/>
              </w:rPr>
              <w:t>8</w:t>
            </w:r>
            <w:r w:rsidR="008051B7" w:rsidRPr="00C01044">
              <w:rPr>
                <w:rFonts w:ascii="Times New Roman" w:hAnsi="Times New Roman" w:cs="Times New Roman"/>
                <w:bCs/>
              </w:rPr>
              <w:t>2</w:t>
            </w:r>
            <w:r w:rsidRPr="00C01044">
              <w:rPr>
                <w:rFonts w:ascii="Times New Roman" w:hAnsi="Times New Roman" w:cs="Times New Roman"/>
                <w:bCs/>
              </w:rPr>
              <w:t xml:space="preserve"> p</w:t>
            </w:r>
            <w:r w:rsidR="00BB365A">
              <w:rPr>
                <w:rFonts w:ascii="Times New Roman" w:hAnsi="Times New Roman" w:cs="Times New Roman"/>
                <w:bCs/>
              </w:rPr>
              <w:t>unkto</w:t>
            </w:r>
            <w:r w:rsidRPr="00C01044">
              <w:rPr>
                <w:rFonts w:ascii="Times New Roman" w:hAnsi="Times New Roman" w:cs="Times New Roman"/>
                <w:bCs/>
              </w:rPr>
              <w:t xml:space="preserve"> formuluotė patikslinta. Registro pažymų ir išrašų teikimo tvarka ir terminai nustatyti Registro objektų registravimo ir duomenų teikimo taisyklėse. Jų pateikimo terminai yra trumpesni – įprasta tvarka – 10 darbo dienų, skubos tvarka – 1 darbo diena</w:t>
            </w:r>
            <w:r w:rsidR="003B669D" w:rsidRPr="00C01044">
              <w:rPr>
                <w:rFonts w:ascii="Times New Roman" w:hAnsi="Times New Roman" w:cs="Times New Roman"/>
                <w:bCs/>
              </w:rPr>
              <w:t>.</w:t>
            </w:r>
          </w:p>
        </w:tc>
      </w:tr>
      <w:tr w:rsidR="0035611D" w:rsidRPr="00C01044" w14:paraId="3AAFAB7F" w14:textId="77777777" w:rsidTr="00CF1CF0">
        <w:tc>
          <w:tcPr>
            <w:tcW w:w="1673" w:type="dxa"/>
          </w:tcPr>
          <w:p w14:paraId="055D7ABB" w14:textId="51F70C21" w:rsidR="0035611D" w:rsidRPr="00C01044" w:rsidRDefault="0035611D" w:rsidP="0035611D">
            <w:pPr>
              <w:jc w:val="both"/>
              <w:rPr>
                <w:rFonts w:ascii="Times New Roman" w:hAnsi="Times New Roman" w:cs="Times New Roman"/>
              </w:rPr>
            </w:pPr>
          </w:p>
        </w:tc>
        <w:tc>
          <w:tcPr>
            <w:tcW w:w="6686" w:type="dxa"/>
          </w:tcPr>
          <w:p w14:paraId="6E3A01BE" w14:textId="74764AC6" w:rsidR="0035611D" w:rsidRPr="00C01044" w:rsidRDefault="00061AF6" w:rsidP="00CF1CF0">
            <w:pPr>
              <w:pStyle w:val="Sraopastraipa"/>
              <w:ind w:left="0"/>
              <w:jc w:val="both"/>
              <w:rPr>
                <w:rFonts w:ascii="Times New Roman" w:hAnsi="Times New Roman" w:cs="Times New Roman"/>
              </w:rPr>
            </w:pPr>
            <w:r w:rsidRPr="00C01044">
              <w:rPr>
                <w:rFonts w:ascii="Times New Roman" w:hAnsi="Times New Roman" w:cs="Times New Roman"/>
              </w:rPr>
              <w:t xml:space="preserve">13. </w:t>
            </w:r>
            <w:r w:rsidR="0090419E" w:rsidRPr="00C01044">
              <w:rPr>
                <w:rFonts w:ascii="Times New Roman" w:hAnsi="Times New Roman" w:cs="Times New Roman"/>
              </w:rPr>
              <w:t xml:space="preserve">Siūlome Nuostatuose tikslinti duodamas nuorodas į teisės aktus. Atsižvelgiant į Teisės aktų projektų rengimo rekomendacijų, patvirtintų Lietuvos Respublikos teisingumo ministro 2013 m. gruodžio 23 d. įsakymu Nr. 1R-298, 13 punktą siūlome tikslinti duodamą nuorodą į žemesnės galios teisės aktą (pvz., Nuostatų 92.8 papunktis), 15.3 papunktį – į Vyriausybės teisės aktus (pvz., Nuostatų 79, 96 punktai). Taip pat Nuostatų 92.7 papunktyje tikslintina nuoroda į teisės aktą, nes jame nurodytas teisės aktas nuo 2019 m. sausio 1 d. negalioja. </w:t>
            </w:r>
          </w:p>
        </w:tc>
        <w:tc>
          <w:tcPr>
            <w:tcW w:w="5386" w:type="dxa"/>
          </w:tcPr>
          <w:p w14:paraId="4512DDA4" w14:textId="77777777" w:rsidR="0035611D" w:rsidRPr="00C01044" w:rsidRDefault="0090419E" w:rsidP="0035611D">
            <w:pPr>
              <w:jc w:val="both"/>
              <w:rPr>
                <w:rFonts w:ascii="Times New Roman" w:hAnsi="Times New Roman" w:cs="Times New Roman"/>
                <w:b/>
                <w:bCs/>
              </w:rPr>
            </w:pPr>
            <w:r w:rsidRPr="00C01044">
              <w:rPr>
                <w:rFonts w:ascii="Times New Roman" w:hAnsi="Times New Roman" w:cs="Times New Roman"/>
                <w:b/>
                <w:bCs/>
              </w:rPr>
              <w:t>Atsižvelgta iš dalies.</w:t>
            </w:r>
          </w:p>
          <w:p w14:paraId="4261BD80" w14:textId="56A1AFF1" w:rsidR="0090419E" w:rsidRPr="00C01044" w:rsidRDefault="003B669D" w:rsidP="00A94691">
            <w:pPr>
              <w:jc w:val="both"/>
              <w:rPr>
                <w:rFonts w:ascii="Times New Roman" w:hAnsi="Times New Roman" w:cs="Times New Roman"/>
                <w:bCs/>
              </w:rPr>
            </w:pPr>
            <w:r w:rsidRPr="00C01044">
              <w:rPr>
                <w:rFonts w:ascii="Times New Roman" w:hAnsi="Times New Roman" w:cs="Times New Roman"/>
                <w:bCs/>
              </w:rPr>
              <w:t>Aprašo 19.4 papunktyje nenustatytas reikalavimas tiksliai nurody</w:t>
            </w:r>
            <w:bookmarkStart w:id="4" w:name="_GoBack"/>
            <w:bookmarkEnd w:id="4"/>
            <w:r w:rsidRPr="00C01044">
              <w:rPr>
                <w:rFonts w:ascii="Times New Roman" w:hAnsi="Times New Roman" w:cs="Times New Roman"/>
                <w:bCs/>
              </w:rPr>
              <w:t xml:space="preserve">ti teisės aktą, kuriuo patvirtinti atlyginimo už duomenų teikimą dydžiai. Pažymėtina, kad pakeitus Registro nuostatus, bus keičiamas ir </w:t>
            </w:r>
            <w:r w:rsidR="00A94691" w:rsidRPr="00C01044">
              <w:rPr>
                <w:rFonts w:ascii="Times New Roman" w:hAnsi="Times New Roman" w:cs="Times New Roman"/>
                <w:bCs/>
              </w:rPr>
              <w:t xml:space="preserve">Lietuvos Respublikos </w:t>
            </w:r>
            <w:r w:rsidRPr="00C01044">
              <w:rPr>
                <w:rFonts w:ascii="Times New Roman" w:hAnsi="Times New Roman" w:cs="Times New Roman"/>
                <w:bCs/>
              </w:rPr>
              <w:t>Vyriausybės nutarimas, kuriuo patvirtinti atlyginimo už Registro duomenų teikimą dydžiai ir tikėtina, kad pasikeis minėto teisės akto pavadinimas, todėl Nuostatų projekto 7</w:t>
            </w:r>
            <w:r w:rsidR="008051B7" w:rsidRPr="00C01044">
              <w:rPr>
                <w:rFonts w:ascii="Times New Roman" w:hAnsi="Times New Roman" w:cs="Times New Roman"/>
                <w:bCs/>
              </w:rPr>
              <w:t>8</w:t>
            </w:r>
            <w:r w:rsidRPr="00C01044">
              <w:rPr>
                <w:rFonts w:ascii="Times New Roman" w:hAnsi="Times New Roman" w:cs="Times New Roman"/>
                <w:bCs/>
              </w:rPr>
              <w:t xml:space="preserve"> p</w:t>
            </w:r>
            <w:r w:rsidR="00BB365A">
              <w:rPr>
                <w:rFonts w:ascii="Times New Roman" w:hAnsi="Times New Roman" w:cs="Times New Roman"/>
                <w:bCs/>
              </w:rPr>
              <w:t>unkte</w:t>
            </w:r>
            <w:r w:rsidRPr="00C01044">
              <w:rPr>
                <w:rFonts w:ascii="Times New Roman" w:hAnsi="Times New Roman" w:cs="Times New Roman"/>
                <w:bCs/>
              </w:rPr>
              <w:t xml:space="preserve"> nepateikiama tikslios nuorodos į teisės aktą, kuriuo patvirtinami atlyginimo už dokumentų teikimą dydžiai.</w:t>
            </w:r>
          </w:p>
        </w:tc>
      </w:tr>
      <w:tr w:rsidR="0035611D" w:rsidRPr="00C01044" w14:paraId="04E10139" w14:textId="77777777" w:rsidTr="00CF1CF0">
        <w:tc>
          <w:tcPr>
            <w:tcW w:w="1673" w:type="dxa"/>
          </w:tcPr>
          <w:p w14:paraId="5E04001D" w14:textId="7FCDBA3C" w:rsidR="0035611D" w:rsidRPr="00C01044" w:rsidRDefault="0035611D" w:rsidP="0035611D">
            <w:pPr>
              <w:jc w:val="both"/>
              <w:rPr>
                <w:rFonts w:ascii="Times New Roman" w:hAnsi="Times New Roman" w:cs="Times New Roman"/>
              </w:rPr>
            </w:pPr>
          </w:p>
        </w:tc>
        <w:tc>
          <w:tcPr>
            <w:tcW w:w="6686" w:type="dxa"/>
          </w:tcPr>
          <w:p w14:paraId="08FEB407" w14:textId="1FD30EF9" w:rsidR="0035611D" w:rsidRPr="00C01044" w:rsidRDefault="00061AF6" w:rsidP="00061AF6">
            <w:pPr>
              <w:jc w:val="both"/>
              <w:rPr>
                <w:rFonts w:ascii="Times New Roman" w:hAnsi="Times New Roman" w:cs="Times New Roman"/>
              </w:rPr>
            </w:pPr>
            <w:r w:rsidRPr="00C01044">
              <w:rPr>
                <w:rFonts w:ascii="Times New Roman" w:hAnsi="Times New Roman" w:cs="Times New Roman"/>
              </w:rPr>
              <w:t xml:space="preserve">14. </w:t>
            </w:r>
            <w:r w:rsidR="004B1D9A" w:rsidRPr="00C01044">
              <w:rPr>
                <w:rFonts w:ascii="Times New Roman" w:hAnsi="Times New Roman" w:cs="Times New Roman"/>
              </w:rPr>
              <w:t>Atsižvelgiant į tai, kad Nuostatuose nustatyti nauji informaciniai įpareigojimai (Registro duomenų teikėjams, teismams ir prokuratūroms teikti Registrui atitinkamų procesinių dokumentų kopijas), turėtų būti įvertintas poveikis administracinei naštai.</w:t>
            </w:r>
          </w:p>
          <w:p w14:paraId="5A8535D2" w14:textId="1B6EE973" w:rsidR="004B1D9A" w:rsidRPr="00C01044" w:rsidRDefault="004B1D9A" w:rsidP="004B1D9A">
            <w:pPr>
              <w:pStyle w:val="Sraopastraipa"/>
              <w:ind w:left="0"/>
              <w:jc w:val="both"/>
              <w:rPr>
                <w:rFonts w:ascii="Times New Roman" w:hAnsi="Times New Roman" w:cs="Times New Roman"/>
              </w:rPr>
            </w:pPr>
          </w:p>
        </w:tc>
        <w:tc>
          <w:tcPr>
            <w:tcW w:w="5386" w:type="dxa"/>
          </w:tcPr>
          <w:p w14:paraId="2117D4AF" w14:textId="77777777" w:rsidR="0035611D" w:rsidRPr="00C01044" w:rsidRDefault="00F70AAC" w:rsidP="0035611D">
            <w:pPr>
              <w:jc w:val="both"/>
              <w:rPr>
                <w:rFonts w:ascii="Times New Roman" w:hAnsi="Times New Roman" w:cs="Times New Roman"/>
                <w:b/>
                <w:bCs/>
              </w:rPr>
            </w:pPr>
            <w:r w:rsidRPr="00C01044">
              <w:rPr>
                <w:rFonts w:ascii="Times New Roman" w:hAnsi="Times New Roman" w:cs="Times New Roman"/>
                <w:b/>
                <w:bCs/>
              </w:rPr>
              <w:t>Neatsižvelgta.</w:t>
            </w:r>
          </w:p>
          <w:p w14:paraId="436E9899" w14:textId="7B24872F" w:rsidR="00F70AAC" w:rsidRPr="00C01044" w:rsidRDefault="00F70AAC" w:rsidP="00F70AAC">
            <w:pPr>
              <w:jc w:val="both"/>
              <w:rPr>
                <w:rFonts w:ascii="Times New Roman" w:hAnsi="Times New Roman" w:cs="Times New Roman"/>
                <w:bCs/>
              </w:rPr>
            </w:pPr>
            <w:r w:rsidRPr="00C01044">
              <w:rPr>
                <w:rFonts w:ascii="Times New Roman" w:hAnsi="Times New Roman" w:cs="Times New Roman"/>
                <w:bCs/>
              </w:rPr>
              <w:t>Registro duomenų teikėjai papildomos administracinės naštos nepatirs, nes Registro tvarkytojas duomenis į Registrą įrašys iš Registrui pateikiamų dokumentų, kurie teikiami ir šiuo metu.</w:t>
            </w:r>
          </w:p>
        </w:tc>
      </w:tr>
    </w:tbl>
    <w:p w14:paraId="2AC28995" w14:textId="2A470C67" w:rsidR="003267B8" w:rsidRPr="00C01044" w:rsidRDefault="003267B8" w:rsidP="0035611D">
      <w:pPr>
        <w:spacing w:after="0" w:line="240" w:lineRule="auto"/>
        <w:jc w:val="both"/>
        <w:rPr>
          <w:rFonts w:ascii="Times New Roman" w:hAnsi="Times New Roman" w:cs="Times New Roman"/>
        </w:rPr>
      </w:pPr>
    </w:p>
    <w:sectPr w:rsidR="003267B8" w:rsidRPr="00C01044" w:rsidSect="000E0847">
      <w:headerReference w:type="default" r:id="rId8"/>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8118E" w14:textId="77777777" w:rsidR="003B1695" w:rsidRDefault="003B1695" w:rsidP="000B6524">
      <w:pPr>
        <w:spacing w:after="0" w:line="240" w:lineRule="auto"/>
      </w:pPr>
      <w:r>
        <w:separator/>
      </w:r>
    </w:p>
  </w:endnote>
  <w:endnote w:type="continuationSeparator" w:id="0">
    <w:p w14:paraId="69CB4134" w14:textId="77777777" w:rsidR="003B1695" w:rsidRDefault="003B1695" w:rsidP="000B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240BA" w14:textId="77777777" w:rsidR="003B1695" w:rsidRDefault="003B1695" w:rsidP="000B6524">
      <w:pPr>
        <w:spacing w:after="0" w:line="240" w:lineRule="auto"/>
      </w:pPr>
      <w:r>
        <w:separator/>
      </w:r>
    </w:p>
  </w:footnote>
  <w:footnote w:type="continuationSeparator" w:id="0">
    <w:p w14:paraId="060FAE0F" w14:textId="77777777" w:rsidR="003B1695" w:rsidRDefault="003B1695" w:rsidP="000B6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854122"/>
      <w:docPartObj>
        <w:docPartGallery w:val="Page Numbers (Top of Page)"/>
        <w:docPartUnique/>
      </w:docPartObj>
    </w:sdtPr>
    <w:sdtEndPr>
      <w:rPr>
        <w:rFonts w:ascii="Times New Roman" w:hAnsi="Times New Roman" w:cs="Times New Roman"/>
        <w:sz w:val="24"/>
        <w:szCs w:val="24"/>
      </w:rPr>
    </w:sdtEndPr>
    <w:sdtContent>
      <w:p w14:paraId="32CF021B" w14:textId="2926F688" w:rsidR="00E701E8" w:rsidRPr="00E03FAA" w:rsidRDefault="00E701E8">
        <w:pPr>
          <w:pStyle w:val="Antrats"/>
          <w:jc w:val="center"/>
          <w:rPr>
            <w:rFonts w:ascii="Times New Roman" w:hAnsi="Times New Roman" w:cs="Times New Roman"/>
            <w:sz w:val="24"/>
            <w:szCs w:val="24"/>
          </w:rPr>
        </w:pPr>
        <w:r w:rsidRPr="00E03FAA">
          <w:rPr>
            <w:rFonts w:ascii="Times New Roman" w:hAnsi="Times New Roman" w:cs="Times New Roman"/>
            <w:sz w:val="24"/>
            <w:szCs w:val="24"/>
          </w:rPr>
          <w:fldChar w:fldCharType="begin"/>
        </w:r>
        <w:r w:rsidRPr="00E03FAA">
          <w:rPr>
            <w:rFonts w:ascii="Times New Roman" w:hAnsi="Times New Roman" w:cs="Times New Roman"/>
            <w:sz w:val="24"/>
            <w:szCs w:val="24"/>
          </w:rPr>
          <w:instrText>PAGE   \* MERGEFORMAT</w:instrText>
        </w:r>
        <w:r w:rsidRPr="00E03FAA">
          <w:rPr>
            <w:rFonts w:ascii="Times New Roman" w:hAnsi="Times New Roman" w:cs="Times New Roman"/>
            <w:sz w:val="24"/>
            <w:szCs w:val="24"/>
          </w:rPr>
          <w:fldChar w:fldCharType="separate"/>
        </w:r>
        <w:r w:rsidR="00166190">
          <w:rPr>
            <w:rFonts w:ascii="Times New Roman" w:hAnsi="Times New Roman" w:cs="Times New Roman"/>
            <w:noProof/>
            <w:sz w:val="24"/>
            <w:szCs w:val="24"/>
          </w:rPr>
          <w:t>5</w:t>
        </w:r>
        <w:r w:rsidRPr="00E03FAA">
          <w:rPr>
            <w:rFonts w:ascii="Times New Roman" w:hAnsi="Times New Roman" w:cs="Times New Roman"/>
            <w:sz w:val="24"/>
            <w:szCs w:val="24"/>
          </w:rPr>
          <w:fldChar w:fldCharType="end"/>
        </w:r>
      </w:p>
    </w:sdtContent>
  </w:sdt>
  <w:p w14:paraId="15E4545F" w14:textId="77777777" w:rsidR="000D2E9F" w:rsidRPr="00E701E8" w:rsidRDefault="000D2E9F">
    <w:pPr>
      <w:pStyle w:val="Antrat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9CC"/>
    <w:multiLevelType w:val="hybridMultilevel"/>
    <w:tmpl w:val="615C7C9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703F4"/>
    <w:multiLevelType w:val="hybridMultilevel"/>
    <w:tmpl w:val="77B27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920E1"/>
    <w:multiLevelType w:val="hybridMultilevel"/>
    <w:tmpl w:val="615C7C9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623B2"/>
    <w:multiLevelType w:val="hybridMultilevel"/>
    <w:tmpl w:val="756AE55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152916"/>
    <w:multiLevelType w:val="hybridMultilevel"/>
    <w:tmpl w:val="79588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9D6B4A"/>
    <w:multiLevelType w:val="hybridMultilevel"/>
    <w:tmpl w:val="77B27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14456"/>
    <w:multiLevelType w:val="hybridMultilevel"/>
    <w:tmpl w:val="6B4A7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2C3B3D"/>
    <w:multiLevelType w:val="hybridMultilevel"/>
    <w:tmpl w:val="FFE491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F28F1"/>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9" w15:restartNumberingAfterBreak="0">
    <w:nsid w:val="281E3F9C"/>
    <w:multiLevelType w:val="hybridMultilevel"/>
    <w:tmpl w:val="D68EA972"/>
    <w:lvl w:ilvl="0" w:tplc="A9140AD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1F52635"/>
    <w:multiLevelType w:val="hybridMultilevel"/>
    <w:tmpl w:val="FFE491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5727B6"/>
    <w:multiLevelType w:val="hybridMultilevel"/>
    <w:tmpl w:val="3DEE29D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A85BDE"/>
    <w:multiLevelType w:val="hybridMultilevel"/>
    <w:tmpl w:val="CE3AFC8E"/>
    <w:lvl w:ilvl="0" w:tplc="0427000F">
      <w:start w:val="5"/>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265202"/>
    <w:multiLevelType w:val="hybridMultilevel"/>
    <w:tmpl w:val="FFE491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B535A9"/>
    <w:multiLevelType w:val="hybridMultilevel"/>
    <w:tmpl w:val="2ADEF8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863E16"/>
    <w:multiLevelType w:val="hybridMultilevel"/>
    <w:tmpl w:val="E16A4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3936CD"/>
    <w:multiLevelType w:val="hybridMultilevel"/>
    <w:tmpl w:val="BA945B1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4812D4"/>
    <w:multiLevelType w:val="hybridMultilevel"/>
    <w:tmpl w:val="727EC11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1732E9"/>
    <w:multiLevelType w:val="hybridMultilevel"/>
    <w:tmpl w:val="B072BAE8"/>
    <w:lvl w:ilvl="0" w:tplc="8E46B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92507DC"/>
    <w:multiLevelType w:val="hybridMultilevel"/>
    <w:tmpl w:val="8BC8158C"/>
    <w:lvl w:ilvl="0" w:tplc="C9CE5AD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D2F7F29"/>
    <w:multiLevelType w:val="hybridMultilevel"/>
    <w:tmpl w:val="FFE491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5505CF"/>
    <w:multiLevelType w:val="hybridMultilevel"/>
    <w:tmpl w:val="B072BAE8"/>
    <w:lvl w:ilvl="0" w:tplc="8E46B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0FE7F09"/>
    <w:multiLevelType w:val="hybridMultilevel"/>
    <w:tmpl w:val="7DFCD28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286CE9"/>
    <w:multiLevelType w:val="hybridMultilevel"/>
    <w:tmpl w:val="D1B483B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A50A94"/>
    <w:multiLevelType w:val="multilevel"/>
    <w:tmpl w:val="0427001F"/>
    <w:lvl w:ilvl="0">
      <w:start w:val="1"/>
      <w:numFmt w:val="decimal"/>
      <w:lvlText w:val="%1."/>
      <w:lvlJc w:val="left"/>
      <w:pPr>
        <w:ind w:left="149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2"/>
  </w:num>
  <w:num w:numId="3">
    <w:abstractNumId w:val="22"/>
  </w:num>
  <w:num w:numId="4">
    <w:abstractNumId w:val="0"/>
  </w:num>
  <w:num w:numId="5">
    <w:abstractNumId w:val="6"/>
  </w:num>
  <w:num w:numId="6">
    <w:abstractNumId w:val="11"/>
  </w:num>
  <w:num w:numId="7">
    <w:abstractNumId w:val="16"/>
  </w:num>
  <w:num w:numId="8">
    <w:abstractNumId w:val="18"/>
  </w:num>
  <w:num w:numId="9">
    <w:abstractNumId w:val="3"/>
  </w:num>
  <w:num w:numId="10">
    <w:abstractNumId w:val="7"/>
  </w:num>
  <w:num w:numId="11">
    <w:abstractNumId w:val="21"/>
  </w:num>
  <w:num w:numId="12">
    <w:abstractNumId w:val="23"/>
  </w:num>
  <w:num w:numId="13">
    <w:abstractNumId w:val="17"/>
  </w:num>
  <w:num w:numId="14">
    <w:abstractNumId w:val="1"/>
  </w:num>
  <w:num w:numId="15">
    <w:abstractNumId w:val="8"/>
  </w:num>
  <w:num w:numId="16">
    <w:abstractNumId w:val="5"/>
  </w:num>
  <w:num w:numId="17">
    <w:abstractNumId w:val="10"/>
  </w:num>
  <w:num w:numId="18">
    <w:abstractNumId w:val="13"/>
  </w:num>
  <w:num w:numId="19">
    <w:abstractNumId w:val="20"/>
  </w:num>
  <w:num w:numId="20">
    <w:abstractNumId w:val="2"/>
  </w:num>
  <w:num w:numId="21">
    <w:abstractNumId w:val="9"/>
  </w:num>
  <w:num w:numId="22">
    <w:abstractNumId w:val="19"/>
  </w:num>
  <w:num w:numId="23">
    <w:abstractNumId w:val="14"/>
  </w:num>
  <w:num w:numId="24">
    <w:abstractNumId w:val="4"/>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B3"/>
    <w:rsid w:val="00002728"/>
    <w:rsid w:val="00006D9A"/>
    <w:rsid w:val="00011BB2"/>
    <w:rsid w:val="00011F54"/>
    <w:rsid w:val="00012AC4"/>
    <w:rsid w:val="00013F5D"/>
    <w:rsid w:val="00020378"/>
    <w:rsid w:val="000205E9"/>
    <w:rsid w:val="00032274"/>
    <w:rsid w:val="00034139"/>
    <w:rsid w:val="00035FBE"/>
    <w:rsid w:val="000439D2"/>
    <w:rsid w:val="000447E6"/>
    <w:rsid w:val="00047B30"/>
    <w:rsid w:val="00050178"/>
    <w:rsid w:val="00051B3E"/>
    <w:rsid w:val="00053E5F"/>
    <w:rsid w:val="00057894"/>
    <w:rsid w:val="00061AF6"/>
    <w:rsid w:val="00062357"/>
    <w:rsid w:val="00063BB3"/>
    <w:rsid w:val="00063E1F"/>
    <w:rsid w:val="000646C4"/>
    <w:rsid w:val="00064D24"/>
    <w:rsid w:val="00067A24"/>
    <w:rsid w:val="000722DD"/>
    <w:rsid w:val="00072DD5"/>
    <w:rsid w:val="00074EF6"/>
    <w:rsid w:val="000764D7"/>
    <w:rsid w:val="00076B0D"/>
    <w:rsid w:val="00081ECC"/>
    <w:rsid w:val="000841BE"/>
    <w:rsid w:val="00086195"/>
    <w:rsid w:val="00087D81"/>
    <w:rsid w:val="00090702"/>
    <w:rsid w:val="0009144A"/>
    <w:rsid w:val="00095D73"/>
    <w:rsid w:val="000A2512"/>
    <w:rsid w:val="000A4772"/>
    <w:rsid w:val="000B12C6"/>
    <w:rsid w:val="000B25D4"/>
    <w:rsid w:val="000B6524"/>
    <w:rsid w:val="000C0D84"/>
    <w:rsid w:val="000C0FA8"/>
    <w:rsid w:val="000C48AB"/>
    <w:rsid w:val="000D1972"/>
    <w:rsid w:val="000D2E9F"/>
    <w:rsid w:val="000D3BDA"/>
    <w:rsid w:val="000D4412"/>
    <w:rsid w:val="000E0847"/>
    <w:rsid w:val="000E0D27"/>
    <w:rsid w:val="000E4B6E"/>
    <w:rsid w:val="000E5629"/>
    <w:rsid w:val="000E61F1"/>
    <w:rsid w:val="000E785E"/>
    <w:rsid w:val="000E7E8F"/>
    <w:rsid w:val="000F3103"/>
    <w:rsid w:val="000F36DE"/>
    <w:rsid w:val="000F6F6E"/>
    <w:rsid w:val="00102DBD"/>
    <w:rsid w:val="00112047"/>
    <w:rsid w:val="00115CD4"/>
    <w:rsid w:val="00117281"/>
    <w:rsid w:val="00117C40"/>
    <w:rsid w:val="00123B35"/>
    <w:rsid w:val="00123C25"/>
    <w:rsid w:val="00124C97"/>
    <w:rsid w:val="00125BAB"/>
    <w:rsid w:val="0012663C"/>
    <w:rsid w:val="00135786"/>
    <w:rsid w:val="00140266"/>
    <w:rsid w:val="00141075"/>
    <w:rsid w:val="001431FA"/>
    <w:rsid w:val="001440D5"/>
    <w:rsid w:val="00144820"/>
    <w:rsid w:val="00147492"/>
    <w:rsid w:val="0015009B"/>
    <w:rsid w:val="00156878"/>
    <w:rsid w:val="001569CB"/>
    <w:rsid w:val="001579C4"/>
    <w:rsid w:val="00166190"/>
    <w:rsid w:val="00173A1B"/>
    <w:rsid w:val="00177494"/>
    <w:rsid w:val="00182D25"/>
    <w:rsid w:val="0018713E"/>
    <w:rsid w:val="00187301"/>
    <w:rsid w:val="00193E41"/>
    <w:rsid w:val="00197813"/>
    <w:rsid w:val="001A2AF5"/>
    <w:rsid w:val="001A3332"/>
    <w:rsid w:val="001B3E10"/>
    <w:rsid w:val="001B7A37"/>
    <w:rsid w:val="001B7AD7"/>
    <w:rsid w:val="001C07BC"/>
    <w:rsid w:val="001C18E1"/>
    <w:rsid w:val="001D138B"/>
    <w:rsid w:val="001D153E"/>
    <w:rsid w:val="001D1EEB"/>
    <w:rsid w:val="001D7058"/>
    <w:rsid w:val="001E091D"/>
    <w:rsid w:val="001E62F3"/>
    <w:rsid w:val="001F2B0B"/>
    <w:rsid w:val="001F5981"/>
    <w:rsid w:val="00201CB8"/>
    <w:rsid w:val="0020551A"/>
    <w:rsid w:val="00215391"/>
    <w:rsid w:val="0022012D"/>
    <w:rsid w:val="002232B6"/>
    <w:rsid w:val="00227248"/>
    <w:rsid w:val="00230DBA"/>
    <w:rsid w:val="00232DAC"/>
    <w:rsid w:val="0023699E"/>
    <w:rsid w:val="00240F23"/>
    <w:rsid w:val="0025041F"/>
    <w:rsid w:val="002540A2"/>
    <w:rsid w:val="0026006E"/>
    <w:rsid w:val="00265240"/>
    <w:rsid w:val="00265D61"/>
    <w:rsid w:val="002744AE"/>
    <w:rsid w:val="00275633"/>
    <w:rsid w:val="00276A35"/>
    <w:rsid w:val="00282BD2"/>
    <w:rsid w:val="0028601C"/>
    <w:rsid w:val="00293CDD"/>
    <w:rsid w:val="00293F16"/>
    <w:rsid w:val="00294EC2"/>
    <w:rsid w:val="002A37CB"/>
    <w:rsid w:val="002A3A8B"/>
    <w:rsid w:val="002A5E98"/>
    <w:rsid w:val="002B1765"/>
    <w:rsid w:val="002B1F9C"/>
    <w:rsid w:val="002B6F98"/>
    <w:rsid w:val="002C0412"/>
    <w:rsid w:val="002C0900"/>
    <w:rsid w:val="002C4CC6"/>
    <w:rsid w:val="002C6B2D"/>
    <w:rsid w:val="002D0A06"/>
    <w:rsid w:val="002D0CCA"/>
    <w:rsid w:val="002D1B38"/>
    <w:rsid w:val="002E33EE"/>
    <w:rsid w:val="002E36E6"/>
    <w:rsid w:val="002E4574"/>
    <w:rsid w:val="002E5413"/>
    <w:rsid w:val="002E5517"/>
    <w:rsid w:val="002F1FD1"/>
    <w:rsid w:val="002F3F03"/>
    <w:rsid w:val="002F48E8"/>
    <w:rsid w:val="00310799"/>
    <w:rsid w:val="00310AF1"/>
    <w:rsid w:val="00312EDB"/>
    <w:rsid w:val="00312F08"/>
    <w:rsid w:val="00314D44"/>
    <w:rsid w:val="003151BF"/>
    <w:rsid w:val="00317A06"/>
    <w:rsid w:val="00317EE2"/>
    <w:rsid w:val="00321C0B"/>
    <w:rsid w:val="003267B8"/>
    <w:rsid w:val="00330177"/>
    <w:rsid w:val="00330A87"/>
    <w:rsid w:val="0033161B"/>
    <w:rsid w:val="00331A1B"/>
    <w:rsid w:val="00344EE3"/>
    <w:rsid w:val="003463CD"/>
    <w:rsid w:val="0035611D"/>
    <w:rsid w:val="003610EF"/>
    <w:rsid w:val="00365181"/>
    <w:rsid w:val="00365FD2"/>
    <w:rsid w:val="003704FD"/>
    <w:rsid w:val="00370DEC"/>
    <w:rsid w:val="0037292B"/>
    <w:rsid w:val="0037602E"/>
    <w:rsid w:val="00376CFA"/>
    <w:rsid w:val="003805D8"/>
    <w:rsid w:val="0038133B"/>
    <w:rsid w:val="0038248E"/>
    <w:rsid w:val="003846AA"/>
    <w:rsid w:val="003863C0"/>
    <w:rsid w:val="00387D33"/>
    <w:rsid w:val="00391944"/>
    <w:rsid w:val="00393143"/>
    <w:rsid w:val="003940E6"/>
    <w:rsid w:val="00397F0D"/>
    <w:rsid w:val="003A1E13"/>
    <w:rsid w:val="003A24C0"/>
    <w:rsid w:val="003A41E6"/>
    <w:rsid w:val="003A6806"/>
    <w:rsid w:val="003A72CC"/>
    <w:rsid w:val="003A735D"/>
    <w:rsid w:val="003B1695"/>
    <w:rsid w:val="003B2CFE"/>
    <w:rsid w:val="003B3315"/>
    <w:rsid w:val="003B35D8"/>
    <w:rsid w:val="003B5C31"/>
    <w:rsid w:val="003B669D"/>
    <w:rsid w:val="003C61EE"/>
    <w:rsid w:val="003C77A6"/>
    <w:rsid w:val="003E170A"/>
    <w:rsid w:val="003E2442"/>
    <w:rsid w:val="003F1595"/>
    <w:rsid w:val="003F1E91"/>
    <w:rsid w:val="003F3B20"/>
    <w:rsid w:val="0040239D"/>
    <w:rsid w:val="00403F31"/>
    <w:rsid w:val="00407E76"/>
    <w:rsid w:val="00414979"/>
    <w:rsid w:val="00414B3C"/>
    <w:rsid w:val="004165FA"/>
    <w:rsid w:val="00417527"/>
    <w:rsid w:val="004212DC"/>
    <w:rsid w:val="00423A04"/>
    <w:rsid w:val="0042624C"/>
    <w:rsid w:val="00430263"/>
    <w:rsid w:val="00437446"/>
    <w:rsid w:val="004444C3"/>
    <w:rsid w:val="00445C21"/>
    <w:rsid w:val="00446432"/>
    <w:rsid w:val="00452B8F"/>
    <w:rsid w:val="004639EB"/>
    <w:rsid w:val="0046718E"/>
    <w:rsid w:val="0047097A"/>
    <w:rsid w:val="00472765"/>
    <w:rsid w:val="0047689A"/>
    <w:rsid w:val="00486425"/>
    <w:rsid w:val="004920FB"/>
    <w:rsid w:val="00492A65"/>
    <w:rsid w:val="00495FD5"/>
    <w:rsid w:val="004A0C47"/>
    <w:rsid w:val="004A258C"/>
    <w:rsid w:val="004A2EB8"/>
    <w:rsid w:val="004A3DEF"/>
    <w:rsid w:val="004A5030"/>
    <w:rsid w:val="004A7554"/>
    <w:rsid w:val="004B1D9A"/>
    <w:rsid w:val="004B2B94"/>
    <w:rsid w:val="004C2053"/>
    <w:rsid w:val="004C681E"/>
    <w:rsid w:val="004D0F95"/>
    <w:rsid w:val="004D29CA"/>
    <w:rsid w:val="004D6323"/>
    <w:rsid w:val="004F3E07"/>
    <w:rsid w:val="004F78FB"/>
    <w:rsid w:val="005003C4"/>
    <w:rsid w:val="00501045"/>
    <w:rsid w:val="00501523"/>
    <w:rsid w:val="00506BEF"/>
    <w:rsid w:val="00506F23"/>
    <w:rsid w:val="00507008"/>
    <w:rsid w:val="0050782B"/>
    <w:rsid w:val="00507DF6"/>
    <w:rsid w:val="005111E3"/>
    <w:rsid w:val="00516FFF"/>
    <w:rsid w:val="0052153B"/>
    <w:rsid w:val="00522881"/>
    <w:rsid w:val="0052481F"/>
    <w:rsid w:val="005265C5"/>
    <w:rsid w:val="005334EB"/>
    <w:rsid w:val="005338EE"/>
    <w:rsid w:val="00535349"/>
    <w:rsid w:val="005413EE"/>
    <w:rsid w:val="00543261"/>
    <w:rsid w:val="00545804"/>
    <w:rsid w:val="00546083"/>
    <w:rsid w:val="0055088F"/>
    <w:rsid w:val="00551152"/>
    <w:rsid w:val="005665D7"/>
    <w:rsid w:val="00566D87"/>
    <w:rsid w:val="00570409"/>
    <w:rsid w:val="005712DC"/>
    <w:rsid w:val="005776AF"/>
    <w:rsid w:val="00585B9E"/>
    <w:rsid w:val="00590912"/>
    <w:rsid w:val="005A4A65"/>
    <w:rsid w:val="005A6CB8"/>
    <w:rsid w:val="005B5A30"/>
    <w:rsid w:val="005B5F0E"/>
    <w:rsid w:val="005B6670"/>
    <w:rsid w:val="005B78D9"/>
    <w:rsid w:val="005D3746"/>
    <w:rsid w:val="005D43F5"/>
    <w:rsid w:val="005E3730"/>
    <w:rsid w:val="005F0660"/>
    <w:rsid w:val="005F1260"/>
    <w:rsid w:val="005F242F"/>
    <w:rsid w:val="005F25B1"/>
    <w:rsid w:val="00600125"/>
    <w:rsid w:val="006006B3"/>
    <w:rsid w:val="006066FD"/>
    <w:rsid w:val="00607A09"/>
    <w:rsid w:val="00611D05"/>
    <w:rsid w:val="00613B83"/>
    <w:rsid w:val="0061458F"/>
    <w:rsid w:val="006302A3"/>
    <w:rsid w:val="006314F8"/>
    <w:rsid w:val="00636AFD"/>
    <w:rsid w:val="0063777E"/>
    <w:rsid w:val="00643CE1"/>
    <w:rsid w:val="0064651E"/>
    <w:rsid w:val="00651262"/>
    <w:rsid w:val="00651372"/>
    <w:rsid w:val="0065295A"/>
    <w:rsid w:val="006604C3"/>
    <w:rsid w:val="00665893"/>
    <w:rsid w:val="00665DBE"/>
    <w:rsid w:val="00674087"/>
    <w:rsid w:val="00674210"/>
    <w:rsid w:val="00674D5C"/>
    <w:rsid w:val="006848CF"/>
    <w:rsid w:val="00687AC5"/>
    <w:rsid w:val="0069126F"/>
    <w:rsid w:val="006946F8"/>
    <w:rsid w:val="006A031C"/>
    <w:rsid w:val="006A1292"/>
    <w:rsid w:val="006A649E"/>
    <w:rsid w:val="006A6B3F"/>
    <w:rsid w:val="006B0515"/>
    <w:rsid w:val="006B25AC"/>
    <w:rsid w:val="006B4257"/>
    <w:rsid w:val="006B5C7D"/>
    <w:rsid w:val="006C0488"/>
    <w:rsid w:val="006D2B7D"/>
    <w:rsid w:val="006D37EA"/>
    <w:rsid w:val="006E5B9C"/>
    <w:rsid w:val="006E6112"/>
    <w:rsid w:val="006F194A"/>
    <w:rsid w:val="006F526B"/>
    <w:rsid w:val="006F5443"/>
    <w:rsid w:val="00702DBB"/>
    <w:rsid w:val="007063D3"/>
    <w:rsid w:val="0071036D"/>
    <w:rsid w:val="00711F20"/>
    <w:rsid w:val="00714172"/>
    <w:rsid w:val="007163D6"/>
    <w:rsid w:val="007304D0"/>
    <w:rsid w:val="007324BC"/>
    <w:rsid w:val="00732B8E"/>
    <w:rsid w:val="0073305A"/>
    <w:rsid w:val="00740238"/>
    <w:rsid w:val="00743077"/>
    <w:rsid w:val="007459C0"/>
    <w:rsid w:val="00747059"/>
    <w:rsid w:val="0074784C"/>
    <w:rsid w:val="00761278"/>
    <w:rsid w:val="00771383"/>
    <w:rsid w:val="00772A38"/>
    <w:rsid w:val="00773B72"/>
    <w:rsid w:val="00775CD8"/>
    <w:rsid w:val="00776F7A"/>
    <w:rsid w:val="007772C5"/>
    <w:rsid w:val="00782649"/>
    <w:rsid w:val="00782C0C"/>
    <w:rsid w:val="00783794"/>
    <w:rsid w:val="0078394D"/>
    <w:rsid w:val="00784EF4"/>
    <w:rsid w:val="00787C71"/>
    <w:rsid w:val="0079054F"/>
    <w:rsid w:val="00790D54"/>
    <w:rsid w:val="007A0874"/>
    <w:rsid w:val="007A105D"/>
    <w:rsid w:val="007A1DF4"/>
    <w:rsid w:val="007A4649"/>
    <w:rsid w:val="007B39B0"/>
    <w:rsid w:val="007B4765"/>
    <w:rsid w:val="007B67CE"/>
    <w:rsid w:val="007B6F8F"/>
    <w:rsid w:val="007B7DB1"/>
    <w:rsid w:val="007C153E"/>
    <w:rsid w:val="007C51A6"/>
    <w:rsid w:val="007D13F3"/>
    <w:rsid w:val="007E01E6"/>
    <w:rsid w:val="007E4F40"/>
    <w:rsid w:val="007E5AD8"/>
    <w:rsid w:val="007F190B"/>
    <w:rsid w:val="0080044A"/>
    <w:rsid w:val="00802870"/>
    <w:rsid w:val="00802A4C"/>
    <w:rsid w:val="008051B7"/>
    <w:rsid w:val="00807A40"/>
    <w:rsid w:val="00813C68"/>
    <w:rsid w:val="00824801"/>
    <w:rsid w:val="008335AB"/>
    <w:rsid w:val="008365DA"/>
    <w:rsid w:val="00836A2E"/>
    <w:rsid w:val="00841AD3"/>
    <w:rsid w:val="008462F7"/>
    <w:rsid w:val="00852EDE"/>
    <w:rsid w:val="008530F0"/>
    <w:rsid w:val="008539B2"/>
    <w:rsid w:val="008611D2"/>
    <w:rsid w:val="008615D9"/>
    <w:rsid w:val="008648E1"/>
    <w:rsid w:val="0086548A"/>
    <w:rsid w:val="00865D91"/>
    <w:rsid w:val="00871694"/>
    <w:rsid w:val="0087231A"/>
    <w:rsid w:val="00873963"/>
    <w:rsid w:val="0087556A"/>
    <w:rsid w:val="008858AF"/>
    <w:rsid w:val="008867B5"/>
    <w:rsid w:val="00890AD9"/>
    <w:rsid w:val="008917CF"/>
    <w:rsid w:val="00891898"/>
    <w:rsid w:val="00892770"/>
    <w:rsid w:val="00892D7A"/>
    <w:rsid w:val="00896AC6"/>
    <w:rsid w:val="008A3044"/>
    <w:rsid w:val="008A552B"/>
    <w:rsid w:val="008B1ABF"/>
    <w:rsid w:val="008B3E52"/>
    <w:rsid w:val="008B4599"/>
    <w:rsid w:val="008B7C46"/>
    <w:rsid w:val="008D0199"/>
    <w:rsid w:val="008E0E16"/>
    <w:rsid w:val="008E6649"/>
    <w:rsid w:val="008E7921"/>
    <w:rsid w:val="008F5B7C"/>
    <w:rsid w:val="008F5E4A"/>
    <w:rsid w:val="008F698B"/>
    <w:rsid w:val="008F7958"/>
    <w:rsid w:val="00900947"/>
    <w:rsid w:val="009032BE"/>
    <w:rsid w:val="0090419E"/>
    <w:rsid w:val="00906ABE"/>
    <w:rsid w:val="00907FA0"/>
    <w:rsid w:val="00910251"/>
    <w:rsid w:val="00913ECA"/>
    <w:rsid w:val="009213A3"/>
    <w:rsid w:val="009253DF"/>
    <w:rsid w:val="00926531"/>
    <w:rsid w:val="00932D55"/>
    <w:rsid w:val="00933C79"/>
    <w:rsid w:val="009376B3"/>
    <w:rsid w:val="00937F55"/>
    <w:rsid w:val="00941479"/>
    <w:rsid w:val="00943736"/>
    <w:rsid w:val="009444BA"/>
    <w:rsid w:val="00952D06"/>
    <w:rsid w:val="00954F88"/>
    <w:rsid w:val="00955363"/>
    <w:rsid w:val="00967168"/>
    <w:rsid w:val="0097222F"/>
    <w:rsid w:val="00972822"/>
    <w:rsid w:val="00980E8D"/>
    <w:rsid w:val="009820F2"/>
    <w:rsid w:val="00982D82"/>
    <w:rsid w:val="00983E4B"/>
    <w:rsid w:val="009856B6"/>
    <w:rsid w:val="009A18C7"/>
    <w:rsid w:val="009A3BFD"/>
    <w:rsid w:val="009A3C49"/>
    <w:rsid w:val="009A4CF1"/>
    <w:rsid w:val="009A72E8"/>
    <w:rsid w:val="009B1CE3"/>
    <w:rsid w:val="009B21D9"/>
    <w:rsid w:val="009B5A48"/>
    <w:rsid w:val="009C1D26"/>
    <w:rsid w:val="009D1AAA"/>
    <w:rsid w:val="009D3948"/>
    <w:rsid w:val="009E3E8E"/>
    <w:rsid w:val="009E469A"/>
    <w:rsid w:val="009E4ADF"/>
    <w:rsid w:val="009F1514"/>
    <w:rsid w:val="009F1999"/>
    <w:rsid w:val="009F21F0"/>
    <w:rsid w:val="009F2BA6"/>
    <w:rsid w:val="00A01AED"/>
    <w:rsid w:val="00A020CD"/>
    <w:rsid w:val="00A02DF3"/>
    <w:rsid w:val="00A04DE9"/>
    <w:rsid w:val="00A06299"/>
    <w:rsid w:val="00A071A6"/>
    <w:rsid w:val="00A179FA"/>
    <w:rsid w:val="00A2322F"/>
    <w:rsid w:val="00A313EC"/>
    <w:rsid w:val="00A31758"/>
    <w:rsid w:val="00A36CF7"/>
    <w:rsid w:val="00A419F9"/>
    <w:rsid w:val="00A4403A"/>
    <w:rsid w:val="00A447D1"/>
    <w:rsid w:val="00A44E41"/>
    <w:rsid w:val="00A45DDD"/>
    <w:rsid w:val="00A542E0"/>
    <w:rsid w:val="00A54B2B"/>
    <w:rsid w:val="00A5791E"/>
    <w:rsid w:val="00A60422"/>
    <w:rsid w:val="00A615E9"/>
    <w:rsid w:val="00A66D22"/>
    <w:rsid w:val="00A70BF8"/>
    <w:rsid w:val="00A71795"/>
    <w:rsid w:val="00A9021D"/>
    <w:rsid w:val="00A938F4"/>
    <w:rsid w:val="00A94691"/>
    <w:rsid w:val="00AA1164"/>
    <w:rsid w:val="00AB00B0"/>
    <w:rsid w:val="00AB5DF9"/>
    <w:rsid w:val="00AC3D95"/>
    <w:rsid w:val="00AD1099"/>
    <w:rsid w:val="00AD4BA0"/>
    <w:rsid w:val="00AD58DF"/>
    <w:rsid w:val="00AD67B5"/>
    <w:rsid w:val="00AD69A5"/>
    <w:rsid w:val="00AE0287"/>
    <w:rsid w:val="00AE70B1"/>
    <w:rsid w:val="00AF25DD"/>
    <w:rsid w:val="00AF510B"/>
    <w:rsid w:val="00AF565E"/>
    <w:rsid w:val="00B00EB1"/>
    <w:rsid w:val="00B02722"/>
    <w:rsid w:val="00B0278D"/>
    <w:rsid w:val="00B21515"/>
    <w:rsid w:val="00B219D7"/>
    <w:rsid w:val="00B21CBA"/>
    <w:rsid w:val="00B24A90"/>
    <w:rsid w:val="00B24FDD"/>
    <w:rsid w:val="00B25119"/>
    <w:rsid w:val="00B30002"/>
    <w:rsid w:val="00B3504C"/>
    <w:rsid w:val="00B35A6A"/>
    <w:rsid w:val="00B36ADE"/>
    <w:rsid w:val="00B4070F"/>
    <w:rsid w:val="00B420AB"/>
    <w:rsid w:val="00B43267"/>
    <w:rsid w:val="00B477B0"/>
    <w:rsid w:val="00B47FE7"/>
    <w:rsid w:val="00B50557"/>
    <w:rsid w:val="00B51E1A"/>
    <w:rsid w:val="00B6318D"/>
    <w:rsid w:val="00B64F8B"/>
    <w:rsid w:val="00B706AA"/>
    <w:rsid w:val="00B71F55"/>
    <w:rsid w:val="00B73506"/>
    <w:rsid w:val="00B742DD"/>
    <w:rsid w:val="00B742F4"/>
    <w:rsid w:val="00B7628C"/>
    <w:rsid w:val="00B7673F"/>
    <w:rsid w:val="00B7693E"/>
    <w:rsid w:val="00B834E6"/>
    <w:rsid w:val="00B837E0"/>
    <w:rsid w:val="00B840DD"/>
    <w:rsid w:val="00B85101"/>
    <w:rsid w:val="00B878AE"/>
    <w:rsid w:val="00B91970"/>
    <w:rsid w:val="00B91F0C"/>
    <w:rsid w:val="00BA1EAD"/>
    <w:rsid w:val="00BA6551"/>
    <w:rsid w:val="00BB0669"/>
    <w:rsid w:val="00BB126F"/>
    <w:rsid w:val="00BB365A"/>
    <w:rsid w:val="00BB6611"/>
    <w:rsid w:val="00BC225F"/>
    <w:rsid w:val="00BC3022"/>
    <w:rsid w:val="00BC39FB"/>
    <w:rsid w:val="00BD1E30"/>
    <w:rsid w:val="00BD462F"/>
    <w:rsid w:val="00BD505F"/>
    <w:rsid w:val="00BD67D3"/>
    <w:rsid w:val="00BE0B03"/>
    <w:rsid w:val="00BE26DE"/>
    <w:rsid w:val="00BE33F5"/>
    <w:rsid w:val="00BE5722"/>
    <w:rsid w:val="00BF12B6"/>
    <w:rsid w:val="00BF1A75"/>
    <w:rsid w:val="00BF2F66"/>
    <w:rsid w:val="00BF36CD"/>
    <w:rsid w:val="00C01044"/>
    <w:rsid w:val="00C01220"/>
    <w:rsid w:val="00C029E3"/>
    <w:rsid w:val="00C03D3F"/>
    <w:rsid w:val="00C03DFA"/>
    <w:rsid w:val="00C05995"/>
    <w:rsid w:val="00C05B74"/>
    <w:rsid w:val="00C06B11"/>
    <w:rsid w:val="00C07371"/>
    <w:rsid w:val="00C10091"/>
    <w:rsid w:val="00C11D8E"/>
    <w:rsid w:val="00C12736"/>
    <w:rsid w:val="00C13DC9"/>
    <w:rsid w:val="00C20E8D"/>
    <w:rsid w:val="00C23A40"/>
    <w:rsid w:val="00C24D04"/>
    <w:rsid w:val="00C26A98"/>
    <w:rsid w:val="00C33DEB"/>
    <w:rsid w:val="00C3579C"/>
    <w:rsid w:val="00C40AC0"/>
    <w:rsid w:val="00C41C49"/>
    <w:rsid w:val="00C53AB0"/>
    <w:rsid w:val="00C53EBF"/>
    <w:rsid w:val="00C54831"/>
    <w:rsid w:val="00C54D99"/>
    <w:rsid w:val="00C57BCF"/>
    <w:rsid w:val="00C63A63"/>
    <w:rsid w:val="00C6799E"/>
    <w:rsid w:val="00C67A09"/>
    <w:rsid w:val="00C7136F"/>
    <w:rsid w:val="00C729F3"/>
    <w:rsid w:val="00C733FA"/>
    <w:rsid w:val="00C74F17"/>
    <w:rsid w:val="00C809A0"/>
    <w:rsid w:val="00C8143C"/>
    <w:rsid w:val="00C84A1D"/>
    <w:rsid w:val="00CA3B44"/>
    <w:rsid w:val="00CA6928"/>
    <w:rsid w:val="00CA7AA4"/>
    <w:rsid w:val="00CB20FA"/>
    <w:rsid w:val="00CB68C4"/>
    <w:rsid w:val="00CC417D"/>
    <w:rsid w:val="00CC6B7B"/>
    <w:rsid w:val="00CD67AE"/>
    <w:rsid w:val="00CE217D"/>
    <w:rsid w:val="00CF1CF0"/>
    <w:rsid w:val="00CF3AE2"/>
    <w:rsid w:val="00CF45DB"/>
    <w:rsid w:val="00CF483E"/>
    <w:rsid w:val="00D00996"/>
    <w:rsid w:val="00D05323"/>
    <w:rsid w:val="00D06617"/>
    <w:rsid w:val="00D13010"/>
    <w:rsid w:val="00D150C0"/>
    <w:rsid w:val="00D20F83"/>
    <w:rsid w:val="00D21B11"/>
    <w:rsid w:val="00D23AD6"/>
    <w:rsid w:val="00D2617F"/>
    <w:rsid w:val="00D36315"/>
    <w:rsid w:val="00D4054F"/>
    <w:rsid w:val="00D40AD8"/>
    <w:rsid w:val="00D40F99"/>
    <w:rsid w:val="00D41E9C"/>
    <w:rsid w:val="00D424DF"/>
    <w:rsid w:val="00D455F1"/>
    <w:rsid w:val="00D530E0"/>
    <w:rsid w:val="00D60E7F"/>
    <w:rsid w:val="00D61AAB"/>
    <w:rsid w:val="00D704F5"/>
    <w:rsid w:val="00D70F66"/>
    <w:rsid w:val="00D74309"/>
    <w:rsid w:val="00D77D90"/>
    <w:rsid w:val="00D82707"/>
    <w:rsid w:val="00D949C7"/>
    <w:rsid w:val="00DA3AD8"/>
    <w:rsid w:val="00DA3BC9"/>
    <w:rsid w:val="00DA46FE"/>
    <w:rsid w:val="00DA76AC"/>
    <w:rsid w:val="00DB6658"/>
    <w:rsid w:val="00DB7436"/>
    <w:rsid w:val="00DC0786"/>
    <w:rsid w:val="00DC3352"/>
    <w:rsid w:val="00DC3A23"/>
    <w:rsid w:val="00DD0CAB"/>
    <w:rsid w:val="00DD3A40"/>
    <w:rsid w:val="00DD5FFD"/>
    <w:rsid w:val="00DE2326"/>
    <w:rsid w:val="00DF24D7"/>
    <w:rsid w:val="00DF59D1"/>
    <w:rsid w:val="00DF6C3D"/>
    <w:rsid w:val="00E03FAA"/>
    <w:rsid w:val="00E04C35"/>
    <w:rsid w:val="00E062AA"/>
    <w:rsid w:val="00E062B2"/>
    <w:rsid w:val="00E164DD"/>
    <w:rsid w:val="00E171A6"/>
    <w:rsid w:val="00E17841"/>
    <w:rsid w:val="00E20D48"/>
    <w:rsid w:val="00E2555A"/>
    <w:rsid w:val="00E26AC8"/>
    <w:rsid w:val="00E317BC"/>
    <w:rsid w:val="00E3559D"/>
    <w:rsid w:val="00E37B70"/>
    <w:rsid w:val="00E37CAD"/>
    <w:rsid w:val="00E43699"/>
    <w:rsid w:val="00E46A24"/>
    <w:rsid w:val="00E51659"/>
    <w:rsid w:val="00E51758"/>
    <w:rsid w:val="00E543DC"/>
    <w:rsid w:val="00E55B67"/>
    <w:rsid w:val="00E617DE"/>
    <w:rsid w:val="00E652CD"/>
    <w:rsid w:val="00E67C78"/>
    <w:rsid w:val="00E701E8"/>
    <w:rsid w:val="00E707C9"/>
    <w:rsid w:val="00E76B44"/>
    <w:rsid w:val="00E807E2"/>
    <w:rsid w:val="00E83098"/>
    <w:rsid w:val="00E93AE3"/>
    <w:rsid w:val="00EA0DAC"/>
    <w:rsid w:val="00EB7D62"/>
    <w:rsid w:val="00EC583B"/>
    <w:rsid w:val="00ED1EF9"/>
    <w:rsid w:val="00EE0916"/>
    <w:rsid w:val="00EE2885"/>
    <w:rsid w:val="00EE4053"/>
    <w:rsid w:val="00EE4664"/>
    <w:rsid w:val="00EF209C"/>
    <w:rsid w:val="00EF3ADF"/>
    <w:rsid w:val="00F02CFF"/>
    <w:rsid w:val="00F1053D"/>
    <w:rsid w:val="00F23AF6"/>
    <w:rsid w:val="00F24715"/>
    <w:rsid w:val="00F24B4B"/>
    <w:rsid w:val="00F27B37"/>
    <w:rsid w:val="00F31A25"/>
    <w:rsid w:val="00F37658"/>
    <w:rsid w:val="00F42A6A"/>
    <w:rsid w:val="00F42EC1"/>
    <w:rsid w:val="00F50379"/>
    <w:rsid w:val="00F51370"/>
    <w:rsid w:val="00F53F42"/>
    <w:rsid w:val="00F55A83"/>
    <w:rsid w:val="00F55B9F"/>
    <w:rsid w:val="00F70AAC"/>
    <w:rsid w:val="00F73851"/>
    <w:rsid w:val="00F76459"/>
    <w:rsid w:val="00F77313"/>
    <w:rsid w:val="00F80683"/>
    <w:rsid w:val="00F808F1"/>
    <w:rsid w:val="00F809C2"/>
    <w:rsid w:val="00F80D43"/>
    <w:rsid w:val="00F8132C"/>
    <w:rsid w:val="00F8576D"/>
    <w:rsid w:val="00F914BF"/>
    <w:rsid w:val="00F93F3A"/>
    <w:rsid w:val="00F9614D"/>
    <w:rsid w:val="00F96436"/>
    <w:rsid w:val="00F96EBB"/>
    <w:rsid w:val="00F9739A"/>
    <w:rsid w:val="00FA23B7"/>
    <w:rsid w:val="00FA2490"/>
    <w:rsid w:val="00FA2A33"/>
    <w:rsid w:val="00FB37E4"/>
    <w:rsid w:val="00FB6791"/>
    <w:rsid w:val="00FC1422"/>
    <w:rsid w:val="00FC28F9"/>
    <w:rsid w:val="00FC3666"/>
    <w:rsid w:val="00FC69CE"/>
    <w:rsid w:val="00FD3E37"/>
    <w:rsid w:val="00FD3EBC"/>
    <w:rsid w:val="00FD7095"/>
    <w:rsid w:val="00FE0B48"/>
    <w:rsid w:val="00FE2B9D"/>
    <w:rsid w:val="00FE2E55"/>
    <w:rsid w:val="00FE3AF3"/>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2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81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76B3"/>
    <w:pPr>
      <w:ind w:left="720"/>
      <w:contextualSpacing/>
    </w:pPr>
  </w:style>
  <w:style w:type="character" w:styleId="Komentaronuoroda">
    <w:name w:val="annotation reference"/>
    <w:basedOn w:val="Numatytasispastraiposriftas"/>
    <w:uiPriority w:val="99"/>
    <w:semiHidden/>
    <w:unhideWhenUsed/>
    <w:rsid w:val="009F1514"/>
    <w:rPr>
      <w:sz w:val="16"/>
      <w:szCs w:val="16"/>
    </w:rPr>
  </w:style>
  <w:style w:type="paragraph" w:styleId="Komentarotekstas">
    <w:name w:val="annotation text"/>
    <w:basedOn w:val="prastasis"/>
    <w:link w:val="KomentarotekstasDiagrama"/>
    <w:uiPriority w:val="99"/>
    <w:unhideWhenUsed/>
    <w:rsid w:val="009F15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1514"/>
    <w:rPr>
      <w:sz w:val="20"/>
      <w:szCs w:val="20"/>
      <w:lang w:val="lt-LT"/>
    </w:rPr>
  </w:style>
  <w:style w:type="paragraph" w:styleId="Komentarotema">
    <w:name w:val="annotation subject"/>
    <w:basedOn w:val="Komentarotekstas"/>
    <w:next w:val="Komentarotekstas"/>
    <w:link w:val="KomentarotemaDiagrama"/>
    <w:uiPriority w:val="99"/>
    <w:semiHidden/>
    <w:unhideWhenUsed/>
    <w:rsid w:val="009F1514"/>
    <w:rPr>
      <w:b/>
      <w:bCs/>
    </w:rPr>
  </w:style>
  <w:style w:type="character" w:customStyle="1" w:styleId="KomentarotemaDiagrama">
    <w:name w:val="Komentaro tema Diagrama"/>
    <w:basedOn w:val="KomentarotekstasDiagrama"/>
    <w:link w:val="Komentarotema"/>
    <w:uiPriority w:val="99"/>
    <w:semiHidden/>
    <w:rsid w:val="009F1514"/>
    <w:rPr>
      <w:b/>
      <w:bCs/>
      <w:sz w:val="20"/>
      <w:szCs w:val="20"/>
      <w:lang w:val="lt-LT"/>
    </w:rPr>
  </w:style>
  <w:style w:type="paragraph" w:styleId="Debesliotekstas">
    <w:name w:val="Balloon Text"/>
    <w:basedOn w:val="prastasis"/>
    <w:link w:val="DebesliotekstasDiagrama"/>
    <w:uiPriority w:val="99"/>
    <w:semiHidden/>
    <w:unhideWhenUsed/>
    <w:rsid w:val="009F15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514"/>
    <w:rPr>
      <w:rFonts w:ascii="Segoe UI" w:hAnsi="Segoe UI" w:cs="Segoe UI"/>
      <w:sz w:val="18"/>
      <w:szCs w:val="18"/>
      <w:lang w:val="lt-LT"/>
    </w:rPr>
  </w:style>
  <w:style w:type="paragraph" w:styleId="Pataisymai">
    <w:name w:val="Revision"/>
    <w:hidden/>
    <w:uiPriority w:val="99"/>
    <w:semiHidden/>
    <w:rsid w:val="000B6524"/>
    <w:pPr>
      <w:spacing w:after="0" w:line="240" w:lineRule="auto"/>
    </w:pPr>
    <w:rPr>
      <w:lang w:val="lt-LT"/>
    </w:rPr>
  </w:style>
  <w:style w:type="paragraph" w:styleId="Antrats">
    <w:name w:val="header"/>
    <w:basedOn w:val="prastasis"/>
    <w:link w:val="AntratsDiagrama"/>
    <w:uiPriority w:val="99"/>
    <w:unhideWhenUsed/>
    <w:rsid w:val="000B65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6524"/>
    <w:rPr>
      <w:lang w:val="lt-LT"/>
    </w:rPr>
  </w:style>
  <w:style w:type="paragraph" w:styleId="Porat">
    <w:name w:val="footer"/>
    <w:basedOn w:val="prastasis"/>
    <w:link w:val="PoratDiagrama"/>
    <w:uiPriority w:val="99"/>
    <w:unhideWhenUsed/>
    <w:rsid w:val="000B65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6524"/>
    <w:rPr>
      <w:lang w:val="lt-LT"/>
    </w:rPr>
  </w:style>
  <w:style w:type="paragraph" w:customStyle="1" w:styleId="Preformatted">
    <w:name w:val="Preformatted"/>
    <w:basedOn w:val="prastasis"/>
    <w:rsid w:val="008A304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Antraste">
    <w:name w:val="Antraste"/>
    <w:basedOn w:val="prastasis"/>
    <w:link w:val="AntrasteChar"/>
    <w:qFormat/>
    <w:rsid w:val="008A3044"/>
    <w:pPr>
      <w:tabs>
        <w:tab w:val="left" w:pos="6804"/>
      </w:tabs>
      <w:spacing w:after="0" w:line="240" w:lineRule="auto"/>
      <w:jc w:val="center"/>
    </w:pPr>
    <w:rPr>
      <w:rFonts w:ascii="Times New Roman" w:eastAsia="Times New Roman" w:hAnsi="Times New Roman" w:cs="Times New Roman"/>
      <w:b/>
      <w:caps/>
      <w:sz w:val="24"/>
      <w:szCs w:val="24"/>
      <w:lang w:eastAsia="lt-LT"/>
    </w:rPr>
  </w:style>
  <w:style w:type="character" w:customStyle="1" w:styleId="AntrasteChar">
    <w:name w:val="Antraste Char"/>
    <w:basedOn w:val="Numatytasispastraiposriftas"/>
    <w:link w:val="Antraste"/>
    <w:rsid w:val="008A3044"/>
    <w:rPr>
      <w:rFonts w:ascii="Times New Roman" w:eastAsia="Times New Roman" w:hAnsi="Times New Roman" w:cs="Times New Roman"/>
      <w:b/>
      <w:caps/>
      <w:sz w:val="24"/>
      <w:szCs w:val="24"/>
      <w:lang w:val="lt-LT" w:eastAsia="lt-LT"/>
    </w:rPr>
  </w:style>
  <w:style w:type="character" w:styleId="Hipersaitas">
    <w:name w:val="Hyperlink"/>
    <w:basedOn w:val="Numatytasispastraiposriftas"/>
    <w:uiPriority w:val="99"/>
    <w:unhideWhenUsed/>
    <w:rsid w:val="00A71795"/>
    <w:rPr>
      <w:color w:val="0563C1" w:themeColor="hyperlink"/>
      <w:u w:val="single"/>
    </w:rPr>
  </w:style>
  <w:style w:type="paragraph" w:customStyle="1" w:styleId="Default">
    <w:name w:val="Default"/>
    <w:rsid w:val="000439D2"/>
    <w:pPr>
      <w:autoSpaceDE w:val="0"/>
      <w:autoSpaceDN w:val="0"/>
      <w:adjustRightInd w:val="0"/>
      <w:spacing w:after="0" w:line="240" w:lineRule="auto"/>
    </w:pPr>
    <w:rPr>
      <w:rFonts w:ascii="Arial" w:hAnsi="Arial" w:cs="Arial"/>
      <w:color w:val="000000"/>
      <w:sz w:val="24"/>
      <w:szCs w:val="24"/>
      <w:lang w:val="lt-LT"/>
    </w:rPr>
  </w:style>
  <w:style w:type="character" w:customStyle="1" w:styleId="CharStyle3">
    <w:name w:val="Char Style 3"/>
    <w:basedOn w:val="Numatytasispastraiposriftas"/>
    <w:link w:val="Style2"/>
    <w:uiPriority w:val="99"/>
    <w:rsid w:val="00F50379"/>
    <w:rPr>
      <w:sz w:val="19"/>
      <w:szCs w:val="19"/>
      <w:shd w:val="clear" w:color="auto" w:fill="FFFFFF"/>
    </w:rPr>
  </w:style>
  <w:style w:type="character" w:customStyle="1" w:styleId="CharStyle4">
    <w:name w:val="Char Style 4"/>
    <w:basedOn w:val="CharStyle3"/>
    <w:uiPriority w:val="99"/>
    <w:rsid w:val="00F50379"/>
    <w:rPr>
      <w:rFonts w:ascii="Times New Roman" w:hAnsi="Times New Roman" w:cs="Times New Roman"/>
      <w:sz w:val="19"/>
      <w:szCs w:val="19"/>
      <w:u w:val="single"/>
      <w:shd w:val="clear" w:color="auto" w:fill="FFFFFF"/>
      <w:lang w:val="en-US" w:eastAsia="en-US"/>
    </w:rPr>
  </w:style>
  <w:style w:type="character" w:customStyle="1" w:styleId="CharStyle21">
    <w:name w:val="Char Style 21"/>
    <w:basedOn w:val="Numatytasispastraiposriftas"/>
    <w:link w:val="Style20"/>
    <w:uiPriority w:val="99"/>
    <w:rsid w:val="00F50379"/>
    <w:rPr>
      <w:spacing w:val="40"/>
      <w:sz w:val="20"/>
      <w:szCs w:val="20"/>
      <w:shd w:val="clear" w:color="auto" w:fill="FFFFFF"/>
    </w:rPr>
  </w:style>
  <w:style w:type="character" w:customStyle="1" w:styleId="CharStyle26">
    <w:name w:val="Char Style 26"/>
    <w:basedOn w:val="CharStyle3"/>
    <w:uiPriority w:val="99"/>
    <w:rsid w:val="00F50379"/>
    <w:rPr>
      <w:rFonts w:ascii="Times New Roman" w:hAnsi="Times New Roman" w:cs="Times New Roman"/>
      <w:sz w:val="19"/>
      <w:szCs w:val="19"/>
      <w:u w:val="single"/>
      <w:shd w:val="clear" w:color="auto" w:fill="FFFFFF"/>
      <w:lang w:val="en-US" w:eastAsia="en-US"/>
    </w:rPr>
  </w:style>
  <w:style w:type="character" w:customStyle="1" w:styleId="CharStyle27">
    <w:name w:val="Char Style 27"/>
    <w:basedOn w:val="CharStyle21"/>
    <w:uiPriority w:val="99"/>
    <w:rsid w:val="00F50379"/>
    <w:rPr>
      <w:i/>
      <w:iCs/>
      <w:spacing w:val="-20"/>
      <w:w w:val="150"/>
      <w:sz w:val="19"/>
      <w:szCs w:val="19"/>
      <w:shd w:val="clear" w:color="auto" w:fill="FFFFFF"/>
    </w:rPr>
  </w:style>
  <w:style w:type="paragraph" w:customStyle="1" w:styleId="Style2">
    <w:name w:val="Style 2"/>
    <w:basedOn w:val="prastasis"/>
    <w:link w:val="CharStyle3"/>
    <w:uiPriority w:val="99"/>
    <w:rsid w:val="00F50379"/>
    <w:pPr>
      <w:widowControl w:val="0"/>
      <w:shd w:val="clear" w:color="auto" w:fill="FFFFFF"/>
      <w:spacing w:before="360" w:after="60" w:line="240" w:lineRule="atLeast"/>
      <w:ind w:hanging="380"/>
    </w:pPr>
    <w:rPr>
      <w:sz w:val="19"/>
      <w:szCs w:val="19"/>
      <w:lang w:val="en-US"/>
    </w:rPr>
  </w:style>
  <w:style w:type="paragraph" w:customStyle="1" w:styleId="Style20">
    <w:name w:val="Style 20"/>
    <w:basedOn w:val="prastasis"/>
    <w:link w:val="CharStyle21"/>
    <w:uiPriority w:val="99"/>
    <w:rsid w:val="00F50379"/>
    <w:pPr>
      <w:widowControl w:val="0"/>
      <w:shd w:val="clear" w:color="auto" w:fill="FFFFFF"/>
      <w:spacing w:after="60" w:line="240" w:lineRule="atLeast"/>
      <w:jc w:val="center"/>
      <w:outlineLvl w:val="4"/>
    </w:pPr>
    <w:rPr>
      <w:spacing w:val="40"/>
      <w:sz w:val="20"/>
      <w:szCs w:val="20"/>
      <w:lang w:val="en-US"/>
    </w:rPr>
  </w:style>
  <w:style w:type="paragraph" w:styleId="Paprastasistekstas">
    <w:name w:val="Plain Text"/>
    <w:basedOn w:val="prastasis"/>
    <w:link w:val="PaprastasistekstasDiagrama"/>
    <w:uiPriority w:val="99"/>
    <w:semiHidden/>
    <w:unhideWhenUsed/>
    <w:rsid w:val="00543261"/>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543261"/>
    <w:rPr>
      <w:rFonts w:ascii="Consolas" w:hAnsi="Consolas" w:cs="Consolas"/>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8792">
      <w:bodyDiv w:val="1"/>
      <w:marLeft w:val="225"/>
      <w:marRight w:val="225"/>
      <w:marTop w:val="0"/>
      <w:marBottom w:val="0"/>
      <w:divBdr>
        <w:top w:val="none" w:sz="0" w:space="0" w:color="auto"/>
        <w:left w:val="none" w:sz="0" w:space="0" w:color="auto"/>
        <w:bottom w:val="none" w:sz="0" w:space="0" w:color="auto"/>
        <w:right w:val="none" w:sz="0" w:space="0" w:color="auto"/>
      </w:divBdr>
    </w:div>
    <w:div w:id="198275520">
      <w:bodyDiv w:val="1"/>
      <w:marLeft w:val="0"/>
      <w:marRight w:val="0"/>
      <w:marTop w:val="0"/>
      <w:marBottom w:val="0"/>
      <w:divBdr>
        <w:top w:val="none" w:sz="0" w:space="0" w:color="auto"/>
        <w:left w:val="none" w:sz="0" w:space="0" w:color="auto"/>
        <w:bottom w:val="none" w:sz="0" w:space="0" w:color="auto"/>
        <w:right w:val="none" w:sz="0" w:space="0" w:color="auto"/>
      </w:divBdr>
    </w:div>
    <w:div w:id="500046074">
      <w:bodyDiv w:val="1"/>
      <w:marLeft w:val="0"/>
      <w:marRight w:val="0"/>
      <w:marTop w:val="0"/>
      <w:marBottom w:val="0"/>
      <w:divBdr>
        <w:top w:val="none" w:sz="0" w:space="0" w:color="auto"/>
        <w:left w:val="none" w:sz="0" w:space="0" w:color="auto"/>
        <w:bottom w:val="none" w:sz="0" w:space="0" w:color="auto"/>
        <w:right w:val="none" w:sz="0" w:space="0" w:color="auto"/>
      </w:divBdr>
    </w:div>
    <w:div w:id="1287934083">
      <w:bodyDiv w:val="1"/>
      <w:marLeft w:val="0"/>
      <w:marRight w:val="0"/>
      <w:marTop w:val="0"/>
      <w:marBottom w:val="0"/>
      <w:divBdr>
        <w:top w:val="none" w:sz="0" w:space="0" w:color="auto"/>
        <w:left w:val="none" w:sz="0" w:space="0" w:color="auto"/>
        <w:bottom w:val="none" w:sz="0" w:space="0" w:color="auto"/>
        <w:right w:val="none" w:sz="0" w:space="0" w:color="auto"/>
      </w:divBdr>
      <w:divsChild>
        <w:div w:id="1328094088">
          <w:marLeft w:val="0"/>
          <w:marRight w:val="0"/>
          <w:marTop w:val="0"/>
          <w:marBottom w:val="0"/>
          <w:divBdr>
            <w:top w:val="none" w:sz="0" w:space="0" w:color="auto"/>
            <w:left w:val="none" w:sz="0" w:space="0" w:color="auto"/>
            <w:bottom w:val="none" w:sz="0" w:space="0" w:color="auto"/>
            <w:right w:val="none" w:sz="0" w:space="0" w:color="auto"/>
          </w:divBdr>
          <w:divsChild>
            <w:div w:id="63963241">
              <w:marLeft w:val="0"/>
              <w:marRight w:val="0"/>
              <w:marTop w:val="0"/>
              <w:marBottom w:val="0"/>
              <w:divBdr>
                <w:top w:val="none" w:sz="0" w:space="0" w:color="auto"/>
                <w:left w:val="none" w:sz="0" w:space="0" w:color="auto"/>
                <w:bottom w:val="none" w:sz="0" w:space="0" w:color="auto"/>
                <w:right w:val="none" w:sz="0" w:space="0" w:color="auto"/>
              </w:divBdr>
              <w:divsChild>
                <w:div w:id="355228311">
                  <w:marLeft w:val="0"/>
                  <w:marRight w:val="0"/>
                  <w:marTop w:val="0"/>
                  <w:marBottom w:val="0"/>
                  <w:divBdr>
                    <w:top w:val="none" w:sz="0" w:space="0" w:color="auto"/>
                    <w:left w:val="none" w:sz="0" w:space="0" w:color="auto"/>
                    <w:bottom w:val="none" w:sz="0" w:space="0" w:color="auto"/>
                    <w:right w:val="none" w:sz="0" w:space="0" w:color="auto"/>
                  </w:divBdr>
                  <w:divsChild>
                    <w:div w:id="266548779">
                      <w:marLeft w:val="0"/>
                      <w:marRight w:val="0"/>
                      <w:marTop w:val="0"/>
                      <w:marBottom w:val="0"/>
                      <w:divBdr>
                        <w:top w:val="none" w:sz="0" w:space="0" w:color="auto"/>
                        <w:left w:val="none" w:sz="0" w:space="0" w:color="auto"/>
                        <w:bottom w:val="none" w:sz="0" w:space="0" w:color="auto"/>
                        <w:right w:val="none" w:sz="0" w:space="0" w:color="auto"/>
                      </w:divBdr>
                      <w:divsChild>
                        <w:div w:id="9308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853782">
      <w:bodyDiv w:val="1"/>
      <w:marLeft w:val="225"/>
      <w:marRight w:val="225"/>
      <w:marTop w:val="0"/>
      <w:marBottom w:val="0"/>
      <w:divBdr>
        <w:top w:val="none" w:sz="0" w:space="0" w:color="auto"/>
        <w:left w:val="none" w:sz="0" w:space="0" w:color="auto"/>
        <w:bottom w:val="none" w:sz="0" w:space="0" w:color="auto"/>
        <w:right w:val="none" w:sz="0" w:space="0" w:color="auto"/>
      </w:divBdr>
      <w:divsChild>
        <w:div w:id="71292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F040-B835-49BF-9648-B1A8753A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11363</Words>
  <Characters>6478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17806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2019-03-22T08:52:00Z</dcterms:created>
  <dcterms:modified xsi:type="dcterms:W3CDTF">2019-03-22T08:52:00Z</dcterms:modified>
  <cp:revision>1</cp:revision>
</cp:coreProperties>
</file>