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D8" w:rsidRPr="001A33A9" w:rsidRDefault="00337527" w:rsidP="001603D8">
      <w:pPr>
        <w:pStyle w:val="Antrats"/>
        <w:widowControl w:val="0"/>
        <w:tabs>
          <w:tab w:val="clear" w:pos="4153"/>
          <w:tab w:val="clear" w:pos="8306"/>
          <w:tab w:val="left" w:pos="6237"/>
        </w:tabs>
        <w:jc w:val="center"/>
        <w:rPr>
          <w:b/>
          <w:szCs w:val="24"/>
        </w:rPr>
      </w:pPr>
      <w:bookmarkStart w:id="0" w:name="_GoBack"/>
      <w:bookmarkEnd w:id="0"/>
      <w:r w:rsidRPr="001A33A9">
        <w:rPr>
          <w:b/>
          <w:szCs w:val="24"/>
        </w:rPr>
        <w:t>LIETUVOS RESPUBLIKOS</w:t>
      </w:r>
      <w:r w:rsidR="00845D6D">
        <w:rPr>
          <w:b/>
          <w:szCs w:val="24"/>
        </w:rPr>
        <w:t xml:space="preserve"> </w:t>
      </w:r>
      <w:r w:rsidR="000D2185">
        <w:rPr>
          <w:b/>
          <w:szCs w:val="24"/>
        </w:rPr>
        <w:t>EUROPOS SĄJUNGOS INSTITUCIJŲ DARBUOTOJŲ IR EUROPOS PARLAMENTO NARIŲ PENSINIŲ TEISIŲ IŠSAUGOJIMO IR PERKĖLIMO</w:t>
      </w:r>
      <w:r w:rsidR="0069227F">
        <w:rPr>
          <w:b/>
          <w:szCs w:val="24"/>
        </w:rPr>
        <w:t xml:space="preserve"> </w:t>
      </w:r>
      <w:r w:rsidR="00845D6D">
        <w:rPr>
          <w:b/>
          <w:szCs w:val="24"/>
        </w:rPr>
        <w:t xml:space="preserve">ĮSTATYMO </w:t>
      </w:r>
      <w:r w:rsidR="000D2185">
        <w:rPr>
          <w:b/>
          <w:bCs/>
          <w:caps/>
          <w:szCs w:val="24"/>
        </w:rPr>
        <w:t>NR. XI-473</w:t>
      </w:r>
      <w:r w:rsidR="00D16C76">
        <w:rPr>
          <w:b/>
          <w:bCs/>
          <w:caps/>
          <w:szCs w:val="24"/>
        </w:rPr>
        <w:t xml:space="preserve"> PAKEITIMO įSTATYMO </w:t>
      </w:r>
      <w:r w:rsidR="00845D6D">
        <w:rPr>
          <w:b/>
          <w:szCs w:val="24"/>
        </w:rPr>
        <w:t>PROJEKTO</w:t>
      </w:r>
      <w:r w:rsidRPr="001A33A9">
        <w:rPr>
          <w:b/>
          <w:szCs w:val="24"/>
        </w:rPr>
        <w:t xml:space="preserve"> </w:t>
      </w:r>
    </w:p>
    <w:p w:rsidR="007C5AF9" w:rsidRPr="001A33A9" w:rsidRDefault="007C5AF9" w:rsidP="00B857C2">
      <w:pPr>
        <w:widowControl w:val="0"/>
        <w:jc w:val="center"/>
        <w:rPr>
          <w:b/>
          <w:szCs w:val="24"/>
        </w:rPr>
      </w:pPr>
      <w:r w:rsidRPr="001A33A9">
        <w:rPr>
          <w:b/>
          <w:szCs w:val="24"/>
        </w:rPr>
        <w:t>ANTIKORUPCINIO VERTINIMO PAŽYMA</w:t>
      </w:r>
    </w:p>
    <w:p w:rsidR="00845D6D" w:rsidRDefault="00845D6D" w:rsidP="00126EE6">
      <w:pPr>
        <w:widowControl w:val="0"/>
        <w:spacing w:line="360" w:lineRule="auto"/>
        <w:jc w:val="both"/>
        <w:rPr>
          <w:szCs w:val="24"/>
        </w:rPr>
      </w:pPr>
    </w:p>
    <w:p w:rsidR="005837D8" w:rsidRPr="001A33A9" w:rsidRDefault="007C5AF9" w:rsidP="00126EE6">
      <w:pPr>
        <w:widowControl w:val="0"/>
        <w:spacing w:line="360" w:lineRule="auto"/>
        <w:jc w:val="both"/>
        <w:rPr>
          <w:szCs w:val="24"/>
        </w:rPr>
      </w:pPr>
      <w:r w:rsidRPr="001A33A9">
        <w:rPr>
          <w:szCs w:val="24"/>
        </w:rPr>
        <w:t>Teisės akto projekto pavadinimas:</w:t>
      </w:r>
      <w:r w:rsidR="00337527" w:rsidRPr="001A33A9">
        <w:rPr>
          <w:bCs/>
          <w:szCs w:val="24"/>
        </w:rPr>
        <w:t xml:space="preserve"> Lietuvos </w:t>
      </w:r>
      <w:r w:rsidR="00845D6D">
        <w:rPr>
          <w:bCs/>
          <w:szCs w:val="24"/>
        </w:rPr>
        <w:t xml:space="preserve">Respublikos </w:t>
      </w:r>
      <w:r w:rsidR="00543984">
        <w:rPr>
          <w:szCs w:val="24"/>
        </w:rPr>
        <w:t>E</w:t>
      </w:r>
      <w:r w:rsidR="00543984" w:rsidRPr="00543984">
        <w:rPr>
          <w:szCs w:val="24"/>
        </w:rPr>
        <w:t>uropos sąjungos institucijų d</w:t>
      </w:r>
      <w:r w:rsidR="00543984">
        <w:rPr>
          <w:szCs w:val="24"/>
        </w:rPr>
        <w:t>arbuotojų ir E</w:t>
      </w:r>
      <w:r w:rsidR="00543984" w:rsidRPr="00543984">
        <w:rPr>
          <w:szCs w:val="24"/>
        </w:rPr>
        <w:t xml:space="preserve">uropos parlamento narių pensinių teisių išsaugojimo ir perkėlimo įstatymo </w:t>
      </w:r>
      <w:r w:rsidR="00543984">
        <w:rPr>
          <w:bCs/>
          <w:szCs w:val="24"/>
        </w:rPr>
        <w:t>nr. XI</w:t>
      </w:r>
      <w:r w:rsidR="00543984" w:rsidRPr="00543984">
        <w:rPr>
          <w:bCs/>
          <w:szCs w:val="24"/>
        </w:rPr>
        <w:t>-473</w:t>
      </w:r>
      <w:r w:rsidR="00543984">
        <w:rPr>
          <w:b/>
          <w:bCs/>
          <w:szCs w:val="24"/>
        </w:rPr>
        <w:t xml:space="preserve"> </w:t>
      </w:r>
      <w:r w:rsidR="005610CA">
        <w:rPr>
          <w:szCs w:val="24"/>
        </w:rPr>
        <w:t xml:space="preserve">pakeitimo įstatymo </w:t>
      </w:r>
      <w:r w:rsidR="00986462" w:rsidRPr="001A33A9">
        <w:t>projektas</w:t>
      </w:r>
      <w:r w:rsidR="00986462" w:rsidRPr="001A33A9" w:rsidDel="00986462">
        <w:rPr>
          <w:szCs w:val="24"/>
        </w:rPr>
        <w:t xml:space="preserve"> </w:t>
      </w:r>
      <w:r w:rsidR="007A2F39" w:rsidRPr="001A33A9">
        <w:rPr>
          <w:bCs/>
          <w:szCs w:val="24"/>
        </w:rPr>
        <w:t>(toliau – Į</w:t>
      </w:r>
      <w:r w:rsidR="00337527" w:rsidRPr="001A33A9">
        <w:rPr>
          <w:bCs/>
          <w:szCs w:val="24"/>
        </w:rPr>
        <w:t>statymo projektas)</w:t>
      </w:r>
      <w:r w:rsidR="003E08BB" w:rsidRPr="001A33A9">
        <w:rPr>
          <w:bCs/>
          <w:szCs w:val="24"/>
        </w:rPr>
        <w:t>.</w:t>
      </w:r>
    </w:p>
    <w:p w:rsidR="00845D6D" w:rsidRDefault="007C5AF9" w:rsidP="00126EE6">
      <w:pPr>
        <w:widowControl w:val="0"/>
        <w:spacing w:line="360" w:lineRule="auto"/>
        <w:jc w:val="both"/>
        <w:rPr>
          <w:rStyle w:val="typewriter0"/>
        </w:rPr>
      </w:pPr>
      <w:r w:rsidRPr="001A33A9">
        <w:rPr>
          <w:szCs w:val="24"/>
        </w:rPr>
        <w:t>Teisės akto projekto tiesioginis rengėjas:</w:t>
      </w:r>
      <w:r w:rsidR="00337527" w:rsidRPr="001A33A9">
        <w:rPr>
          <w:bCs/>
          <w:szCs w:val="24"/>
        </w:rPr>
        <w:t xml:space="preserve"> </w:t>
      </w:r>
      <w:r w:rsidR="005610CA" w:rsidRPr="001A33A9">
        <w:rPr>
          <w:bCs/>
          <w:szCs w:val="24"/>
        </w:rPr>
        <w:t xml:space="preserve">Lietuvos </w:t>
      </w:r>
      <w:r w:rsidR="005610CA">
        <w:rPr>
          <w:bCs/>
          <w:szCs w:val="24"/>
        </w:rPr>
        <w:t>Respublikos s</w:t>
      </w:r>
      <w:r w:rsidR="00337527" w:rsidRPr="001A33A9">
        <w:rPr>
          <w:bCs/>
          <w:szCs w:val="24"/>
        </w:rPr>
        <w:t xml:space="preserve">ocialinės apsaugos ir darbo ministerijos </w:t>
      </w:r>
      <w:r w:rsidR="00814A2E">
        <w:rPr>
          <w:bCs/>
          <w:szCs w:val="24"/>
        </w:rPr>
        <w:t>Pensijų</w:t>
      </w:r>
      <w:r w:rsidR="0069227F">
        <w:rPr>
          <w:bCs/>
          <w:szCs w:val="24"/>
        </w:rPr>
        <w:t xml:space="preserve"> </w:t>
      </w:r>
      <w:r w:rsidR="00337527" w:rsidRPr="001A33A9">
        <w:rPr>
          <w:bCs/>
          <w:szCs w:val="24"/>
        </w:rPr>
        <w:t>skyriaus</w:t>
      </w:r>
      <w:r w:rsidR="001A33A9" w:rsidRPr="001A33A9">
        <w:rPr>
          <w:bCs/>
          <w:szCs w:val="24"/>
        </w:rPr>
        <w:t xml:space="preserve"> </w:t>
      </w:r>
      <w:r w:rsidR="00814A2E">
        <w:rPr>
          <w:szCs w:val="24"/>
        </w:rPr>
        <w:t>vedėja</w:t>
      </w:r>
      <w:r w:rsidR="005610CA">
        <w:rPr>
          <w:szCs w:val="24"/>
        </w:rPr>
        <w:t xml:space="preserve"> </w:t>
      </w:r>
      <w:r w:rsidR="00814A2E">
        <w:rPr>
          <w:szCs w:val="24"/>
        </w:rPr>
        <w:t>Inga Buškutė</w:t>
      </w:r>
      <w:r w:rsidR="00845D6D">
        <w:rPr>
          <w:rStyle w:val="typewriter0"/>
        </w:rPr>
        <w:t>.</w:t>
      </w:r>
    </w:p>
    <w:p w:rsidR="005D2FA8" w:rsidRPr="001A33A9" w:rsidRDefault="007C5AF9" w:rsidP="00126EE6">
      <w:pPr>
        <w:widowControl w:val="0"/>
        <w:spacing w:line="360" w:lineRule="auto"/>
        <w:jc w:val="both"/>
        <w:rPr>
          <w:b/>
          <w:szCs w:val="24"/>
        </w:rPr>
      </w:pPr>
      <w:r w:rsidRPr="001A33A9">
        <w:rPr>
          <w:szCs w:val="24"/>
        </w:rPr>
        <w:t>Antikorupciniu požiūriu rizikingos</w:t>
      </w:r>
      <w:r w:rsidR="00185A31" w:rsidRPr="001A33A9">
        <w:rPr>
          <w:szCs w:val="24"/>
        </w:rPr>
        <w:t xml:space="preserve"> teisės akto projekto nuostato</w:t>
      </w:r>
      <w:r w:rsidR="008A0EB4" w:rsidRPr="001A33A9">
        <w:rPr>
          <w:szCs w:val="24"/>
        </w:rPr>
        <w:t>s, nustatytos atliekant antikorupcinį vertinimą</w:t>
      </w:r>
      <w:r w:rsidR="00337527" w:rsidRPr="001A33A9">
        <w:rPr>
          <w:szCs w:val="24"/>
        </w:rPr>
        <w:t>: nėra.</w:t>
      </w:r>
      <w:r w:rsidRPr="001A33A9">
        <w:rPr>
          <w:b/>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6379"/>
        <w:gridCol w:w="2268"/>
        <w:gridCol w:w="1852"/>
      </w:tblGrid>
      <w:tr w:rsidR="00664044" w:rsidRPr="001A33A9" w:rsidTr="00A14BF4">
        <w:trPr>
          <w:trHeight w:val="23"/>
          <w:tblHeader/>
        </w:trPr>
        <w:tc>
          <w:tcPr>
            <w:tcW w:w="709" w:type="dxa"/>
            <w:shd w:val="clear" w:color="auto" w:fill="auto"/>
            <w:vAlign w:val="center"/>
          </w:tcPr>
          <w:p w:rsidR="007C5AF9" w:rsidRPr="001A33A9" w:rsidRDefault="00185A31" w:rsidP="00B857C2">
            <w:pPr>
              <w:widowControl w:val="0"/>
              <w:jc w:val="center"/>
              <w:rPr>
                <w:szCs w:val="24"/>
              </w:rPr>
            </w:pPr>
            <w:r w:rsidRPr="001A33A9">
              <w:rPr>
                <w:szCs w:val="24"/>
              </w:rPr>
              <w:t xml:space="preserve">Eil. </w:t>
            </w:r>
            <w:r w:rsidR="007C5AF9" w:rsidRPr="001A33A9">
              <w:rPr>
                <w:szCs w:val="24"/>
              </w:rPr>
              <w:t>Nr.</w:t>
            </w:r>
          </w:p>
        </w:tc>
        <w:tc>
          <w:tcPr>
            <w:tcW w:w="3402" w:type="dxa"/>
            <w:shd w:val="clear" w:color="auto" w:fill="auto"/>
            <w:vAlign w:val="center"/>
          </w:tcPr>
          <w:p w:rsidR="007C5AF9" w:rsidRPr="001A33A9" w:rsidRDefault="007C5AF9" w:rsidP="00300133">
            <w:pPr>
              <w:widowControl w:val="0"/>
              <w:jc w:val="center"/>
              <w:rPr>
                <w:szCs w:val="24"/>
              </w:rPr>
            </w:pPr>
            <w:r w:rsidRPr="001A33A9">
              <w:rPr>
                <w:szCs w:val="24"/>
              </w:rPr>
              <w:t>Kriterijus</w:t>
            </w:r>
          </w:p>
        </w:tc>
        <w:tc>
          <w:tcPr>
            <w:tcW w:w="6379" w:type="dxa"/>
            <w:shd w:val="clear" w:color="auto" w:fill="auto"/>
            <w:vAlign w:val="center"/>
          </w:tcPr>
          <w:p w:rsidR="007C5AF9" w:rsidRPr="001A33A9" w:rsidRDefault="007C5AF9" w:rsidP="00300133">
            <w:pPr>
              <w:widowControl w:val="0"/>
              <w:jc w:val="center"/>
              <w:rPr>
                <w:b/>
                <w:szCs w:val="24"/>
              </w:rPr>
            </w:pPr>
            <w:r w:rsidRPr="001A33A9">
              <w:rPr>
                <w:szCs w:val="24"/>
              </w:rPr>
              <w:t>Pagrindimas (nurodomos konkrečios teisės akto projekto ar kitų teisės aktų nuostatos, pagrindžiančios teigiamą atsakymą</w:t>
            </w:r>
            <w:r w:rsidR="00185A31" w:rsidRPr="001A33A9">
              <w:rPr>
                <w:szCs w:val="24"/>
              </w:rPr>
              <w:t>,</w:t>
            </w:r>
            <w:r w:rsidRPr="001A33A9">
              <w:rPr>
                <w:szCs w:val="24"/>
              </w:rPr>
              <w:t xml:space="preserve"> arba pateikiamos antikorupcinį teisės akto projekto vertinimą atliekančio specialisto pastabos ir pasiūlymai dėl korupcijos rizikos mažinimo)</w:t>
            </w:r>
          </w:p>
        </w:tc>
        <w:tc>
          <w:tcPr>
            <w:tcW w:w="2268" w:type="dxa"/>
            <w:shd w:val="clear" w:color="auto" w:fill="auto"/>
            <w:vAlign w:val="center"/>
          </w:tcPr>
          <w:p w:rsidR="007C5AF9" w:rsidRPr="001A33A9" w:rsidRDefault="007C5AF9" w:rsidP="00300133">
            <w:pPr>
              <w:widowControl w:val="0"/>
              <w:jc w:val="center"/>
              <w:rPr>
                <w:szCs w:val="24"/>
              </w:rPr>
            </w:pPr>
            <w:r w:rsidRPr="001A33A9">
              <w:rPr>
                <w:szCs w:val="24"/>
              </w:rPr>
              <w:t>Teisės akto projekto pakeitimas, mažinantis korupcijos riziką, arba teisės akto projekto tiesioginio rengėjo argumentai, kodėl neatsižvelgta į pastabą</w:t>
            </w:r>
          </w:p>
        </w:tc>
        <w:tc>
          <w:tcPr>
            <w:tcW w:w="1852" w:type="dxa"/>
            <w:shd w:val="clear" w:color="auto" w:fill="auto"/>
            <w:vAlign w:val="center"/>
          </w:tcPr>
          <w:p w:rsidR="007C5AF9" w:rsidRPr="001A33A9" w:rsidRDefault="007C5AF9" w:rsidP="00300133">
            <w:pPr>
              <w:widowControl w:val="0"/>
              <w:jc w:val="center"/>
              <w:rPr>
                <w:szCs w:val="24"/>
              </w:rPr>
            </w:pPr>
            <w:r w:rsidRPr="001A33A9">
              <w:rPr>
                <w:szCs w:val="24"/>
              </w:rPr>
              <w:t>Išvada dėl teisės akto projekto pakeitimų arba argumentų, kodėl neatsižvelgta į pastabą</w:t>
            </w:r>
          </w:p>
        </w:tc>
      </w:tr>
      <w:tr w:rsidR="00664044" w:rsidRPr="001A33A9" w:rsidTr="00A14BF4">
        <w:trPr>
          <w:trHeight w:val="23"/>
        </w:trPr>
        <w:tc>
          <w:tcPr>
            <w:tcW w:w="709" w:type="dxa"/>
            <w:shd w:val="clear" w:color="auto" w:fill="auto"/>
          </w:tcPr>
          <w:p w:rsidR="007C5AF9" w:rsidRPr="001A33A9" w:rsidRDefault="007C5AF9" w:rsidP="00B857C2">
            <w:pPr>
              <w:widowControl w:val="0"/>
              <w:jc w:val="center"/>
              <w:rPr>
                <w:i/>
                <w:szCs w:val="24"/>
              </w:rPr>
            </w:pPr>
          </w:p>
        </w:tc>
        <w:tc>
          <w:tcPr>
            <w:tcW w:w="3402" w:type="dxa"/>
            <w:shd w:val="clear" w:color="auto" w:fill="auto"/>
          </w:tcPr>
          <w:p w:rsidR="007C5AF9" w:rsidRPr="001A33A9" w:rsidRDefault="007C5AF9" w:rsidP="00300133">
            <w:pPr>
              <w:widowControl w:val="0"/>
              <w:rPr>
                <w:i/>
                <w:szCs w:val="24"/>
              </w:rPr>
            </w:pPr>
          </w:p>
        </w:tc>
        <w:tc>
          <w:tcPr>
            <w:tcW w:w="6379"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7C5AF9" w:rsidRPr="001A33A9">
              <w:rPr>
                <w:i/>
                <w:szCs w:val="24"/>
              </w:rPr>
              <w:t>ildo teisės akto projekto vertintojas</w:t>
            </w:r>
          </w:p>
        </w:tc>
        <w:tc>
          <w:tcPr>
            <w:tcW w:w="2268"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185A31" w:rsidRPr="001A33A9">
              <w:rPr>
                <w:i/>
                <w:szCs w:val="24"/>
              </w:rPr>
              <w:t>i</w:t>
            </w:r>
            <w:r w:rsidR="007C5AF9" w:rsidRPr="001A33A9">
              <w:rPr>
                <w:i/>
                <w:szCs w:val="24"/>
              </w:rPr>
              <w:t>ldo teisės akto projekto tiesioginis rengėjas</w:t>
            </w:r>
          </w:p>
        </w:tc>
        <w:tc>
          <w:tcPr>
            <w:tcW w:w="1852" w:type="dxa"/>
            <w:shd w:val="clear" w:color="auto" w:fill="auto"/>
            <w:vAlign w:val="center"/>
          </w:tcPr>
          <w:p w:rsidR="007C5AF9" w:rsidRPr="001A33A9" w:rsidRDefault="008D7EB4" w:rsidP="00300133">
            <w:pPr>
              <w:widowControl w:val="0"/>
              <w:jc w:val="center"/>
              <w:rPr>
                <w:i/>
                <w:szCs w:val="24"/>
              </w:rPr>
            </w:pPr>
            <w:r w:rsidRPr="001A33A9">
              <w:rPr>
                <w:i/>
                <w:szCs w:val="24"/>
              </w:rPr>
              <w:t>P</w:t>
            </w:r>
            <w:r w:rsidR="007C5AF9" w:rsidRPr="001A33A9">
              <w:rPr>
                <w:i/>
                <w:szCs w:val="24"/>
              </w:rPr>
              <w:t>ildo teisės akto projekto vertintojas</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1.</w:t>
            </w:r>
          </w:p>
        </w:tc>
        <w:tc>
          <w:tcPr>
            <w:tcW w:w="3402" w:type="dxa"/>
            <w:shd w:val="clear" w:color="auto" w:fill="auto"/>
          </w:tcPr>
          <w:p w:rsidR="007C5AF9" w:rsidRPr="00B343ED" w:rsidRDefault="007C5AF9" w:rsidP="00300133">
            <w:pPr>
              <w:widowControl w:val="0"/>
              <w:jc w:val="both"/>
              <w:rPr>
                <w:szCs w:val="24"/>
              </w:rPr>
            </w:pPr>
            <w:r w:rsidRPr="00B343ED">
              <w:rPr>
                <w:szCs w:val="24"/>
              </w:rPr>
              <w:t>Teisės akto projektas nesu</w:t>
            </w:r>
            <w:r w:rsidR="00185A31" w:rsidRPr="00B343ED">
              <w:rPr>
                <w:szCs w:val="24"/>
              </w:rPr>
              <w:t>daro</w:t>
            </w:r>
            <w:r w:rsidRPr="00B343ED">
              <w:rPr>
                <w:szCs w:val="24"/>
              </w:rPr>
              <w:t xml:space="preserve"> išskirtinių ar nevienodų sąlygų subjektams,</w:t>
            </w:r>
            <w:r w:rsidR="00185A31" w:rsidRPr="00B343ED">
              <w:rPr>
                <w:szCs w:val="24"/>
              </w:rPr>
              <w:t xml:space="preserve"> su kuriais susijęs teisės akto</w:t>
            </w:r>
            <w:r w:rsidRPr="00B343ED">
              <w:rPr>
                <w:szCs w:val="24"/>
              </w:rPr>
              <w:t xml:space="preserve"> įgyvendinimas</w:t>
            </w:r>
          </w:p>
        </w:tc>
        <w:tc>
          <w:tcPr>
            <w:tcW w:w="6379" w:type="dxa"/>
            <w:shd w:val="clear" w:color="auto" w:fill="auto"/>
          </w:tcPr>
          <w:p w:rsidR="007C5AF9" w:rsidRPr="00B343ED" w:rsidRDefault="003E08BB" w:rsidP="0069227F">
            <w:pPr>
              <w:widowControl w:val="0"/>
              <w:jc w:val="both"/>
              <w:rPr>
                <w:b/>
                <w:szCs w:val="24"/>
              </w:rPr>
            </w:pPr>
            <w:r w:rsidRPr="00B343ED">
              <w:rPr>
                <w:szCs w:val="24"/>
              </w:rPr>
              <w:t>Įstatymo pro</w:t>
            </w:r>
            <w:r w:rsidR="005837D8" w:rsidRPr="00B343ED">
              <w:rPr>
                <w:szCs w:val="24"/>
              </w:rPr>
              <w:t>jektas</w:t>
            </w:r>
            <w:r w:rsidRPr="00B343ED">
              <w:rPr>
                <w:szCs w:val="24"/>
              </w:rPr>
              <w:t xml:space="preserve"> </w:t>
            </w:r>
            <w:r w:rsidR="00A14BF4" w:rsidRPr="00B343ED">
              <w:rPr>
                <w:szCs w:val="24"/>
              </w:rPr>
              <w:t>nesudaro išskirtinių ar nevienodų sąlygų</w:t>
            </w:r>
            <w:r w:rsidR="0069227F" w:rsidRPr="00B343ED">
              <w:rPr>
                <w:szCs w:val="24"/>
              </w:rPr>
              <w:t xml:space="preserve"> </w:t>
            </w:r>
            <w:r w:rsidR="00F340DB">
              <w:rPr>
                <w:szCs w:val="24"/>
              </w:rPr>
              <w:t>E</w:t>
            </w:r>
            <w:r w:rsidR="00F340DB" w:rsidRPr="00543984">
              <w:rPr>
                <w:szCs w:val="24"/>
              </w:rPr>
              <w:t xml:space="preserve">uropos sąjungos </w:t>
            </w:r>
            <w:r w:rsidR="005C59E3">
              <w:rPr>
                <w:szCs w:val="24"/>
              </w:rPr>
              <w:t xml:space="preserve">(toliau – ES) </w:t>
            </w:r>
            <w:r w:rsidR="00F340DB" w:rsidRPr="00543984">
              <w:rPr>
                <w:szCs w:val="24"/>
              </w:rPr>
              <w:t>institucijų d</w:t>
            </w:r>
            <w:r w:rsidR="00F340DB">
              <w:rPr>
                <w:szCs w:val="24"/>
              </w:rPr>
              <w:t>arbuotojams ir Europos parlamento nariams, kurie įgijo pensijų socialinio draudimo stažo pagal Socialinio draudimo pensijų įstatymą ir (ar) pensinių teisių ES institucijų pensijų sistemoje</w:t>
            </w:r>
            <w:r w:rsidR="0069227F" w:rsidRPr="00B343ED">
              <w:rPr>
                <w:szCs w:val="24"/>
              </w:rPr>
              <w:t>.</w:t>
            </w:r>
            <w:r w:rsidR="00A14BF4" w:rsidRPr="00B343ED">
              <w:rPr>
                <w:szCs w:val="24"/>
              </w:rPr>
              <w:t xml:space="preserve"> </w:t>
            </w:r>
          </w:p>
        </w:tc>
        <w:tc>
          <w:tcPr>
            <w:tcW w:w="2268" w:type="dxa"/>
            <w:shd w:val="clear" w:color="auto" w:fill="auto"/>
          </w:tcPr>
          <w:p w:rsidR="007C5AF9" w:rsidRPr="00B343ED" w:rsidRDefault="007C5AF9" w:rsidP="00300133">
            <w:pPr>
              <w:widowControl w:val="0"/>
              <w:rPr>
                <w:b/>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2.</w:t>
            </w:r>
          </w:p>
        </w:tc>
        <w:tc>
          <w:tcPr>
            <w:tcW w:w="3402" w:type="dxa"/>
            <w:shd w:val="clear" w:color="auto" w:fill="auto"/>
          </w:tcPr>
          <w:p w:rsidR="007C5AF9" w:rsidRPr="00B343ED" w:rsidRDefault="007C5AF9" w:rsidP="00300133">
            <w:pPr>
              <w:widowControl w:val="0"/>
              <w:jc w:val="both"/>
              <w:rPr>
                <w:szCs w:val="24"/>
              </w:rPr>
            </w:pPr>
            <w:r w:rsidRPr="00B343ED">
              <w:rPr>
                <w:szCs w:val="24"/>
              </w:rPr>
              <w:t>Teisės akto projekte nėra spragų ar nuostatų, leisiančių dviprasmiškai aiškinti ir taikyti teisės aktą</w:t>
            </w:r>
          </w:p>
        </w:tc>
        <w:tc>
          <w:tcPr>
            <w:tcW w:w="6379" w:type="dxa"/>
            <w:shd w:val="clear" w:color="auto" w:fill="auto"/>
          </w:tcPr>
          <w:p w:rsidR="007C5AF9" w:rsidRPr="00B343ED" w:rsidRDefault="003E08BB" w:rsidP="00880F75">
            <w:pPr>
              <w:jc w:val="both"/>
              <w:rPr>
                <w:szCs w:val="24"/>
              </w:rPr>
            </w:pPr>
            <w:r w:rsidRPr="00B343ED">
              <w:rPr>
                <w:szCs w:val="24"/>
              </w:rPr>
              <w:t>Įstatymo projekte nėra spragų ar nuostatų, leisiančių dviprasmiškai aiškinti ir taikyti teisės aktą</w:t>
            </w:r>
            <w:r w:rsidR="00FC5D2F" w:rsidRPr="00B343ED">
              <w:rPr>
                <w:szCs w:val="24"/>
              </w:rPr>
              <w:t>.</w:t>
            </w:r>
            <w:r w:rsidR="0031310A" w:rsidRPr="00B343ED">
              <w:rPr>
                <w:szCs w:val="24"/>
              </w:rPr>
              <w:t xml:space="preserve"> </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t>3.</w:t>
            </w:r>
          </w:p>
        </w:tc>
        <w:tc>
          <w:tcPr>
            <w:tcW w:w="3402" w:type="dxa"/>
            <w:shd w:val="clear" w:color="auto" w:fill="auto"/>
          </w:tcPr>
          <w:p w:rsidR="007C5AF9" w:rsidRPr="00B343ED" w:rsidRDefault="007C5AF9" w:rsidP="00300133">
            <w:pPr>
              <w:widowControl w:val="0"/>
              <w:jc w:val="both"/>
              <w:rPr>
                <w:szCs w:val="24"/>
              </w:rPr>
            </w:pPr>
            <w:r w:rsidRPr="00B343ED">
              <w:rPr>
                <w:szCs w:val="24"/>
              </w:rPr>
              <w:t xml:space="preserve">Teisės akto projekte </w:t>
            </w:r>
            <w:r w:rsidR="00185A31" w:rsidRPr="00B343ED">
              <w:rPr>
                <w:szCs w:val="24"/>
              </w:rPr>
              <w:t>nustaty</w:t>
            </w:r>
            <w:r w:rsidRPr="00B343ED">
              <w:rPr>
                <w:szCs w:val="24"/>
              </w:rPr>
              <w:t xml:space="preserve">ta, kad sprendimą dėl teisių suteikimo, apribojimų </w:t>
            </w:r>
            <w:r w:rsidRPr="00B343ED">
              <w:rPr>
                <w:szCs w:val="24"/>
              </w:rPr>
              <w:lastRenderedPageBreak/>
              <w:t>nus</w:t>
            </w:r>
            <w:r w:rsidR="00185A31" w:rsidRPr="00B343ED">
              <w:rPr>
                <w:szCs w:val="24"/>
              </w:rPr>
              <w:t>tatymo, sankcijų taikymo ir panašiai</w:t>
            </w:r>
            <w:r w:rsidRPr="00B343ED">
              <w:rPr>
                <w:szCs w:val="24"/>
              </w:rPr>
              <w:t xml:space="preserve"> priimantis subjektas atskirtas nuo šių sprendimų teisėtumą ir įgyvendinimą kontroliuojančio (prižiūrinčio) subjekto</w:t>
            </w:r>
          </w:p>
        </w:tc>
        <w:tc>
          <w:tcPr>
            <w:tcW w:w="6379" w:type="dxa"/>
            <w:shd w:val="clear" w:color="auto" w:fill="auto"/>
          </w:tcPr>
          <w:p w:rsidR="005C22FB" w:rsidRDefault="00580279" w:rsidP="005C22FB">
            <w:pPr>
              <w:widowControl w:val="0"/>
              <w:jc w:val="both"/>
              <w:rPr>
                <w:szCs w:val="24"/>
              </w:rPr>
            </w:pPr>
            <w:r w:rsidRPr="00B343ED">
              <w:rPr>
                <w:szCs w:val="24"/>
              </w:rPr>
              <w:lastRenderedPageBreak/>
              <w:t xml:space="preserve">Sprendimą dėl teisių suteikimo priimantis subjektas yra atskirtas nuo šių sprendimų teisėtumą ir įgyvendinimą kontroliuojančio subjekto. </w:t>
            </w:r>
          </w:p>
          <w:p w:rsidR="005C22FB" w:rsidRPr="005C22FB" w:rsidRDefault="001B015F" w:rsidP="005C22FB">
            <w:pPr>
              <w:widowControl w:val="0"/>
              <w:jc w:val="both"/>
              <w:rPr>
                <w:bCs/>
                <w:szCs w:val="24"/>
                <w:lang w:eastAsia="en-US"/>
              </w:rPr>
            </w:pPr>
            <w:r w:rsidRPr="001B015F">
              <w:rPr>
                <w:bCs/>
                <w:szCs w:val="24"/>
              </w:rPr>
              <w:lastRenderedPageBreak/>
              <w:t xml:space="preserve">Lėšas už </w:t>
            </w:r>
            <w:r w:rsidRPr="001B015F">
              <w:rPr>
                <w:color w:val="000000"/>
                <w:szCs w:val="24"/>
                <w:lang w:eastAsia="en-US"/>
              </w:rPr>
              <w:t xml:space="preserve">Lietuvos Respublikos valstybinio socialinio draudimo fonde </w:t>
            </w:r>
            <w:r>
              <w:rPr>
                <w:color w:val="000000"/>
                <w:szCs w:val="24"/>
                <w:lang w:eastAsia="en-US"/>
              </w:rPr>
              <w:t xml:space="preserve">(toliau – </w:t>
            </w:r>
            <w:r w:rsidRPr="001B015F">
              <w:rPr>
                <w:bCs/>
                <w:szCs w:val="24"/>
              </w:rPr>
              <w:t>VSD</w:t>
            </w:r>
            <w:r>
              <w:rPr>
                <w:bCs/>
                <w:szCs w:val="24"/>
              </w:rPr>
              <w:t xml:space="preserve"> fondas)</w:t>
            </w:r>
            <w:r w:rsidRPr="001B015F">
              <w:rPr>
                <w:bCs/>
                <w:szCs w:val="24"/>
              </w:rPr>
              <w:t xml:space="preserve"> asmens įgytas pensines teises apskaičiuoja ir informaciją ES kompetentingai institucijai teikia Valstybinio socialinio draudimo fondo valdyba prie Socialinės apsaugos ir darbo ministerijos (toliau – VSD fondo valdyba)</w:t>
            </w:r>
            <w:r w:rsidR="005C22FB">
              <w:rPr>
                <w:bCs/>
                <w:szCs w:val="24"/>
              </w:rPr>
              <w:t xml:space="preserve">. </w:t>
            </w:r>
            <w:r w:rsidR="005C22FB" w:rsidRPr="005C22FB">
              <w:rPr>
                <w:bCs/>
                <w:szCs w:val="24"/>
                <w:lang w:eastAsia="en-US"/>
              </w:rPr>
              <w:t>Asmuo, nutraukęs darbą ES institucijose ir pagal įgyvendinamuosius ES teisės aktus įgijęs teisę perkelti ES institucijų pensijų sistemoje įgytas pensines teises, turi teisę, atsižvelgiant į įgyvendinamuosiuose ES teisės aktuose nustatytas sąlygas, šias pen</w:t>
            </w:r>
            <w:r w:rsidR="005C22FB">
              <w:rPr>
                <w:bCs/>
                <w:szCs w:val="24"/>
                <w:lang w:eastAsia="en-US"/>
              </w:rPr>
              <w:t xml:space="preserve">sines teises perkelti į VSD fondą ar </w:t>
            </w:r>
            <w:r w:rsidR="005C22FB" w:rsidRPr="005C22FB">
              <w:rPr>
                <w:bCs/>
                <w:szCs w:val="24"/>
                <w:lang w:eastAsia="en-US"/>
              </w:rPr>
              <w:t>pensijų fondą, atitinkantį įgyvendinamuosiuose ES teisės aktuose nustatytus reikalavimus.</w:t>
            </w:r>
          </w:p>
          <w:p w:rsidR="008C2026" w:rsidRPr="00CC58F7" w:rsidRDefault="00B81E89" w:rsidP="008C2026">
            <w:pPr>
              <w:widowControl w:val="0"/>
              <w:jc w:val="both"/>
              <w:rPr>
                <w:bCs/>
                <w:i/>
                <w:szCs w:val="24"/>
                <w:lang w:eastAsia="en-US"/>
              </w:rPr>
            </w:pPr>
            <w:r w:rsidRPr="00CC58F7">
              <w:rPr>
                <w:bCs/>
                <w:szCs w:val="24"/>
                <w:lang w:eastAsia="en-US"/>
              </w:rPr>
              <w:t xml:space="preserve">Kontrolės mechanizmą nustato </w:t>
            </w:r>
            <w:r w:rsidR="008C2026" w:rsidRPr="00CC58F7">
              <w:rPr>
                <w:bCs/>
                <w:szCs w:val="24"/>
                <w:lang w:eastAsia="en-US"/>
              </w:rPr>
              <w:t>Valstybinio socialin</w:t>
            </w:r>
            <w:r w:rsidRPr="00CC58F7">
              <w:rPr>
                <w:bCs/>
                <w:szCs w:val="24"/>
                <w:lang w:eastAsia="en-US"/>
              </w:rPr>
              <w:t>io draudimo įstatymas</w:t>
            </w:r>
            <w:r w:rsidR="008C2026" w:rsidRPr="00CC58F7">
              <w:rPr>
                <w:bCs/>
                <w:i/>
                <w:szCs w:val="24"/>
                <w:lang w:eastAsia="en-US"/>
              </w:rPr>
              <w:t xml:space="preserve">. </w:t>
            </w:r>
          </w:p>
          <w:p w:rsidR="008D051B" w:rsidRPr="00B343ED" w:rsidRDefault="008C2026" w:rsidP="008C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CC58F7">
              <w:rPr>
                <w:szCs w:val="24"/>
              </w:rPr>
              <w:t>ES institucijų darbuotojai</w:t>
            </w:r>
            <w:r w:rsidR="00580279" w:rsidRPr="00CC58F7">
              <w:rPr>
                <w:szCs w:val="24"/>
              </w:rPr>
              <w:t xml:space="preserve"> ir </w:t>
            </w:r>
            <w:r w:rsidRPr="00CC58F7">
              <w:rPr>
                <w:szCs w:val="24"/>
              </w:rPr>
              <w:t>Europos parlamento nariai</w:t>
            </w:r>
            <w:r w:rsidR="00580279" w:rsidRPr="00CC58F7">
              <w:rPr>
                <w:szCs w:val="24"/>
              </w:rPr>
              <w:t xml:space="preserve"> dėl pažeistų teisių gali bendra tvarka kreiptis į teismą.</w:t>
            </w:r>
            <w:r w:rsidR="00580279" w:rsidRPr="00B343ED">
              <w:rPr>
                <w:szCs w:val="24"/>
              </w:rPr>
              <w:t xml:space="preserve"> </w:t>
            </w: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7C5AF9" w:rsidRPr="00B343ED" w:rsidRDefault="007C5AF9" w:rsidP="00B857C2">
            <w:pPr>
              <w:widowControl w:val="0"/>
              <w:jc w:val="center"/>
              <w:rPr>
                <w:szCs w:val="24"/>
              </w:rPr>
            </w:pPr>
            <w:r w:rsidRPr="00B343ED">
              <w:rPr>
                <w:szCs w:val="24"/>
              </w:rPr>
              <w:lastRenderedPageBreak/>
              <w:t>4.</w:t>
            </w:r>
          </w:p>
        </w:tc>
        <w:tc>
          <w:tcPr>
            <w:tcW w:w="3402" w:type="dxa"/>
            <w:shd w:val="clear" w:color="auto" w:fill="auto"/>
          </w:tcPr>
          <w:p w:rsidR="007C5AF9" w:rsidRPr="00B343ED" w:rsidRDefault="007C5AF9" w:rsidP="00300133">
            <w:pPr>
              <w:widowControl w:val="0"/>
              <w:jc w:val="both"/>
              <w:rPr>
                <w:szCs w:val="24"/>
              </w:rPr>
            </w:pPr>
            <w:r w:rsidRPr="00B343ED">
              <w:rPr>
                <w:szCs w:val="24"/>
              </w:rPr>
              <w:t xml:space="preserve">Teisės akto projekte </w:t>
            </w:r>
            <w:r w:rsidR="00185A31" w:rsidRPr="00B343ED">
              <w:rPr>
                <w:szCs w:val="24"/>
              </w:rPr>
              <w:t>nustaty</w:t>
            </w:r>
            <w:r w:rsidRPr="00B343ED">
              <w:rPr>
                <w:szCs w:val="24"/>
              </w:rPr>
              <w:t xml:space="preserve">ti subjekto įgaliojimai (teisės) atitinka subjekto </w:t>
            </w:r>
            <w:r w:rsidR="00185A31" w:rsidRPr="00B343ED">
              <w:rPr>
                <w:szCs w:val="24"/>
              </w:rPr>
              <w:t>atlieka</w:t>
            </w:r>
            <w:r w:rsidRPr="00B343ED">
              <w:rPr>
                <w:szCs w:val="24"/>
              </w:rPr>
              <w:t>mas funkcijas (pareigas)</w:t>
            </w:r>
          </w:p>
        </w:tc>
        <w:tc>
          <w:tcPr>
            <w:tcW w:w="6379" w:type="dxa"/>
            <w:shd w:val="clear" w:color="auto" w:fill="auto"/>
          </w:tcPr>
          <w:p w:rsidR="00ED70A8" w:rsidRPr="000F6B00" w:rsidRDefault="000F6B00" w:rsidP="005B387A">
            <w:pPr>
              <w:widowControl w:val="0"/>
              <w:jc w:val="both"/>
              <w:rPr>
                <w:szCs w:val="24"/>
              </w:rPr>
            </w:pPr>
            <w:r>
              <w:rPr>
                <w:szCs w:val="24"/>
              </w:rPr>
              <w:t>Į</w:t>
            </w:r>
            <w:r w:rsidRPr="000F6B00">
              <w:rPr>
                <w:szCs w:val="24"/>
              </w:rPr>
              <w:t xml:space="preserve">statymo projekte nustatyti </w:t>
            </w:r>
            <w:r w:rsidR="002D4A78" w:rsidRPr="000F6B00">
              <w:rPr>
                <w:szCs w:val="24"/>
              </w:rPr>
              <w:t>VSD fondo</w:t>
            </w:r>
            <w:r w:rsidR="00C65E11" w:rsidRPr="000F6B00">
              <w:rPr>
                <w:b/>
                <w:bCs/>
                <w:szCs w:val="24"/>
              </w:rPr>
              <w:t xml:space="preserve"> </w:t>
            </w:r>
            <w:r w:rsidRPr="000F6B00">
              <w:rPr>
                <w:szCs w:val="24"/>
              </w:rPr>
              <w:t>įgaliojimai atitinka jo</w:t>
            </w:r>
            <w:r w:rsidR="00C65E11" w:rsidRPr="000F6B00">
              <w:rPr>
                <w:szCs w:val="24"/>
              </w:rPr>
              <w:t xml:space="preserve"> atliekamas funkcijas</w:t>
            </w:r>
            <w:r w:rsidRPr="000F6B00">
              <w:rPr>
                <w:szCs w:val="24"/>
              </w:rPr>
              <w:t xml:space="preserve"> nustatytas </w:t>
            </w:r>
            <w:r w:rsidRPr="000F6B00">
              <w:rPr>
                <w:bCs/>
                <w:szCs w:val="24"/>
                <w:lang w:eastAsia="en-US"/>
              </w:rPr>
              <w:t>Valstybinio socialin</w:t>
            </w:r>
            <w:r>
              <w:rPr>
                <w:bCs/>
                <w:szCs w:val="24"/>
                <w:lang w:eastAsia="en-US"/>
              </w:rPr>
              <w:t>io draudimo įstatymo 32 straipsnyje</w:t>
            </w:r>
            <w:r w:rsidR="00C65E11" w:rsidRPr="000F6B00">
              <w:rPr>
                <w:szCs w:val="24"/>
              </w:rPr>
              <w:t>.</w:t>
            </w:r>
          </w:p>
          <w:p w:rsidR="00C65E11" w:rsidRPr="000F6B00" w:rsidRDefault="00C65E11" w:rsidP="00B343ED">
            <w:pPr>
              <w:widowControl w:val="0"/>
              <w:jc w:val="both"/>
              <w:rPr>
                <w:szCs w:val="24"/>
              </w:rPr>
            </w:pPr>
          </w:p>
        </w:tc>
        <w:tc>
          <w:tcPr>
            <w:tcW w:w="2268" w:type="dxa"/>
            <w:shd w:val="clear" w:color="auto" w:fill="auto"/>
          </w:tcPr>
          <w:p w:rsidR="007C5AF9" w:rsidRPr="00B343ED" w:rsidRDefault="007C5AF9" w:rsidP="00300133">
            <w:pPr>
              <w:widowControl w:val="0"/>
              <w:rPr>
                <w:szCs w:val="24"/>
              </w:rPr>
            </w:pPr>
          </w:p>
        </w:tc>
        <w:tc>
          <w:tcPr>
            <w:tcW w:w="1852" w:type="dxa"/>
            <w:shd w:val="clear" w:color="auto" w:fill="auto"/>
          </w:tcPr>
          <w:p w:rsidR="007C5AF9" w:rsidRPr="00B343ED" w:rsidRDefault="007C5AF9" w:rsidP="00300133">
            <w:pPr>
              <w:widowControl w:val="0"/>
              <w:rPr>
                <w:szCs w:val="24"/>
              </w:rPr>
            </w:pPr>
            <w:r w:rsidRPr="00B343ED">
              <w:rPr>
                <w:szCs w:val="24"/>
              </w:rPr>
              <w:t>□ tenkina</w:t>
            </w:r>
          </w:p>
          <w:p w:rsidR="007C5AF9" w:rsidRPr="00B343ED" w:rsidRDefault="007C5AF9"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5.</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nustatytas baigtinis sprendimo priėmimo kriterijų (atvejų) sąrašas</w:t>
            </w:r>
          </w:p>
        </w:tc>
        <w:tc>
          <w:tcPr>
            <w:tcW w:w="6379" w:type="dxa"/>
            <w:shd w:val="clear" w:color="auto" w:fill="auto"/>
          </w:tcPr>
          <w:p w:rsidR="002713F6" w:rsidRDefault="00717385" w:rsidP="00134E51">
            <w:pPr>
              <w:widowControl w:val="0"/>
              <w:jc w:val="both"/>
              <w:rPr>
                <w:szCs w:val="24"/>
                <w:lang w:eastAsia="en-US"/>
              </w:rPr>
            </w:pPr>
            <w:r w:rsidRPr="00B343ED">
              <w:rPr>
                <w:szCs w:val="24"/>
              </w:rPr>
              <w:t>Įstatymo projekte</w:t>
            </w:r>
            <w:r w:rsidRPr="00B343ED">
              <w:rPr>
                <w:szCs w:val="24"/>
                <w:lang w:eastAsia="en-US"/>
              </w:rPr>
              <w:t xml:space="preserve"> nustatytas baigtinis sąrašas: </w:t>
            </w:r>
          </w:p>
          <w:p w:rsidR="002713F6" w:rsidRDefault="00717385" w:rsidP="00134E51">
            <w:pPr>
              <w:widowControl w:val="0"/>
              <w:jc w:val="both"/>
              <w:rPr>
                <w:szCs w:val="24"/>
                <w:lang w:eastAsia="en-US"/>
              </w:rPr>
            </w:pPr>
            <w:r w:rsidRPr="00B343ED">
              <w:rPr>
                <w:szCs w:val="24"/>
                <w:lang w:eastAsia="en-US"/>
              </w:rPr>
              <w:t>1)</w:t>
            </w:r>
            <w:r w:rsidR="004F3660" w:rsidRPr="00B343ED">
              <w:rPr>
                <w:szCs w:val="24"/>
                <w:lang w:eastAsia="en-US"/>
              </w:rPr>
              <w:t xml:space="preserve"> asmenų, kuriems įstatymas y</w:t>
            </w:r>
            <w:r w:rsidR="002713F6">
              <w:rPr>
                <w:szCs w:val="24"/>
                <w:lang w:eastAsia="en-US"/>
              </w:rPr>
              <w:t>ra taikomas (Įstatymo projekto 2</w:t>
            </w:r>
            <w:r w:rsidR="004F3660" w:rsidRPr="00B343ED">
              <w:rPr>
                <w:szCs w:val="24"/>
                <w:lang w:eastAsia="en-US"/>
              </w:rPr>
              <w:t xml:space="preserve"> straipsnio 1 dalis); 2) asmenų, kuriems įstatymas yra netaikomas (Įstatymo projekto</w:t>
            </w:r>
            <w:r w:rsidR="002713F6">
              <w:rPr>
                <w:szCs w:val="24"/>
                <w:lang w:eastAsia="en-US"/>
              </w:rPr>
              <w:t xml:space="preserve"> 2</w:t>
            </w:r>
            <w:r w:rsidR="004F3660" w:rsidRPr="00B343ED">
              <w:rPr>
                <w:szCs w:val="24"/>
                <w:lang w:eastAsia="en-US"/>
              </w:rPr>
              <w:t xml:space="preserve"> straipsnio </w:t>
            </w:r>
            <w:r w:rsidR="002713F6">
              <w:rPr>
                <w:szCs w:val="24"/>
                <w:lang w:eastAsia="en-US"/>
              </w:rPr>
              <w:t>4</w:t>
            </w:r>
            <w:r w:rsidR="004F3660" w:rsidRPr="00B343ED">
              <w:rPr>
                <w:szCs w:val="24"/>
                <w:lang w:eastAsia="en-US"/>
              </w:rPr>
              <w:t xml:space="preserve"> dalis); </w:t>
            </w:r>
          </w:p>
          <w:p w:rsidR="004600AA" w:rsidRPr="00B343ED" w:rsidRDefault="000C0DDE" w:rsidP="00770A67">
            <w:pPr>
              <w:widowControl w:val="0"/>
              <w:jc w:val="both"/>
              <w:rPr>
                <w:szCs w:val="24"/>
                <w:lang w:eastAsia="en-US"/>
              </w:rPr>
            </w:pPr>
            <w:r>
              <w:rPr>
                <w:szCs w:val="24"/>
                <w:lang w:eastAsia="en-US"/>
              </w:rPr>
              <w:lastRenderedPageBreak/>
              <w:t xml:space="preserve">3) </w:t>
            </w:r>
            <w:r w:rsidR="0006457B">
              <w:rPr>
                <w:szCs w:val="24"/>
                <w:lang w:eastAsia="en-US"/>
              </w:rPr>
              <w:t xml:space="preserve">būdų, kaip apskaičiuojamos lėšos už VSD fonde asmens įgytas pensines teises (Įstatymo projekto 4 straipsnio 2 dalis); </w:t>
            </w:r>
            <w:r>
              <w:rPr>
                <w:szCs w:val="24"/>
                <w:lang w:eastAsia="en-US"/>
              </w:rPr>
              <w:t>4</w:t>
            </w:r>
            <w:r w:rsidR="004F3660" w:rsidRPr="00B343ED">
              <w:rPr>
                <w:szCs w:val="24"/>
                <w:lang w:eastAsia="en-US"/>
              </w:rPr>
              <w:t xml:space="preserve">) </w:t>
            </w:r>
            <w:r w:rsidR="00BE3DBE">
              <w:rPr>
                <w:szCs w:val="24"/>
                <w:lang w:eastAsia="en-US"/>
              </w:rPr>
              <w:t>kas turi būti nurodoma, kai VSD fondo valdyba perveda lėšas kompetentingai ES institucijai (Įstatymo projekto 5 straipsnio 2 dalis); 5)</w:t>
            </w:r>
            <w:r w:rsidR="00F57962">
              <w:rPr>
                <w:szCs w:val="24"/>
                <w:lang w:eastAsia="en-US"/>
              </w:rPr>
              <w:t>lėšų už VSD fonde įgytas pensines teises pervedimo pagrindas ir būdai</w:t>
            </w:r>
            <w:r w:rsidR="004F3660" w:rsidRPr="00B343ED">
              <w:rPr>
                <w:szCs w:val="24"/>
                <w:lang w:eastAsia="en-US"/>
              </w:rPr>
              <w:t xml:space="preserve"> (Įstatymo projekto </w:t>
            </w:r>
            <w:r w:rsidR="0066490F">
              <w:rPr>
                <w:szCs w:val="24"/>
                <w:lang w:eastAsia="en-US"/>
              </w:rPr>
              <w:t>5</w:t>
            </w:r>
            <w:r w:rsidR="004F3660" w:rsidRPr="0066490F">
              <w:rPr>
                <w:szCs w:val="24"/>
                <w:lang w:eastAsia="en-US"/>
              </w:rPr>
              <w:t xml:space="preserve"> straipsnis</w:t>
            </w:r>
            <w:r>
              <w:rPr>
                <w:szCs w:val="24"/>
                <w:lang w:eastAsia="en-US"/>
              </w:rPr>
              <w:t xml:space="preserve">); </w:t>
            </w:r>
            <w:r w:rsidR="00BE3DBE">
              <w:rPr>
                <w:szCs w:val="24"/>
                <w:lang w:eastAsia="en-US"/>
              </w:rPr>
              <w:t>6</w:t>
            </w:r>
            <w:r w:rsidR="004F3660" w:rsidRPr="00B343ED">
              <w:rPr>
                <w:szCs w:val="24"/>
                <w:lang w:eastAsia="en-US"/>
              </w:rPr>
              <w:t xml:space="preserve">) </w:t>
            </w:r>
            <w:r w:rsidR="00F57962">
              <w:rPr>
                <w:szCs w:val="24"/>
                <w:lang w:eastAsia="en-US"/>
              </w:rPr>
              <w:t>lėšų už ES institucijų pensijų sistemoje įgytas pensines teises pervedimo pagrindas ir būdai</w:t>
            </w:r>
            <w:r w:rsidR="004F3660" w:rsidRPr="00B343ED">
              <w:rPr>
                <w:szCs w:val="24"/>
                <w:lang w:eastAsia="en-US"/>
              </w:rPr>
              <w:t xml:space="preserve"> (Įstatymo projekto </w:t>
            </w:r>
            <w:r w:rsidR="00F57962">
              <w:rPr>
                <w:szCs w:val="24"/>
                <w:lang w:eastAsia="en-US"/>
              </w:rPr>
              <w:t>7</w:t>
            </w:r>
            <w:r w:rsidR="00770A67">
              <w:rPr>
                <w:szCs w:val="24"/>
                <w:lang w:eastAsia="en-US"/>
              </w:rPr>
              <w:t xml:space="preserve"> straipsnis)</w:t>
            </w:r>
            <w:r w:rsidR="008D3ED6">
              <w:rPr>
                <w:szCs w:val="24"/>
                <w:lang w:eastAsia="en-US"/>
              </w:rPr>
              <w:t>.</w:t>
            </w:r>
          </w:p>
        </w:tc>
        <w:tc>
          <w:tcPr>
            <w:tcW w:w="2268" w:type="dxa"/>
            <w:shd w:val="clear" w:color="auto" w:fill="auto"/>
          </w:tcPr>
          <w:p w:rsidR="00CE71F8" w:rsidRPr="00B343ED" w:rsidRDefault="00CE71F8" w:rsidP="00EC69FA">
            <w:pPr>
              <w:jc w:val="both"/>
              <w:rPr>
                <w:szCs w:val="24"/>
              </w:rPr>
            </w:pPr>
          </w:p>
        </w:tc>
        <w:tc>
          <w:tcPr>
            <w:tcW w:w="1852" w:type="dxa"/>
            <w:shd w:val="clear" w:color="auto" w:fill="auto"/>
          </w:tcPr>
          <w:p w:rsidR="00CE71F8" w:rsidRPr="00B343ED" w:rsidRDefault="001E73A2" w:rsidP="001E73A2">
            <w:pPr>
              <w:widowControl w:val="0"/>
              <w:rPr>
                <w:szCs w:val="24"/>
              </w:rPr>
            </w:pPr>
            <w:r w:rsidRPr="00B343ED">
              <w:rPr>
                <w:szCs w:val="24"/>
              </w:rPr>
              <w:t>□</w:t>
            </w:r>
            <w:r>
              <w:rPr>
                <w:szCs w:val="24"/>
              </w:rPr>
              <w:t xml:space="preserve"> </w:t>
            </w:r>
            <w:r w:rsidR="00CE71F8" w:rsidRPr="00B343ED">
              <w:rPr>
                <w:szCs w:val="24"/>
              </w:rPr>
              <w:t>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6.</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nustatytas baigtinis sąrašas motyvuotų atvejų, kai priimant sprendimus taikomos išimtys</w:t>
            </w:r>
          </w:p>
        </w:tc>
        <w:tc>
          <w:tcPr>
            <w:tcW w:w="6379" w:type="dxa"/>
            <w:shd w:val="clear" w:color="auto" w:fill="auto"/>
          </w:tcPr>
          <w:p w:rsidR="00134E51" w:rsidRDefault="00D44600" w:rsidP="00134E51">
            <w:pPr>
              <w:widowControl w:val="0"/>
              <w:jc w:val="both"/>
              <w:rPr>
                <w:szCs w:val="24"/>
              </w:rPr>
            </w:pPr>
            <w:r w:rsidRPr="00B343ED">
              <w:rPr>
                <w:szCs w:val="24"/>
                <w:lang w:eastAsia="en-US"/>
              </w:rPr>
              <w:t xml:space="preserve">Įstatymo projekto </w:t>
            </w:r>
            <w:r w:rsidR="00D029E2">
              <w:rPr>
                <w:szCs w:val="24"/>
                <w:lang w:eastAsia="en-US"/>
              </w:rPr>
              <w:t>4</w:t>
            </w:r>
            <w:r w:rsidRPr="00B343ED">
              <w:rPr>
                <w:szCs w:val="24"/>
                <w:lang w:eastAsia="en-US"/>
              </w:rPr>
              <w:t xml:space="preserve"> straipsnio </w:t>
            </w:r>
            <w:r w:rsidR="00D029E2">
              <w:rPr>
                <w:szCs w:val="24"/>
                <w:lang w:eastAsia="en-US"/>
              </w:rPr>
              <w:t>3</w:t>
            </w:r>
            <w:r w:rsidR="008D3ED6">
              <w:rPr>
                <w:szCs w:val="24"/>
                <w:lang w:eastAsia="en-US"/>
              </w:rPr>
              <w:t xml:space="preserve"> </w:t>
            </w:r>
            <w:r w:rsidR="00D029E2">
              <w:rPr>
                <w:szCs w:val="24"/>
                <w:lang w:eastAsia="en-US"/>
              </w:rPr>
              <w:t>dalyje</w:t>
            </w:r>
            <w:r w:rsidRPr="00B343ED">
              <w:rPr>
                <w:szCs w:val="24"/>
                <w:lang w:eastAsia="en-US"/>
              </w:rPr>
              <w:t xml:space="preserve"> nustatyt</w:t>
            </w:r>
            <w:r w:rsidR="008D3ED6">
              <w:rPr>
                <w:szCs w:val="24"/>
                <w:lang w:eastAsia="en-US"/>
              </w:rPr>
              <w:t>i</w:t>
            </w:r>
            <w:r w:rsidRPr="00B343ED">
              <w:rPr>
                <w:szCs w:val="24"/>
                <w:lang w:eastAsia="en-US"/>
              </w:rPr>
              <w:t xml:space="preserve"> atvej</w:t>
            </w:r>
            <w:r w:rsidR="00EC69FA">
              <w:rPr>
                <w:szCs w:val="24"/>
                <w:lang w:eastAsia="en-US"/>
              </w:rPr>
              <w:t>ai</w:t>
            </w:r>
            <w:r w:rsidRPr="00B343ED">
              <w:rPr>
                <w:szCs w:val="24"/>
                <w:lang w:eastAsia="en-US"/>
              </w:rPr>
              <w:t xml:space="preserve">, </w:t>
            </w:r>
            <w:r w:rsidR="00D029E2">
              <w:rPr>
                <w:szCs w:val="24"/>
                <w:lang w:eastAsia="en-US"/>
              </w:rPr>
              <w:t xml:space="preserve">kaip apskaičiuojama </w:t>
            </w:r>
            <w:r w:rsidR="00D029E2" w:rsidRPr="00D029E2">
              <w:rPr>
                <w:bCs/>
                <w:szCs w:val="24"/>
                <w:lang w:eastAsia="en-US"/>
              </w:rPr>
              <w:t>lėšų už VSD fonde asm</w:t>
            </w:r>
            <w:r w:rsidR="00D029E2">
              <w:rPr>
                <w:bCs/>
                <w:szCs w:val="24"/>
                <w:lang w:eastAsia="en-US"/>
              </w:rPr>
              <w:t>ens įgytas pensines teises suma,</w:t>
            </w:r>
            <w:r w:rsidR="00D029E2" w:rsidRPr="00D029E2">
              <w:rPr>
                <w:bCs/>
                <w:szCs w:val="24"/>
                <w:lang w:eastAsia="en-US"/>
              </w:rPr>
              <w:t xml:space="preserve"> </w:t>
            </w:r>
            <w:r w:rsidR="00D029E2">
              <w:rPr>
                <w:bCs/>
                <w:szCs w:val="24"/>
                <w:lang w:eastAsia="en-US"/>
              </w:rPr>
              <w:t>j</w:t>
            </w:r>
            <w:r w:rsidR="00D029E2" w:rsidRPr="00D029E2">
              <w:rPr>
                <w:bCs/>
                <w:szCs w:val="24"/>
                <w:lang w:eastAsia="en-US"/>
              </w:rPr>
              <w:t xml:space="preserve">eigu asmuo iš VSD fondo gauna (gavo) socialinio draudimo senatvės pensiją, paskirtą taikant </w:t>
            </w:r>
            <w:r w:rsidR="00D029E2" w:rsidRPr="00D029E2">
              <w:rPr>
                <w:color w:val="000000"/>
                <w:szCs w:val="24"/>
                <w:lang w:eastAsia="en-US"/>
              </w:rPr>
              <w:t xml:space="preserve">Socialinio </w:t>
            </w:r>
            <w:r w:rsidR="00D029E2" w:rsidRPr="00D029E2">
              <w:rPr>
                <w:bCs/>
                <w:szCs w:val="24"/>
                <w:lang w:eastAsia="en-US"/>
              </w:rPr>
              <w:t>draudimo pensijų įstatymo nuostatas dėl senatv</w:t>
            </w:r>
            <w:r w:rsidR="00D029E2">
              <w:rPr>
                <w:bCs/>
                <w:szCs w:val="24"/>
                <w:lang w:eastAsia="en-US"/>
              </w:rPr>
              <w:t>ės pensijos išankstinio skyrimo</w:t>
            </w:r>
            <w:r w:rsidRPr="00B343ED">
              <w:rPr>
                <w:szCs w:val="24"/>
              </w:rPr>
              <w:t xml:space="preserve">. </w:t>
            </w:r>
          </w:p>
          <w:p w:rsidR="00CA585C" w:rsidRPr="00B343ED" w:rsidRDefault="00CA585C" w:rsidP="00CA585C">
            <w:pPr>
              <w:widowControl w:val="0"/>
              <w:jc w:val="both"/>
              <w:rPr>
                <w:szCs w:val="24"/>
              </w:rPr>
            </w:pPr>
            <w:r>
              <w:rPr>
                <w:szCs w:val="24"/>
                <w:lang w:eastAsia="en-US"/>
              </w:rPr>
              <w:t>Įstatymo projekto 6 straipsnio 2</w:t>
            </w:r>
            <w:r w:rsidR="009A0E4E" w:rsidRPr="00B343ED">
              <w:rPr>
                <w:szCs w:val="24"/>
                <w:lang w:eastAsia="en-US"/>
              </w:rPr>
              <w:t xml:space="preserve"> dalyje </w:t>
            </w:r>
            <w:r w:rsidR="00DC7EEE" w:rsidRPr="00B343ED">
              <w:rPr>
                <w:szCs w:val="24"/>
                <w:lang w:eastAsia="en-US"/>
              </w:rPr>
              <w:t>nustatyta</w:t>
            </w:r>
            <w:r w:rsidR="00DC7EEE">
              <w:rPr>
                <w:szCs w:val="24"/>
                <w:lang w:eastAsia="en-US"/>
              </w:rPr>
              <w:t>, kad</w:t>
            </w:r>
            <w:r w:rsidR="008D3ED6" w:rsidRPr="00B343ED">
              <w:rPr>
                <w:szCs w:val="24"/>
                <w:lang w:eastAsia="en-US"/>
              </w:rPr>
              <w:t xml:space="preserve"> </w:t>
            </w:r>
            <w:r>
              <w:rPr>
                <w:bCs/>
                <w:szCs w:val="24"/>
                <w:lang w:eastAsia="en-US"/>
              </w:rPr>
              <w:t>p</w:t>
            </w:r>
            <w:r w:rsidRPr="00CA585C">
              <w:rPr>
                <w:bCs/>
                <w:szCs w:val="24"/>
                <w:lang w:eastAsia="en-US"/>
              </w:rPr>
              <w:t xml:space="preserve">erkėlus pensines teises į </w:t>
            </w:r>
            <w:r w:rsidRPr="00CA585C">
              <w:rPr>
                <w:szCs w:val="24"/>
                <w:lang w:eastAsia="en-US"/>
              </w:rPr>
              <w:t>ES institucijų pensijų sistemą, asmuo netenka teisės gauti socialinio draudimo pensijas ar kompensaciją už ypatingas darbo sąlygas, išskyrus atvejus, kai jo pensinės teisės šio įstatymo 8 straipsnyje nustatyta tvarka perkeliamos į VSD fondą</w:t>
            </w:r>
            <w:r>
              <w:rPr>
                <w:szCs w:val="24"/>
                <w:lang w:eastAsia="en-US"/>
              </w:rPr>
              <w:t>.</w:t>
            </w:r>
          </w:p>
          <w:p w:rsidR="009A0E4E" w:rsidRDefault="00F377F2" w:rsidP="009A502A">
            <w:pPr>
              <w:widowControl w:val="0"/>
              <w:jc w:val="both"/>
              <w:rPr>
                <w:szCs w:val="24"/>
                <w:lang w:eastAsia="en-US"/>
              </w:rPr>
            </w:pPr>
            <w:r>
              <w:rPr>
                <w:szCs w:val="24"/>
                <w:lang w:eastAsia="en-US"/>
              </w:rPr>
              <w:t>Įstatymo projekto 6 straipsnio 3</w:t>
            </w:r>
            <w:r w:rsidRPr="00B343ED">
              <w:rPr>
                <w:szCs w:val="24"/>
                <w:lang w:eastAsia="en-US"/>
              </w:rPr>
              <w:t xml:space="preserve"> dalyje nustatyta</w:t>
            </w:r>
            <w:r>
              <w:rPr>
                <w:szCs w:val="24"/>
                <w:lang w:eastAsia="en-US"/>
              </w:rPr>
              <w:t>, kad</w:t>
            </w:r>
            <w:r w:rsidR="00BE2517">
              <w:rPr>
                <w:szCs w:val="24"/>
                <w:lang w:eastAsia="en-US"/>
              </w:rPr>
              <w:t xml:space="preserve"> p</w:t>
            </w:r>
            <w:r w:rsidR="00BE2517" w:rsidRPr="00BE2517">
              <w:rPr>
                <w:szCs w:val="24"/>
                <w:lang w:eastAsia="en-US"/>
              </w:rPr>
              <w:t xml:space="preserve">ensines teises perkėlus į ES institucijų pensijų sistemą, asmeniui paskirtų socialinio draudimo našlių ir (ar) našlaičių (maitintojo netekimo) pensijų mokėjimas tęsiamas </w:t>
            </w:r>
            <w:r w:rsidR="00BE2517" w:rsidRPr="00BE2517">
              <w:rPr>
                <w:color w:val="000000"/>
                <w:szCs w:val="24"/>
                <w:lang w:eastAsia="en-US"/>
              </w:rPr>
              <w:t xml:space="preserve">Socialinio </w:t>
            </w:r>
            <w:r w:rsidR="00BE2517" w:rsidRPr="00BE2517">
              <w:rPr>
                <w:szCs w:val="24"/>
                <w:lang w:eastAsia="en-US"/>
              </w:rPr>
              <w:t xml:space="preserve">draudimo </w:t>
            </w:r>
            <w:r w:rsidR="00BE2517" w:rsidRPr="00BE2517">
              <w:rPr>
                <w:szCs w:val="24"/>
                <w:lang w:eastAsia="en-US"/>
              </w:rPr>
              <w:lastRenderedPageBreak/>
              <w:t>pensijų įstatymo nustatyta tvarka</w:t>
            </w:r>
            <w:r w:rsidR="00BE2517">
              <w:rPr>
                <w:szCs w:val="24"/>
                <w:lang w:eastAsia="en-US"/>
              </w:rPr>
              <w:t>.</w:t>
            </w:r>
          </w:p>
          <w:p w:rsidR="009A502A" w:rsidRPr="00B343ED" w:rsidRDefault="009A502A" w:rsidP="009A502A">
            <w:pPr>
              <w:widowControl w:val="0"/>
              <w:jc w:val="both"/>
              <w:rPr>
                <w:szCs w:val="24"/>
              </w:rPr>
            </w:pPr>
            <w:r>
              <w:rPr>
                <w:szCs w:val="24"/>
                <w:lang w:eastAsia="en-US"/>
              </w:rPr>
              <w:t xml:space="preserve">Įstatymo projekto 11 straipsnyje </w:t>
            </w:r>
            <w:r w:rsidRPr="00B343ED">
              <w:rPr>
                <w:szCs w:val="24"/>
                <w:lang w:eastAsia="en-US"/>
              </w:rPr>
              <w:t>nustatyta</w:t>
            </w:r>
            <w:r>
              <w:rPr>
                <w:szCs w:val="24"/>
                <w:lang w:eastAsia="en-US"/>
              </w:rPr>
              <w:t>, kad j</w:t>
            </w:r>
            <w:r w:rsidRPr="009A502A">
              <w:rPr>
                <w:szCs w:val="24"/>
                <w:lang w:eastAsia="en-US"/>
              </w:rPr>
              <w:t>eigu asmuo, dirbantis (dirbęs) ES institucijose, einantis (ėjęs) Europos Parlamento nario pareigas ar ES pareigūno pareigas, yra įgijęs mažesnį negu Socialinio draudimo pensijų įstatymo nustatytas minimalusis pensijų socialinio draudimo stažas atitinkamos rūšies pensijai skirti, šio asmens teisė gauti socialinio draudimo pensiją nustatoma sumuojant asmens pagal Socialinio draudimo pensijų įstatymą įgytą pensijų socialinio draudimo stažą ir šio asmens įgaliojimų Europos Parlamente ar kitoje ES institucijoje, darbo ES institucijose trukmę</w:t>
            </w:r>
            <w:r>
              <w:rPr>
                <w:szCs w:val="24"/>
                <w:lang w:eastAsia="en-US"/>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7.</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sprendimų priėmimo, įforminimo tvarka ir priimtų sprendimų viešinimas</w:t>
            </w:r>
          </w:p>
        </w:tc>
        <w:tc>
          <w:tcPr>
            <w:tcW w:w="6379" w:type="dxa"/>
            <w:shd w:val="clear" w:color="auto" w:fill="auto"/>
          </w:tcPr>
          <w:p w:rsidR="00B067D7" w:rsidRPr="00B067D7" w:rsidRDefault="00A54CCF" w:rsidP="00B067D7">
            <w:pPr>
              <w:widowControl w:val="0"/>
              <w:jc w:val="both"/>
              <w:rPr>
                <w:bCs/>
                <w:szCs w:val="24"/>
              </w:rPr>
            </w:pPr>
            <w:r w:rsidRPr="00B343ED">
              <w:rPr>
                <w:szCs w:val="24"/>
              </w:rPr>
              <w:t xml:space="preserve">Įstatymo projekto </w:t>
            </w:r>
            <w:r w:rsidR="00B067D7">
              <w:rPr>
                <w:szCs w:val="24"/>
              </w:rPr>
              <w:t xml:space="preserve">3 straipsnio 1 dalyje numatyta, kad </w:t>
            </w:r>
            <w:r w:rsidR="00011ABC">
              <w:rPr>
                <w:bCs/>
                <w:szCs w:val="24"/>
              </w:rPr>
              <w:t>l</w:t>
            </w:r>
            <w:r w:rsidR="00B067D7" w:rsidRPr="00B067D7">
              <w:rPr>
                <w:bCs/>
                <w:szCs w:val="24"/>
              </w:rPr>
              <w:t xml:space="preserve">ėšas už VSD fonde asmens įgytas pensines teises apskaičiuoja ir informaciją ES kompetentingai institucijai teikia </w:t>
            </w:r>
            <w:r w:rsidR="00011ABC">
              <w:rPr>
                <w:bCs/>
                <w:szCs w:val="24"/>
              </w:rPr>
              <w:t xml:space="preserve">VSD fondo valdyba, kuri taip pat </w:t>
            </w:r>
            <w:r w:rsidR="00B067D7" w:rsidRPr="00B067D7">
              <w:rPr>
                <w:bCs/>
                <w:szCs w:val="24"/>
              </w:rPr>
              <w:t>turi teisę įgalioti kitą VSD fondo administravimo įstaigą atlikti šiame įstatyme VSD fondo valdybai nustatytas funkcijas.</w:t>
            </w:r>
          </w:p>
          <w:p w:rsidR="0078589C" w:rsidRPr="0078589C" w:rsidRDefault="003A2B7A" w:rsidP="00B067D7">
            <w:pPr>
              <w:jc w:val="both"/>
              <w:rPr>
                <w:b/>
                <w:szCs w:val="24"/>
              </w:rPr>
            </w:pPr>
            <w:r w:rsidRPr="00B343ED">
              <w:rPr>
                <w:szCs w:val="24"/>
              </w:rPr>
              <w:t xml:space="preserve">Įstatymo projekto </w:t>
            </w:r>
            <w:r>
              <w:rPr>
                <w:szCs w:val="24"/>
              </w:rPr>
              <w:t>4 straipsnis numato lėšų už VSD fonde asmens įgytas pensines teises apskaičiavimo tvarką.</w:t>
            </w:r>
          </w:p>
          <w:p w:rsidR="00152C7F" w:rsidRDefault="00152C7F" w:rsidP="00B067D7">
            <w:pPr>
              <w:widowControl w:val="0"/>
              <w:contextualSpacing/>
              <w:jc w:val="both"/>
              <w:rPr>
                <w:szCs w:val="24"/>
              </w:rPr>
            </w:pPr>
            <w:r w:rsidRPr="00B343ED">
              <w:rPr>
                <w:szCs w:val="24"/>
              </w:rPr>
              <w:t xml:space="preserve">Įstatymo projekto </w:t>
            </w:r>
            <w:r>
              <w:rPr>
                <w:szCs w:val="24"/>
              </w:rPr>
              <w:t>5 straipsnis numato lėšų už VSD fonde asmens įgytas pensines teises pervedimo tvarką.</w:t>
            </w:r>
          </w:p>
          <w:p w:rsidR="00F3151E" w:rsidRDefault="00F3151E" w:rsidP="00B067D7">
            <w:pPr>
              <w:widowControl w:val="0"/>
              <w:contextualSpacing/>
              <w:jc w:val="both"/>
              <w:rPr>
                <w:szCs w:val="24"/>
              </w:rPr>
            </w:pPr>
            <w:r w:rsidRPr="00B343ED">
              <w:rPr>
                <w:szCs w:val="24"/>
              </w:rPr>
              <w:t xml:space="preserve">Įstatymo projekto </w:t>
            </w:r>
            <w:r>
              <w:rPr>
                <w:szCs w:val="24"/>
              </w:rPr>
              <w:t>6 straipsnis numato VSD fonde asmens įgytų pensinių teisių pervedimo pasibaigimo įforminimo tvarką.</w:t>
            </w:r>
          </w:p>
          <w:p w:rsidR="00EC3FB0" w:rsidRDefault="00EC3FB0" w:rsidP="00B067D7">
            <w:pPr>
              <w:widowControl w:val="0"/>
              <w:contextualSpacing/>
              <w:jc w:val="both"/>
              <w:rPr>
                <w:szCs w:val="24"/>
              </w:rPr>
            </w:pPr>
            <w:r w:rsidRPr="00B343ED">
              <w:rPr>
                <w:szCs w:val="24"/>
              </w:rPr>
              <w:t xml:space="preserve">Įstatymo projekto </w:t>
            </w:r>
            <w:r>
              <w:rPr>
                <w:szCs w:val="24"/>
              </w:rPr>
              <w:t xml:space="preserve">8 straipsnis numato lėšų už ES institucijų </w:t>
            </w:r>
            <w:r>
              <w:rPr>
                <w:szCs w:val="24"/>
              </w:rPr>
              <w:lastRenderedPageBreak/>
              <w:t>pensijų sistemoje asmens įgytas pensines teises įskaitymo į VSD fondą tvarką.</w:t>
            </w:r>
          </w:p>
          <w:p w:rsidR="007303DD" w:rsidRDefault="007303DD" w:rsidP="00B067D7">
            <w:pPr>
              <w:widowControl w:val="0"/>
              <w:contextualSpacing/>
              <w:jc w:val="both"/>
              <w:rPr>
                <w:szCs w:val="24"/>
              </w:rPr>
            </w:pPr>
            <w:r w:rsidRPr="00B343ED">
              <w:rPr>
                <w:szCs w:val="24"/>
              </w:rPr>
              <w:t xml:space="preserve">Įstatymo projekto </w:t>
            </w:r>
            <w:r>
              <w:rPr>
                <w:szCs w:val="24"/>
              </w:rPr>
              <w:t>10 straipsnis numato</w:t>
            </w:r>
            <w:r w:rsidRPr="007303DD">
              <w:rPr>
                <w:b/>
                <w:szCs w:val="24"/>
                <w:lang w:eastAsia="en-US"/>
              </w:rPr>
              <w:t xml:space="preserve"> </w:t>
            </w:r>
            <w:r>
              <w:rPr>
                <w:szCs w:val="24"/>
                <w:lang w:eastAsia="en-US"/>
              </w:rPr>
              <w:t>s</w:t>
            </w:r>
            <w:r w:rsidRPr="007303DD">
              <w:rPr>
                <w:szCs w:val="24"/>
                <w:lang w:eastAsia="en-US"/>
              </w:rPr>
              <w:t>ocialinio draudimo pensijų ES institucijų darbuotojams mokėjimo</w:t>
            </w:r>
            <w:r>
              <w:rPr>
                <w:szCs w:val="24"/>
                <w:lang w:eastAsia="en-US"/>
              </w:rPr>
              <w:t xml:space="preserve"> tvarką.</w:t>
            </w:r>
          </w:p>
          <w:p w:rsidR="00163893" w:rsidRPr="00B343ED" w:rsidRDefault="009A0E4E" w:rsidP="00715CE7">
            <w:pPr>
              <w:widowControl w:val="0"/>
              <w:contextualSpacing/>
              <w:jc w:val="both"/>
              <w:rPr>
                <w:szCs w:val="24"/>
              </w:rPr>
            </w:pPr>
            <w:r w:rsidRPr="00B343ED">
              <w:rPr>
                <w:szCs w:val="24"/>
              </w:rPr>
              <w:t xml:space="preserve">Įstatymo projekte nenumatytas </w:t>
            </w:r>
            <w:r w:rsidR="00E36599">
              <w:rPr>
                <w:szCs w:val="24"/>
              </w:rPr>
              <w:t xml:space="preserve">ES </w:t>
            </w:r>
            <w:r w:rsidR="00E36599" w:rsidRPr="00543984">
              <w:rPr>
                <w:szCs w:val="24"/>
              </w:rPr>
              <w:t>institucijų d</w:t>
            </w:r>
            <w:r w:rsidR="00E36599">
              <w:rPr>
                <w:szCs w:val="24"/>
              </w:rPr>
              <w:t xml:space="preserve">arbuotojų ir Europos parlamento narių, kurie įgijo pensijų socialinio draudimo stažo pagal Socialinio draudimo pensijų įstatymą ir (ar) pensinių teisių ES institucijų pensijų sistemoje lėšų apskaičiavimo ir pervedimo </w:t>
            </w:r>
            <w:r w:rsidR="00E36599" w:rsidRPr="0066490F">
              <w:rPr>
                <w:szCs w:val="24"/>
              </w:rPr>
              <w:t>viešinimas</w:t>
            </w:r>
            <w:r w:rsidR="0066490F" w:rsidRPr="0066490F">
              <w:rPr>
                <w:szCs w:val="24"/>
              </w:rPr>
              <w:t>,</w:t>
            </w:r>
            <w:r w:rsidR="0066490F">
              <w:rPr>
                <w:szCs w:val="24"/>
              </w:rPr>
              <w:t xml:space="preserve"> atsižvelgiant į tai, kad sprendimai susiję su asmens duomenimis</w:t>
            </w:r>
            <w:r w:rsidRPr="00B343ED">
              <w:rPr>
                <w:szCs w:val="24"/>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8.</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sprendimų dėl mažareikšmiškumo priėmimo tvarka</w:t>
            </w:r>
          </w:p>
        </w:tc>
        <w:tc>
          <w:tcPr>
            <w:tcW w:w="6379" w:type="dxa"/>
            <w:shd w:val="clear" w:color="auto" w:fill="auto"/>
          </w:tcPr>
          <w:p w:rsidR="005837D8" w:rsidRPr="00B343ED" w:rsidRDefault="005837D8" w:rsidP="00657668">
            <w:pPr>
              <w:widowControl w:val="0"/>
              <w:spacing w:before="100" w:beforeAutospacing="1" w:after="100" w:afterAutospacing="1"/>
              <w:jc w:val="both"/>
              <w:rPr>
                <w:szCs w:val="24"/>
              </w:rPr>
            </w:pPr>
            <w:r w:rsidRPr="00B343ED">
              <w:rPr>
                <w:szCs w:val="24"/>
              </w:rPr>
              <w:t>Nereglamentuota</w:t>
            </w:r>
            <w:r w:rsidR="00F23308" w:rsidRPr="00B343ED">
              <w:rPr>
                <w:szCs w:val="24"/>
              </w:rPr>
              <w:t>.</w:t>
            </w:r>
          </w:p>
          <w:p w:rsidR="00CE71F8" w:rsidRPr="00B343ED" w:rsidRDefault="00CE71F8" w:rsidP="00657668">
            <w:pPr>
              <w:widowControl w:val="0"/>
              <w:jc w:val="both"/>
              <w:rPr>
                <w:b/>
                <w:szCs w:val="24"/>
              </w:rPr>
            </w:pP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9.</w:t>
            </w:r>
          </w:p>
        </w:tc>
        <w:tc>
          <w:tcPr>
            <w:tcW w:w="3402" w:type="dxa"/>
            <w:shd w:val="clear" w:color="auto" w:fill="auto"/>
          </w:tcPr>
          <w:p w:rsidR="00CE71F8" w:rsidRPr="00B343ED" w:rsidRDefault="00CE71F8" w:rsidP="00300133">
            <w:pPr>
              <w:widowControl w:val="0"/>
              <w:jc w:val="both"/>
              <w:rPr>
                <w:szCs w:val="24"/>
              </w:rPr>
            </w:pPr>
            <w:r w:rsidRPr="00B343ED">
              <w:rPr>
                <w:szCs w:val="24"/>
              </w:rPr>
              <w:t>Jeigu pagal numatomą reguliavimą sprendimus priima kolegialus subjektas, teisės akto projekte nustatyta kolegialaus sprendimus priimančio subjekto:</w:t>
            </w:r>
          </w:p>
          <w:p w:rsidR="00CE71F8" w:rsidRPr="00B343ED" w:rsidRDefault="00CE71F8" w:rsidP="00300133">
            <w:pPr>
              <w:pStyle w:val="Sraopastraipa"/>
              <w:widowControl w:val="0"/>
              <w:ind w:left="33"/>
              <w:contextualSpacing w:val="0"/>
              <w:jc w:val="both"/>
              <w:rPr>
                <w:sz w:val="24"/>
                <w:szCs w:val="24"/>
              </w:rPr>
            </w:pPr>
            <w:r w:rsidRPr="00B343ED">
              <w:rPr>
                <w:sz w:val="24"/>
                <w:szCs w:val="24"/>
              </w:rPr>
              <w:t>9.1. konkretus narių skaičius, užtikrinantis kolegialaus sprendimus priimančio subjekto veiklos objektyvumą;</w:t>
            </w:r>
          </w:p>
          <w:p w:rsidR="00CE71F8" w:rsidRPr="00B343ED" w:rsidRDefault="00CE71F8" w:rsidP="00300133">
            <w:pPr>
              <w:pStyle w:val="Sraopastraipa"/>
              <w:widowControl w:val="0"/>
              <w:ind w:left="33"/>
              <w:contextualSpacing w:val="0"/>
              <w:jc w:val="both"/>
              <w:rPr>
                <w:sz w:val="24"/>
                <w:szCs w:val="24"/>
              </w:rPr>
            </w:pPr>
            <w:r w:rsidRPr="00B343ED">
              <w:rPr>
                <w:sz w:val="24"/>
                <w:szCs w:val="24"/>
              </w:rPr>
              <w:t xml:space="preserve">9.2. jeigu narius skiria keli </w:t>
            </w:r>
            <w:r w:rsidRPr="00B343ED">
              <w:rPr>
                <w:sz w:val="24"/>
                <w:szCs w:val="24"/>
              </w:rPr>
              <w:lastRenderedPageBreak/>
              <w:t>subjektai, proporcinga kiekvieno subjekto skiriamų narių dalis, užtikrinanti tinkamą atstovavimą valstybės interesams ir kolegialaus sprendimus priimančio subjekto veiklos objektyvumą ir skaidrumą;</w:t>
            </w:r>
          </w:p>
          <w:p w:rsidR="00CE71F8" w:rsidRPr="00B343ED" w:rsidRDefault="00CE71F8" w:rsidP="00300133">
            <w:pPr>
              <w:widowControl w:val="0"/>
              <w:jc w:val="both"/>
              <w:rPr>
                <w:szCs w:val="24"/>
              </w:rPr>
            </w:pPr>
            <w:r w:rsidRPr="00B343ED">
              <w:rPr>
                <w:szCs w:val="24"/>
              </w:rPr>
              <w:t>9.3</w:t>
            </w:r>
            <w:r w:rsidRPr="00B343ED">
              <w:rPr>
                <w:spacing w:val="-4"/>
                <w:szCs w:val="24"/>
              </w:rPr>
              <w:t>. narių skyrimo mechanizmas;</w:t>
            </w:r>
          </w:p>
          <w:p w:rsidR="00CE71F8" w:rsidRPr="00B343ED" w:rsidRDefault="00CE71F8" w:rsidP="00300133">
            <w:pPr>
              <w:widowControl w:val="0"/>
              <w:jc w:val="both"/>
              <w:rPr>
                <w:szCs w:val="24"/>
              </w:rPr>
            </w:pPr>
            <w:r w:rsidRPr="00B343ED">
              <w:rPr>
                <w:szCs w:val="24"/>
              </w:rPr>
              <w:t>9.4. narių rotacija ir kadencijų skaičius ir trukmė;</w:t>
            </w:r>
          </w:p>
          <w:p w:rsidR="00CE71F8" w:rsidRPr="00B343ED" w:rsidRDefault="00CE71F8" w:rsidP="00300133">
            <w:pPr>
              <w:pStyle w:val="Sraopastraipa"/>
              <w:widowControl w:val="0"/>
              <w:ind w:left="0"/>
              <w:contextualSpacing w:val="0"/>
              <w:jc w:val="both"/>
              <w:rPr>
                <w:sz w:val="24"/>
                <w:szCs w:val="24"/>
              </w:rPr>
            </w:pPr>
            <w:r w:rsidRPr="00B343ED">
              <w:rPr>
                <w:sz w:val="24"/>
                <w:szCs w:val="24"/>
              </w:rPr>
              <w:t>9.5. veiklos pobūdis laiko atžvilgiu;</w:t>
            </w:r>
          </w:p>
          <w:p w:rsidR="00CE71F8" w:rsidRPr="00B343ED" w:rsidRDefault="00CE71F8" w:rsidP="00300133">
            <w:pPr>
              <w:widowControl w:val="0"/>
              <w:jc w:val="both"/>
              <w:rPr>
                <w:szCs w:val="24"/>
              </w:rPr>
            </w:pPr>
            <w:r w:rsidRPr="00B343ED">
              <w:rPr>
                <w:szCs w:val="24"/>
              </w:rPr>
              <w:t>9.6. individuali narių atsakomybė</w:t>
            </w:r>
          </w:p>
        </w:tc>
        <w:tc>
          <w:tcPr>
            <w:tcW w:w="6379" w:type="dxa"/>
            <w:shd w:val="clear" w:color="auto" w:fill="auto"/>
          </w:tcPr>
          <w:p w:rsidR="00CE71F8" w:rsidRPr="00B343ED" w:rsidRDefault="005D34BD" w:rsidP="005D34BD">
            <w:pPr>
              <w:widowControl w:val="0"/>
              <w:spacing w:before="100" w:beforeAutospacing="1" w:after="100" w:afterAutospacing="1"/>
              <w:jc w:val="both"/>
              <w:rPr>
                <w:szCs w:val="24"/>
              </w:rPr>
            </w:pPr>
            <w:r w:rsidRPr="00B343ED">
              <w:rPr>
                <w:szCs w:val="24"/>
              </w:rPr>
              <w:lastRenderedPageBreak/>
              <w:t>Nereglamentuota.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10.</w:t>
            </w:r>
          </w:p>
        </w:tc>
        <w:tc>
          <w:tcPr>
            <w:tcW w:w="3402" w:type="dxa"/>
            <w:shd w:val="clear" w:color="auto" w:fill="auto"/>
          </w:tcPr>
          <w:p w:rsidR="00CE71F8" w:rsidRPr="00B343ED" w:rsidRDefault="00CE71F8" w:rsidP="00300133">
            <w:pPr>
              <w:widowControl w:val="0"/>
              <w:jc w:val="both"/>
              <w:rPr>
                <w:szCs w:val="24"/>
              </w:rPr>
            </w:pPr>
            <w:r w:rsidRPr="00B343ED">
              <w:rPr>
                <w:szCs w:val="24"/>
              </w:rPr>
              <w:t xml:space="preserve">Teisės akto projekto nuostatoms įgyvendinti numatytos administracinės procedūros yra </w:t>
            </w:r>
            <w:r w:rsidRPr="00B343ED">
              <w:rPr>
                <w:szCs w:val="24"/>
                <w:shd w:val="clear" w:color="auto" w:fill="FFFFFF"/>
              </w:rPr>
              <w:t>būtinos,</w:t>
            </w:r>
            <w:r w:rsidRPr="00B343ED">
              <w:rPr>
                <w:szCs w:val="24"/>
              </w:rPr>
              <w:t xml:space="preserve"> nustatyta išsami jų taikymo tvarka </w:t>
            </w:r>
          </w:p>
        </w:tc>
        <w:tc>
          <w:tcPr>
            <w:tcW w:w="6379" w:type="dxa"/>
            <w:shd w:val="clear" w:color="auto" w:fill="auto"/>
          </w:tcPr>
          <w:p w:rsidR="006839B7" w:rsidRPr="0078589C" w:rsidRDefault="009C4CB0" w:rsidP="003A6E21">
            <w:pPr>
              <w:jc w:val="both"/>
              <w:rPr>
                <w:b/>
                <w:szCs w:val="24"/>
              </w:rPr>
            </w:pPr>
            <w:bookmarkStart w:id="1" w:name="196z"/>
            <w:r w:rsidRPr="00B001FF">
              <w:rPr>
                <w:szCs w:val="24"/>
              </w:rPr>
              <w:t xml:space="preserve">Administracinės procedūros Įstatymo projekto nuostatoms įgyvendinti </w:t>
            </w:r>
            <w:bookmarkEnd w:id="1"/>
            <w:r w:rsidRPr="00B001FF">
              <w:rPr>
                <w:szCs w:val="24"/>
              </w:rPr>
              <w:t>numatytos</w:t>
            </w:r>
            <w:r w:rsidRPr="004D5D17">
              <w:rPr>
                <w:sz w:val="22"/>
                <w:szCs w:val="22"/>
              </w:rPr>
              <w:t xml:space="preserve"> </w:t>
            </w:r>
            <w:r w:rsidR="00C0370E">
              <w:rPr>
                <w:szCs w:val="24"/>
              </w:rPr>
              <w:t>lėšų už VSD fonde įgytas pensines teises, pervestinų į ES institucijų pensijų sistemą, ir lėšų už ES institucijų pensijų sistemoje įgytas pensines teises, pervedamų į VSD fondą, apskaičiavimo</w:t>
            </w:r>
            <w:r w:rsidR="006839B7" w:rsidRPr="0078589C">
              <w:rPr>
                <w:szCs w:val="24"/>
              </w:rPr>
              <w:t xml:space="preserve"> tvarkos apraš</w:t>
            </w:r>
            <w:r w:rsidR="006839B7">
              <w:rPr>
                <w:szCs w:val="24"/>
              </w:rPr>
              <w:t>e</w:t>
            </w:r>
            <w:r w:rsidR="006839B7" w:rsidRPr="0078589C">
              <w:rPr>
                <w:szCs w:val="24"/>
              </w:rPr>
              <w:t xml:space="preserve">. </w:t>
            </w:r>
          </w:p>
          <w:p w:rsidR="00CE71F8" w:rsidRPr="00B343ED" w:rsidRDefault="00CE71F8" w:rsidP="004F018B">
            <w:pPr>
              <w:widowControl w:val="0"/>
              <w:jc w:val="both"/>
              <w:rPr>
                <w:szCs w:val="24"/>
              </w:rPr>
            </w:pP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11.</w:t>
            </w:r>
          </w:p>
        </w:tc>
        <w:tc>
          <w:tcPr>
            <w:tcW w:w="3402" w:type="dxa"/>
            <w:shd w:val="clear" w:color="auto" w:fill="auto"/>
          </w:tcPr>
          <w:p w:rsidR="00CE71F8" w:rsidRPr="00B343ED" w:rsidRDefault="00CE71F8" w:rsidP="00300133">
            <w:pPr>
              <w:widowControl w:val="0"/>
              <w:jc w:val="both"/>
              <w:rPr>
                <w:szCs w:val="24"/>
              </w:rPr>
            </w:pPr>
            <w:r w:rsidRPr="00B343ED">
              <w:rPr>
                <w:szCs w:val="24"/>
              </w:rPr>
              <w:t xml:space="preserve">Teisės akto projekte nustatytas baigtinis sąrašas motyvuotų atvejų, kai administracinė </w:t>
            </w:r>
            <w:r w:rsidRPr="00B343ED">
              <w:rPr>
                <w:szCs w:val="24"/>
              </w:rPr>
              <w:lastRenderedPageBreak/>
              <w:t>procedūra netaikoma</w:t>
            </w:r>
          </w:p>
        </w:tc>
        <w:tc>
          <w:tcPr>
            <w:tcW w:w="6379" w:type="dxa"/>
            <w:shd w:val="clear" w:color="auto" w:fill="auto"/>
          </w:tcPr>
          <w:p w:rsidR="00E04DCE" w:rsidRPr="000E19E6" w:rsidRDefault="000E19E6" w:rsidP="007A61FC">
            <w:pPr>
              <w:widowControl w:val="0"/>
              <w:jc w:val="both"/>
              <w:rPr>
                <w:i/>
                <w:color w:val="000000"/>
                <w:szCs w:val="24"/>
                <w:lang w:eastAsia="en-US"/>
              </w:rPr>
            </w:pPr>
            <w:r>
              <w:rPr>
                <w:szCs w:val="24"/>
                <w:lang w:eastAsia="en-US"/>
              </w:rPr>
              <w:lastRenderedPageBreak/>
              <w:t>N</w:t>
            </w:r>
            <w:r w:rsidRPr="000E19E6">
              <w:rPr>
                <w:szCs w:val="24"/>
                <w:lang w:eastAsia="en-US"/>
              </w:rPr>
              <w:t xml:space="preserve">uostatos dėl VSD fonde įgytų pensinių teisių perkėlimo į ES institucijų pensijų sistemą netaikomos asmenims, kurie yra sukakę </w:t>
            </w:r>
            <w:r w:rsidRPr="000E19E6">
              <w:rPr>
                <w:color w:val="000000"/>
                <w:szCs w:val="24"/>
                <w:lang w:eastAsia="en-US"/>
              </w:rPr>
              <w:t xml:space="preserve">Socialinio </w:t>
            </w:r>
            <w:r w:rsidRPr="000E19E6">
              <w:rPr>
                <w:szCs w:val="24"/>
                <w:lang w:eastAsia="en-US"/>
              </w:rPr>
              <w:t xml:space="preserve">draudimo pensijų įstatymo nustatytą senatvės </w:t>
            </w:r>
            <w:r w:rsidRPr="000E19E6">
              <w:rPr>
                <w:szCs w:val="24"/>
                <w:lang w:eastAsia="en-US"/>
              </w:rPr>
              <w:lastRenderedPageBreak/>
              <w:t>pensijos amžių, jeigu jiems jau paskirtos ir mokamos socialinio draudimo senatvės, netekto darbingumo (invalidumo), ištarnauto laiko pensijos ar senatvės pensija neįgaliajam.</w:t>
            </w:r>
            <w:r>
              <w:rPr>
                <w:i/>
                <w:color w:val="000000"/>
                <w:szCs w:val="24"/>
                <w:lang w:eastAsia="en-US"/>
              </w:rPr>
              <w:t xml:space="preserve"> </w:t>
            </w:r>
            <w:r>
              <w:rPr>
                <w:szCs w:val="24"/>
              </w:rPr>
              <w:t>(Įstatymo projekto</w:t>
            </w:r>
            <w:r w:rsidR="006839B7">
              <w:rPr>
                <w:szCs w:val="24"/>
              </w:rPr>
              <w:t xml:space="preserve"> </w:t>
            </w:r>
            <w:r>
              <w:rPr>
                <w:szCs w:val="24"/>
              </w:rPr>
              <w:t>2 straipsnio 4</w:t>
            </w:r>
            <w:r w:rsidR="006839B7">
              <w:rPr>
                <w:szCs w:val="24"/>
              </w:rPr>
              <w:t xml:space="preserve"> dalis) </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400D2E" w:rsidRDefault="00CE71F8" w:rsidP="00B857C2">
            <w:pPr>
              <w:widowControl w:val="0"/>
              <w:jc w:val="center"/>
              <w:rPr>
                <w:szCs w:val="24"/>
              </w:rPr>
            </w:pPr>
            <w:r w:rsidRPr="00400D2E">
              <w:rPr>
                <w:szCs w:val="24"/>
              </w:rPr>
              <w:lastRenderedPageBreak/>
              <w:t>12.</w:t>
            </w:r>
          </w:p>
        </w:tc>
        <w:tc>
          <w:tcPr>
            <w:tcW w:w="3402" w:type="dxa"/>
            <w:shd w:val="clear" w:color="auto" w:fill="auto"/>
          </w:tcPr>
          <w:p w:rsidR="00CE71F8" w:rsidRPr="00400D2E" w:rsidRDefault="00CE71F8" w:rsidP="00300133">
            <w:pPr>
              <w:widowControl w:val="0"/>
              <w:jc w:val="both"/>
              <w:rPr>
                <w:szCs w:val="24"/>
              </w:rPr>
            </w:pPr>
            <w:r w:rsidRPr="00400D2E">
              <w:rPr>
                <w:szCs w:val="24"/>
              </w:rPr>
              <w:t>Teisės akto projektas nustato jo nuostatoms įgyvendinti numatytų administracinių procedūrų ir sprendimo priėmimo konkrečius terminus</w:t>
            </w:r>
          </w:p>
        </w:tc>
        <w:tc>
          <w:tcPr>
            <w:tcW w:w="6379" w:type="dxa"/>
            <w:shd w:val="clear" w:color="auto" w:fill="auto"/>
          </w:tcPr>
          <w:p w:rsidR="00CE71F8" w:rsidRDefault="00400D2E" w:rsidP="00134E51">
            <w:pPr>
              <w:jc w:val="both"/>
              <w:rPr>
                <w:szCs w:val="24"/>
              </w:rPr>
            </w:pPr>
            <w:r>
              <w:rPr>
                <w:szCs w:val="24"/>
              </w:rPr>
              <w:t>A</w:t>
            </w:r>
            <w:r w:rsidRPr="00400D2E">
              <w:rPr>
                <w:szCs w:val="24"/>
              </w:rPr>
              <w:t>dmini</w:t>
            </w:r>
            <w:r>
              <w:rPr>
                <w:szCs w:val="24"/>
              </w:rPr>
              <w:t>stracinių procedūrų ir sprendimų</w:t>
            </w:r>
            <w:r w:rsidRPr="00400D2E">
              <w:rPr>
                <w:szCs w:val="24"/>
              </w:rPr>
              <w:t xml:space="preserve"> priėmimo</w:t>
            </w:r>
            <w:r>
              <w:rPr>
                <w:szCs w:val="24"/>
              </w:rPr>
              <w:t xml:space="preserve"> terminai nustatyti ES institucijų darbuotojų pensinių teisių perkėlimo tvarkos apraše, Socialinio draudimo pensijų įstatyme (Įstatymo projekto 3 straipsnio 2 dalis, 5 straipsnio 1 dalis, 10 straipsnio 1 dalis).</w:t>
            </w:r>
          </w:p>
          <w:p w:rsidR="00084A84" w:rsidRPr="00B343ED" w:rsidRDefault="00084A84" w:rsidP="00134E51">
            <w:pPr>
              <w:jc w:val="both"/>
              <w:rPr>
                <w:szCs w:val="24"/>
              </w:rPr>
            </w:pPr>
            <w:r>
              <w:rPr>
                <w:szCs w:val="24"/>
              </w:rPr>
              <w:t xml:space="preserve">Socialinio draudimo pensijų </w:t>
            </w:r>
            <w:r w:rsidRPr="00084A84">
              <w:rPr>
                <w:szCs w:val="24"/>
                <w:lang w:eastAsia="en-US"/>
              </w:rPr>
              <w:t>asmeniui mokėjimas atnaujinamas Socialinio draudimo pensijų įstatymo nustatyta tvarka ir terminais, bet ne anksčiau kaip nuo kito mėnesio po lėšų gavimo VSD fonde mėnesio pirmos dienos</w:t>
            </w:r>
            <w:r>
              <w:rPr>
                <w:szCs w:val="24"/>
                <w:lang w:eastAsia="en-US"/>
              </w:rPr>
              <w:t xml:space="preserve"> (</w:t>
            </w:r>
            <w:r>
              <w:rPr>
                <w:szCs w:val="24"/>
              </w:rPr>
              <w:t>Įstatymo projekto 10 straipsnio 2 dalis).</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13.</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motyvuotas terminų sustabdymo ir pratęsimo galimybes</w:t>
            </w:r>
          </w:p>
        </w:tc>
        <w:tc>
          <w:tcPr>
            <w:tcW w:w="6379" w:type="dxa"/>
            <w:shd w:val="clear" w:color="auto" w:fill="auto"/>
          </w:tcPr>
          <w:p w:rsidR="00CE71F8" w:rsidRPr="000F3A62" w:rsidRDefault="000F3A62" w:rsidP="00134E51">
            <w:pPr>
              <w:jc w:val="both"/>
              <w:rPr>
                <w:szCs w:val="24"/>
                <w:highlight w:val="yellow"/>
              </w:rPr>
            </w:pPr>
            <w:r w:rsidRPr="00CC58F7">
              <w:rPr>
                <w:szCs w:val="24"/>
              </w:rPr>
              <w:t>Nereglamentuota.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14.</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projektas nustato administracinių procedūrų viešinimo tvarką</w:t>
            </w:r>
          </w:p>
        </w:tc>
        <w:tc>
          <w:tcPr>
            <w:tcW w:w="6379" w:type="dxa"/>
            <w:shd w:val="clear" w:color="auto" w:fill="auto"/>
          </w:tcPr>
          <w:p w:rsidR="00FC5D2F" w:rsidRPr="00367816" w:rsidRDefault="00367816" w:rsidP="00657668">
            <w:pPr>
              <w:pStyle w:val="HTMLiankstoformatuotas"/>
              <w:widowControl w:val="0"/>
              <w:jc w:val="both"/>
              <w:rPr>
                <w:rFonts w:ascii="Times New Roman" w:hAnsi="Times New Roman"/>
                <w:sz w:val="24"/>
                <w:szCs w:val="24"/>
                <w:lang w:val="lt-LT" w:eastAsia="lt-LT"/>
              </w:rPr>
            </w:pPr>
            <w:r w:rsidRPr="00367816">
              <w:rPr>
                <w:rFonts w:ascii="Times New Roman" w:hAnsi="Times New Roman"/>
                <w:sz w:val="24"/>
                <w:szCs w:val="24"/>
              </w:rPr>
              <w:t xml:space="preserve">Įstatymo projekte nenumatytas ES institucijų darbuotojų ir Europos parlamento narių, kurie įgijo pensijų socialinio draudimo stažo pagal Socialinio draudimo pensijų įstatymą ir (ar) pensinių teisių ES institucijų pensijų sistemoje lėšų apskaičiavimo ir pervedimo </w:t>
            </w:r>
            <w:r w:rsidRPr="00CC58F7">
              <w:rPr>
                <w:rFonts w:ascii="Times New Roman" w:hAnsi="Times New Roman"/>
                <w:sz w:val="24"/>
                <w:szCs w:val="24"/>
              </w:rPr>
              <w:t>viešinimas.</w:t>
            </w: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15.</w:t>
            </w:r>
          </w:p>
        </w:tc>
        <w:tc>
          <w:tcPr>
            <w:tcW w:w="3402" w:type="dxa"/>
            <w:shd w:val="clear" w:color="auto" w:fill="auto"/>
          </w:tcPr>
          <w:p w:rsidR="00CE71F8" w:rsidRPr="00B343ED" w:rsidRDefault="00CE71F8" w:rsidP="00300133">
            <w:pPr>
              <w:widowControl w:val="0"/>
              <w:jc w:val="both"/>
              <w:rPr>
                <w:szCs w:val="24"/>
              </w:rPr>
            </w:pPr>
            <w:r w:rsidRPr="00B343ED">
              <w:rPr>
                <w:szCs w:val="24"/>
              </w:rPr>
              <w:t xml:space="preserve">Teisės akto projektas nustato kontrolės (priežiūros) procedūrą </w:t>
            </w:r>
            <w:r w:rsidRPr="00B343ED">
              <w:rPr>
                <w:szCs w:val="24"/>
              </w:rPr>
              <w:lastRenderedPageBreak/>
              <w:t>ir aiškius jos atlikimo kriterijus (atvejus, dažnį, fiksavimą, kontrolės rezultatų viešinimą ir panašiai)</w:t>
            </w:r>
          </w:p>
        </w:tc>
        <w:tc>
          <w:tcPr>
            <w:tcW w:w="6379" w:type="dxa"/>
            <w:shd w:val="clear" w:color="auto" w:fill="auto"/>
          </w:tcPr>
          <w:p w:rsidR="00CE71F8" w:rsidRPr="00B343ED" w:rsidRDefault="006743CA" w:rsidP="00657668">
            <w:pPr>
              <w:pStyle w:val="HTMLiankstoformatuotas"/>
              <w:widowControl w:val="0"/>
              <w:jc w:val="both"/>
              <w:rPr>
                <w:rFonts w:ascii="Times New Roman" w:hAnsi="Times New Roman"/>
                <w:sz w:val="24"/>
                <w:szCs w:val="24"/>
                <w:lang w:val="lt-LT" w:eastAsia="lt-LT"/>
              </w:rPr>
            </w:pPr>
            <w:r w:rsidRPr="00B343ED">
              <w:rPr>
                <w:rFonts w:ascii="Times New Roman" w:hAnsi="Times New Roman"/>
                <w:sz w:val="24"/>
                <w:szCs w:val="24"/>
                <w:lang w:val="lt-LT" w:eastAsia="lt-LT"/>
              </w:rPr>
              <w:lastRenderedPageBreak/>
              <w:t>Nereglamentuota</w:t>
            </w:r>
            <w:r w:rsidR="008702E7" w:rsidRPr="00B343ED">
              <w:rPr>
                <w:rFonts w:ascii="Times New Roman" w:hAnsi="Times New Roman"/>
                <w:sz w:val="24"/>
                <w:szCs w:val="24"/>
                <w:lang w:val="lt-LT" w:eastAsia="lt-LT"/>
              </w:rPr>
              <w:t>.</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lastRenderedPageBreak/>
              <w:t>16.</w:t>
            </w:r>
          </w:p>
        </w:tc>
        <w:tc>
          <w:tcPr>
            <w:tcW w:w="3402" w:type="dxa"/>
            <w:shd w:val="clear" w:color="auto" w:fill="auto"/>
          </w:tcPr>
          <w:p w:rsidR="00CE71F8" w:rsidRPr="00B343ED" w:rsidRDefault="00CE71F8" w:rsidP="00F931B4">
            <w:pPr>
              <w:widowControl w:val="0"/>
              <w:jc w:val="both"/>
              <w:rPr>
                <w:szCs w:val="24"/>
              </w:rPr>
            </w:pPr>
            <w:r w:rsidRPr="00B343ED">
              <w:rPr>
                <w:szCs w:val="24"/>
              </w:rPr>
              <w:t>Teisės akto projekte nustatytos kontrolės (priežiūros) skaidrumo ir objektyvumo užtikrinimo priemonės</w:t>
            </w:r>
          </w:p>
        </w:tc>
        <w:tc>
          <w:tcPr>
            <w:tcW w:w="6379" w:type="dxa"/>
            <w:shd w:val="clear" w:color="auto" w:fill="auto"/>
          </w:tcPr>
          <w:p w:rsidR="00CE71F8" w:rsidRPr="00B343ED" w:rsidRDefault="006743CA" w:rsidP="00657668">
            <w:pPr>
              <w:widowControl w:val="0"/>
              <w:jc w:val="both"/>
              <w:rPr>
                <w:szCs w:val="24"/>
              </w:rPr>
            </w:pPr>
            <w:r w:rsidRPr="00B343ED">
              <w:rPr>
                <w:szCs w:val="24"/>
              </w:rPr>
              <w:t>Nereglamentuota.</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17.</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akto projekte nustatyta subjektų, su kuriais susijęs teisės akto projekto nuostatų įgyvendinimas, atsakomybės rūšis (tarnybinė, administracinė, baudžiamoji ir panašiai)</w:t>
            </w:r>
          </w:p>
        </w:tc>
        <w:tc>
          <w:tcPr>
            <w:tcW w:w="6379" w:type="dxa"/>
            <w:shd w:val="clear" w:color="auto" w:fill="auto"/>
          </w:tcPr>
          <w:p w:rsidR="009D3B78" w:rsidRPr="003C5B73" w:rsidRDefault="00CC58F7" w:rsidP="00A35D8F">
            <w:pPr>
              <w:spacing w:before="100" w:beforeAutospacing="1" w:after="100" w:afterAutospacing="1"/>
              <w:jc w:val="both"/>
              <w:rPr>
                <w:szCs w:val="24"/>
                <w:highlight w:val="yellow"/>
              </w:rPr>
            </w:pPr>
            <w:r w:rsidRPr="00CC58F7">
              <w:rPr>
                <w:szCs w:val="24"/>
              </w:rPr>
              <w:t>Nereglamentuota.</w:t>
            </w:r>
          </w:p>
        </w:tc>
        <w:tc>
          <w:tcPr>
            <w:tcW w:w="2268" w:type="dxa"/>
            <w:shd w:val="clear" w:color="auto" w:fill="auto"/>
          </w:tcPr>
          <w:p w:rsidR="00CE71F8" w:rsidRPr="00B343ED" w:rsidRDefault="00CE71F8" w:rsidP="00300133">
            <w:pPr>
              <w:widowControl w:val="0"/>
              <w:rPr>
                <w:b/>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18.</w:t>
            </w:r>
          </w:p>
        </w:tc>
        <w:tc>
          <w:tcPr>
            <w:tcW w:w="3402" w:type="dxa"/>
            <w:shd w:val="clear" w:color="auto" w:fill="auto"/>
          </w:tcPr>
          <w:p w:rsidR="00CE71F8" w:rsidRPr="00B343ED" w:rsidRDefault="00CE71F8" w:rsidP="00300133">
            <w:pPr>
              <w:widowControl w:val="0"/>
              <w:jc w:val="both"/>
              <w:rPr>
                <w:szCs w:val="24"/>
              </w:rPr>
            </w:pPr>
            <w:r w:rsidRPr="00B343ED">
              <w:rPr>
                <w:szCs w:val="24"/>
              </w:rPr>
              <w:t>Teisės aktų projekte numatytas baigtinis sąrašas kriterijų, pagal kuriuos skiriama nuobauda (sankcija) už teisės akto projekte nustatytų nurodymų nevykdymą, ir nustatyta aiški jos skyrimo procedūra</w:t>
            </w:r>
          </w:p>
        </w:tc>
        <w:tc>
          <w:tcPr>
            <w:tcW w:w="6379" w:type="dxa"/>
            <w:shd w:val="clear" w:color="auto" w:fill="auto"/>
          </w:tcPr>
          <w:p w:rsidR="000E0952" w:rsidRPr="00B343ED" w:rsidRDefault="000E0952" w:rsidP="00657668">
            <w:pPr>
              <w:widowControl w:val="0"/>
              <w:spacing w:before="100" w:beforeAutospacing="1" w:after="100" w:afterAutospacing="1"/>
              <w:jc w:val="both"/>
              <w:rPr>
                <w:szCs w:val="24"/>
              </w:rPr>
            </w:pPr>
            <w:r w:rsidRPr="00B343ED">
              <w:rPr>
                <w:szCs w:val="24"/>
              </w:rPr>
              <w:t>Nereglamentuota</w:t>
            </w:r>
            <w:r w:rsidR="00552E14" w:rsidRPr="00B343ED">
              <w:rPr>
                <w:szCs w:val="24"/>
              </w:rPr>
              <w:t>.</w:t>
            </w:r>
          </w:p>
          <w:p w:rsidR="00CE71F8" w:rsidRPr="00B343ED" w:rsidRDefault="00CE71F8" w:rsidP="00657668">
            <w:pPr>
              <w:widowControl w:val="0"/>
              <w:jc w:val="both"/>
              <w:rPr>
                <w:szCs w:val="24"/>
              </w:rPr>
            </w:pP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r w:rsidR="00664044" w:rsidRPr="00B343ED" w:rsidTr="00A14BF4">
        <w:trPr>
          <w:trHeight w:val="23"/>
        </w:trPr>
        <w:tc>
          <w:tcPr>
            <w:tcW w:w="709" w:type="dxa"/>
            <w:shd w:val="clear" w:color="auto" w:fill="auto"/>
          </w:tcPr>
          <w:p w:rsidR="00CE71F8" w:rsidRPr="00B343ED" w:rsidRDefault="00CE71F8" w:rsidP="00B857C2">
            <w:pPr>
              <w:widowControl w:val="0"/>
              <w:jc w:val="center"/>
              <w:rPr>
                <w:szCs w:val="24"/>
              </w:rPr>
            </w:pPr>
            <w:r w:rsidRPr="00B343ED">
              <w:rPr>
                <w:szCs w:val="24"/>
              </w:rPr>
              <w:t>19.</w:t>
            </w:r>
          </w:p>
        </w:tc>
        <w:tc>
          <w:tcPr>
            <w:tcW w:w="3402" w:type="dxa"/>
            <w:shd w:val="clear" w:color="auto" w:fill="auto"/>
          </w:tcPr>
          <w:p w:rsidR="00CE71F8" w:rsidRPr="00B343ED" w:rsidRDefault="00CE71F8" w:rsidP="00300133">
            <w:pPr>
              <w:widowControl w:val="0"/>
              <w:jc w:val="both"/>
              <w:rPr>
                <w:szCs w:val="24"/>
              </w:rPr>
            </w:pPr>
            <w:r w:rsidRPr="00B343ED">
              <w:rPr>
                <w:szCs w:val="24"/>
              </w:rPr>
              <w:t>Kiti svarbūs kriterijai</w:t>
            </w:r>
          </w:p>
        </w:tc>
        <w:tc>
          <w:tcPr>
            <w:tcW w:w="6379" w:type="dxa"/>
            <w:shd w:val="clear" w:color="auto" w:fill="auto"/>
          </w:tcPr>
          <w:p w:rsidR="00CE71F8" w:rsidRPr="00B343ED" w:rsidRDefault="00176680" w:rsidP="00300133">
            <w:pPr>
              <w:widowControl w:val="0"/>
              <w:jc w:val="both"/>
              <w:rPr>
                <w:szCs w:val="24"/>
              </w:rPr>
            </w:pPr>
            <w:r>
              <w:rPr>
                <w:szCs w:val="24"/>
              </w:rPr>
              <w:t>____________</w:t>
            </w:r>
          </w:p>
        </w:tc>
        <w:tc>
          <w:tcPr>
            <w:tcW w:w="2268" w:type="dxa"/>
            <w:shd w:val="clear" w:color="auto" w:fill="auto"/>
          </w:tcPr>
          <w:p w:rsidR="00CE71F8" w:rsidRPr="00B343ED" w:rsidRDefault="00CE71F8" w:rsidP="00300133">
            <w:pPr>
              <w:widowControl w:val="0"/>
              <w:rPr>
                <w:szCs w:val="24"/>
              </w:rPr>
            </w:pPr>
          </w:p>
        </w:tc>
        <w:tc>
          <w:tcPr>
            <w:tcW w:w="1852" w:type="dxa"/>
            <w:shd w:val="clear" w:color="auto" w:fill="auto"/>
          </w:tcPr>
          <w:p w:rsidR="00CE71F8" w:rsidRPr="00B343ED" w:rsidRDefault="00CE71F8" w:rsidP="00300133">
            <w:pPr>
              <w:widowControl w:val="0"/>
              <w:rPr>
                <w:szCs w:val="24"/>
              </w:rPr>
            </w:pPr>
            <w:r w:rsidRPr="00B343ED">
              <w:rPr>
                <w:szCs w:val="24"/>
              </w:rPr>
              <w:t>□ tenkina</w:t>
            </w:r>
          </w:p>
          <w:p w:rsidR="00CE71F8" w:rsidRPr="00B343ED" w:rsidRDefault="00CE71F8" w:rsidP="00300133">
            <w:pPr>
              <w:widowControl w:val="0"/>
              <w:rPr>
                <w:szCs w:val="24"/>
              </w:rPr>
            </w:pPr>
            <w:r w:rsidRPr="00B343ED">
              <w:rPr>
                <w:szCs w:val="24"/>
              </w:rPr>
              <w:t>□ netenkina</w:t>
            </w:r>
          </w:p>
        </w:tc>
      </w:tr>
    </w:tbl>
    <w:p w:rsidR="00A26344" w:rsidRPr="00B343ED" w:rsidRDefault="00A26344" w:rsidP="00B857C2">
      <w:pPr>
        <w:pStyle w:val="Antrats"/>
        <w:widowControl w:val="0"/>
        <w:tabs>
          <w:tab w:val="clear" w:pos="4153"/>
          <w:tab w:val="clear" w:pos="8306"/>
          <w:tab w:val="left" w:pos="6237"/>
        </w:tabs>
        <w:rPr>
          <w:color w:val="000000"/>
          <w:szCs w:val="24"/>
        </w:rPr>
      </w:pPr>
    </w:p>
    <w:tbl>
      <w:tblPr>
        <w:tblW w:w="0" w:type="auto"/>
        <w:tblInd w:w="108" w:type="dxa"/>
        <w:tblLook w:val="04A0" w:firstRow="1" w:lastRow="0" w:firstColumn="1" w:lastColumn="0" w:noHBand="0" w:noVBand="1"/>
      </w:tblPr>
      <w:tblGrid>
        <w:gridCol w:w="2457"/>
        <w:gridCol w:w="4773"/>
        <w:gridCol w:w="2434"/>
        <w:gridCol w:w="4946"/>
      </w:tblGrid>
      <w:tr w:rsidR="00664044" w:rsidRPr="00B343ED" w:rsidTr="00A62295">
        <w:trPr>
          <w:trHeight w:val="1860"/>
        </w:trPr>
        <w:tc>
          <w:tcPr>
            <w:tcW w:w="2457" w:type="dxa"/>
            <w:shd w:val="clear" w:color="auto" w:fill="auto"/>
          </w:tcPr>
          <w:p w:rsidR="00AA480E" w:rsidRPr="00B343ED" w:rsidRDefault="00AA480E" w:rsidP="00B857C2">
            <w:pPr>
              <w:widowControl w:val="0"/>
              <w:rPr>
                <w:szCs w:val="24"/>
              </w:rPr>
            </w:pPr>
          </w:p>
          <w:p w:rsidR="00AA480E" w:rsidRPr="00B343ED" w:rsidRDefault="00AA480E" w:rsidP="00B857C2">
            <w:pPr>
              <w:widowControl w:val="0"/>
              <w:rPr>
                <w:szCs w:val="24"/>
              </w:rPr>
            </w:pPr>
            <w:r w:rsidRPr="00B343ED">
              <w:rPr>
                <w:szCs w:val="24"/>
              </w:rPr>
              <w:t>Te</w:t>
            </w:r>
            <w:r w:rsidR="00B57826" w:rsidRPr="00B343ED">
              <w:rPr>
                <w:szCs w:val="24"/>
              </w:rPr>
              <w:t xml:space="preserve">isės akto projekto tiesioginis </w:t>
            </w:r>
            <w:r w:rsidRPr="00B343ED">
              <w:rPr>
                <w:szCs w:val="24"/>
              </w:rPr>
              <w:t>rengėjas:</w:t>
            </w:r>
          </w:p>
        </w:tc>
        <w:tc>
          <w:tcPr>
            <w:tcW w:w="4773" w:type="dxa"/>
            <w:tcBorders>
              <w:bottom w:val="single" w:sz="4" w:space="0" w:color="auto"/>
            </w:tcBorders>
            <w:shd w:val="clear" w:color="auto" w:fill="auto"/>
          </w:tcPr>
          <w:p w:rsidR="00A62295" w:rsidRDefault="00A62295" w:rsidP="00845D6D">
            <w:pPr>
              <w:widowControl w:val="0"/>
              <w:rPr>
                <w:szCs w:val="24"/>
              </w:rPr>
            </w:pPr>
          </w:p>
          <w:p w:rsidR="00AA480E" w:rsidRPr="00B343ED" w:rsidRDefault="00030D5C" w:rsidP="00845D6D">
            <w:pPr>
              <w:widowControl w:val="0"/>
              <w:rPr>
                <w:bCs/>
                <w:szCs w:val="24"/>
              </w:rPr>
            </w:pPr>
            <w:r w:rsidRPr="00B343ED">
              <w:rPr>
                <w:szCs w:val="24"/>
              </w:rPr>
              <w:t>Socialinės apsaugos ir darbo ministerijos</w:t>
            </w:r>
          </w:p>
          <w:p w:rsidR="00845D6D" w:rsidRPr="00B343ED" w:rsidRDefault="00DA0BE9" w:rsidP="00845D6D">
            <w:pPr>
              <w:widowControl w:val="0"/>
              <w:rPr>
                <w:rStyle w:val="typewriter0"/>
                <w:szCs w:val="24"/>
              </w:rPr>
            </w:pPr>
            <w:r>
              <w:rPr>
                <w:bCs/>
                <w:szCs w:val="24"/>
              </w:rPr>
              <w:t xml:space="preserve">Pensijų </w:t>
            </w:r>
            <w:r w:rsidRPr="001A33A9">
              <w:rPr>
                <w:bCs/>
                <w:szCs w:val="24"/>
              </w:rPr>
              <w:t xml:space="preserve">skyriaus </w:t>
            </w:r>
            <w:r>
              <w:rPr>
                <w:szCs w:val="24"/>
              </w:rPr>
              <w:t>vedėja Inga Buškutė</w:t>
            </w:r>
          </w:p>
          <w:p w:rsidR="00845D6D" w:rsidRPr="00B343ED" w:rsidRDefault="00845D6D" w:rsidP="00845D6D">
            <w:pPr>
              <w:widowControl w:val="0"/>
              <w:rPr>
                <w:szCs w:val="24"/>
              </w:rPr>
            </w:pPr>
          </w:p>
        </w:tc>
        <w:tc>
          <w:tcPr>
            <w:tcW w:w="2434" w:type="dxa"/>
            <w:shd w:val="clear" w:color="auto" w:fill="auto"/>
          </w:tcPr>
          <w:p w:rsidR="00AA480E" w:rsidRPr="00B343ED" w:rsidRDefault="00AA480E" w:rsidP="00B857C2">
            <w:pPr>
              <w:widowControl w:val="0"/>
              <w:rPr>
                <w:szCs w:val="24"/>
              </w:rPr>
            </w:pPr>
          </w:p>
          <w:p w:rsidR="00AA480E" w:rsidRPr="00B343ED" w:rsidRDefault="00AA480E" w:rsidP="00B857C2">
            <w:pPr>
              <w:widowControl w:val="0"/>
              <w:rPr>
                <w:szCs w:val="24"/>
              </w:rPr>
            </w:pPr>
            <w:r w:rsidRPr="00B343ED">
              <w:rPr>
                <w:szCs w:val="24"/>
              </w:rPr>
              <w:t>Teisės akto projekto vertintojas:</w:t>
            </w:r>
          </w:p>
        </w:tc>
        <w:tc>
          <w:tcPr>
            <w:tcW w:w="4946" w:type="dxa"/>
            <w:tcBorders>
              <w:bottom w:val="single" w:sz="4" w:space="0" w:color="auto"/>
            </w:tcBorders>
            <w:shd w:val="clear" w:color="auto" w:fill="auto"/>
          </w:tcPr>
          <w:p w:rsidR="00C91F8F" w:rsidRPr="00B343ED" w:rsidRDefault="00C91F8F" w:rsidP="000D7CF7">
            <w:pPr>
              <w:widowControl w:val="0"/>
              <w:rPr>
                <w:szCs w:val="24"/>
              </w:rPr>
            </w:pPr>
          </w:p>
          <w:p w:rsidR="000D7CF7" w:rsidRPr="00B343ED" w:rsidRDefault="000D7CF7" w:rsidP="000D7CF7">
            <w:pPr>
              <w:widowControl w:val="0"/>
              <w:rPr>
                <w:bCs/>
                <w:szCs w:val="24"/>
              </w:rPr>
            </w:pPr>
            <w:r w:rsidRPr="00B343ED">
              <w:rPr>
                <w:szCs w:val="24"/>
              </w:rPr>
              <w:t>Socialinės apsaugos ir darbo ministerijos</w:t>
            </w:r>
            <w:r w:rsidRPr="00B343ED">
              <w:rPr>
                <w:bCs/>
                <w:szCs w:val="24"/>
              </w:rPr>
              <w:t xml:space="preserve"> </w:t>
            </w:r>
          </w:p>
          <w:p w:rsidR="000D7CF7" w:rsidRPr="00B343ED" w:rsidRDefault="00C91F8F" w:rsidP="000D7CF7">
            <w:pPr>
              <w:widowControl w:val="0"/>
              <w:rPr>
                <w:bCs/>
                <w:szCs w:val="24"/>
              </w:rPr>
            </w:pPr>
            <w:r w:rsidRPr="00B343ED">
              <w:rPr>
                <w:bCs/>
                <w:szCs w:val="24"/>
              </w:rPr>
              <w:t>Teisės</w:t>
            </w:r>
            <w:r w:rsidR="000D7CF7" w:rsidRPr="00B343ED">
              <w:rPr>
                <w:szCs w:val="24"/>
              </w:rPr>
              <w:t xml:space="preserve"> </w:t>
            </w:r>
            <w:r w:rsidR="000D7CF7" w:rsidRPr="00B343ED">
              <w:rPr>
                <w:bCs/>
                <w:szCs w:val="24"/>
              </w:rPr>
              <w:t>skyriaus</w:t>
            </w:r>
          </w:p>
          <w:p w:rsidR="00AA480E" w:rsidRPr="00B343ED" w:rsidRDefault="00A35D8F" w:rsidP="00F759EA">
            <w:pPr>
              <w:widowControl w:val="0"/>
              <w:rPr>
                <w:szCs w:val="24"/>
              </w:rPr>
            </w:pPr>
            <w:r>
              <w:rPr>
                <w:bCs/>
                <w:szCs w:val="24"/>
              </w:rPr>
              <w:t>patarėja</w:t>
            </w:r>
            <w:r w:rsidR="000D7CF7" w:rsidRPr="00B343ED">
              <w:rPr>
                <w:bCs/>
                <w:szCs w:val="24"/>
              </w:rPr>
              <w:t xml:space="preserve"> </w:t>
            </w:r>
            <w:r w:rsidR="00F759EA">
              <w:rPr>
                <w:bCs/>
                <w:szCs w:val="24"/>
              </w:rPr>
              <w:t>Raminta Zakarevičiūtė-Šiugždinienė</w:t>
            </w:r>
          </w:p>
        </w:tc>
      </w:tr>
    </w:tbl>
    <w:p w:rsidR="004D2FF3" w:rsidRPr="00B343ED" w:rsidRDefault="004D2FF3" w:rsidP="004A1EF3">
      <w:pPr>
        <w:pStyle w:val="Antrats"/>
        <w:widowControl w:val="0"/>
        <w:tabs>
          <w:tab w:val="clear" w:pos="4153"/>
          <w:tab w:val="clear" w:pos="8306"/>
          <w:tab w:val="left" w:pos="6237"/>
        </w:tabs>
        <w:rPr>
          <w:color w:val="000000"/>
          <w:szCs w:val="24"/>
        </w:rPr>
      </w:pPr>
    </w:p>
    <w:sectPr w:rsidR="004D2FF3" w:rsidRPr="00B343ED" w:rsidSect="00084BBC">
      <w:headerReference w:type="even" r:id="rId9"/>
      <w:headerReference w:type="default" r:id="rId10"/>
      <w:pgSz w:w="16838" w:h="11906" w:orient="landscape" w:code="9"/>
      <w:pgMar w:top="1134" w:right="1134"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FB4" w:rsidRDefault="00B75FB4">
      <w:r>
        <w:separator/>
      </w:r>
    </w:p>
  </w:endnote>
  <w:endnote w:type="continuationSeparator" w:id="0">
    <w:p w:rsidR="00B75FB4" w:rsidRDefault="00B7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FB4" w:rsidRDefault="00B75FB4">
      <w:r>
        <w:separator/>
      </w:r>
    </w:p>
  </w:footnote>
  <w:footnote w:type="continuationSeparator" w:id="0">
    <w:p w:rsidR="00B75FB4" w:rsidRDefault="00B7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DE" w:rsidRDefault="00BB40D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40DE" w:rsidRDefault="00BB40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DE" w:rsidRDefault="00BB40D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C7B7B">
      <w:rPr>
        <w:rStyle w:val="Puslapionumeris"/>
        <w:noProof/>
      </w:rPr>
      <w:t>2</w:t>
    </w:r>
    <w:r>
      <w:rPr>
        <w:rStyle w:val="Puslapionumeris"/>
      </w:rPr>
      <w:fldChar w:fldCharType="end"/>
    </w:r>
  </w:p>
  <w:p w:rsidR="00BB40DE" w:rsidRDefault="00BB40DE">
    <w:pPr>
      <w:pStyle w:val="Antrats"/>
    </w:pPr>
  </w:p>
  <w:p w:rsidR="00BB40DE" w:rsidRDefault="00BB40DE" w:rsidP="004A0AD8">
    <w:pPr>
      <w:pStyle w:val="Antrats"/>
      <w:jc w:val="center"/>
    </w:pPr>
  </w:p>
  <w:p w:rsidR="00BB40DE" w:rsidRDefault="00BB40DE"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0DB57B3"/>
    <w:multiLevelType w:val="hybridMultilevel"/>
    <w:tmpl w:val="49CED04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8">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1E11F9"/>
    <w:multiLevelType w:val="hybridMultilevel"/>
    <w:tmpl w:val="4E662B3E"/>
    <w:lvl w:ilvl="0" w:tplc="A7CE3CB6">
      <w:start w:val="1"/>
      <w:numFmt w:val="bullet"/>
      <w:lvlText w:val=""/>
      <w:lvlJc w:val="left"/>
      <w:pPr>
        <w:ind w:left="7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7"/>
  </w:num>
  <w:num w:numId="3">
    <w:abstractNumId w:val="5"/>
  </w:num>
  <w:num w:numId="4">
    <w:abstractNumId w:val="12"/>
  </w:num>
  <w:num w:numId="5">
    <w:abstractNumId w:val="1"/>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0"/>
  </w:num>
  <w:num w:numId="11">
    <w:abstractNumId w:val="11"/>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619"/>
    <w:rsid w:val="0000578D"/>
    <w:rsid w:val="00011ABC"/>
    <w:rsid w:val="00012BDA"/>
    <w:rsid w:val="00015401"/>
    <w:rsid w:val="00021155"/>
    <w:rsid w:val="000213BA"/>
    <w:rsid w:val="0002398C"/>
    <w:rsid w:val="00023F53"/>
    <w:rsid w:val="00030D5C"/>
    <w:rsid w:val="00040A17"/>
    <w:rsid w:val="00040D80"/>
    <w:rsid w:val="0004100C"/>
    <w:rsid w:val="0004392A"/>
    <w:rsid w:val="00050062"/>
    <w:rsid w:val="0005781B"/>
    <w:rsid w:val="00061715"/>
    <w:rsid w:val="000624D3"/>
    <w:rsid w:val="0006457B"/>
    <w:rsid w:val="00066C8A"/>
    <w:rsid w:val="00071F90"/>
    <w:rsid w:val="000723C7"/>
    <w:rsid w:val="00077563"/>
    <w:rsid w:val="000826E8"/>
    <w:rsid w:val="0008470F"/>
    <w:rsid w:val="00084A84"/>
    <w:rsid w:val="00084BBC"/>
    <w:rsid w:val="000873FF"/>
    <w:rsid w:val="00090CF7"/>
    <w:rsid w:val="00097EC7"/>
    <w:rsid w:val="000A5BEF"/>
    <w:rsid w:val="000A6572"/>
    <w:rsid w:val="000B0E98"/>
    <w:rsid w:val="000B1D23"/>
    <w:rsid w:val="000B2F8D"/>
    <w:rsid w:val="000B4B6C"/>
    <w:rsid w:val="000B63BA"/>
    <w:rsid w:val="000B6A65"/>
    <w:rsid w:val="000C0DDE"/>
    <w:rsid w:val="000C564A"/>
    <w:rsid w:val="000D0DC0"/>
    <w:rsid w:val="000D2185"/>
    <w:rsid w:val="000D47C2"/>
    <w:rsid w:val="000D7983"/>
    <w:rsid w:val="000D7CF7"/>
    <w:rsid w:val="000E0952"/>
    <w:rsid w:val="000E14BA"/>
    <w:rsid w:val="000E19E6"/>
    <w:rsid w:val="000E1B35"/>
    <w:rsid w:val="000E1CAC"/>
    <w:rsid w:val="000E479B"/>
    <w:rsid w:val="000E5567"/>
    <w:rsid w:val="000E5AC9"/>
    <w:rsid w:val="000E6350"/>
    <w:rsid w:val="000F12E8"/>
    <w:rsid w:val="000F3A62"/>
    <w:rsid w:val="000F4514"/>
    <w:rsid w:val="000F4DAE"/>
    <w:rsid w:val="000F52F1"/>
    <w:rsid w:val="000F6B00"/>
    <w:rsid w:val="00100322"/>
    <w:rsid w:val="001063F7"/>
    <w:rsid w:val="001079FB"/>
    <w:rsid w:val="001130BB"/>
    <w:rsid w:val="0011343E"/>
    <w:rsid w:val="00126EE6"/>
    <w:rsid w:val="001272CA"/>
    <w:rsid w:val="00130979"/>
    <w:rsid w:val="00134E51"/>
    <w:rsid w:val="0013687E"/>
    <w:rsid w:val="00136AFB"/>
    <w:rsid w:val="00136E81"/>
    <w:rsid w:val="0014044B"/>
    <w:rsid w:val="00143451"/>
    <w:rsid w:val="00144257"/>
    <w:rsid w:val="00144BD5"/>
    <w:rsid w:val="00151EA6"/>
    <w:rsid w:val="0015253C"/>
    <w:rsid w:val="00152C7F"/>
    <w:rsid w:val="00153234"/>
    <w:rsid w:val="0015374A"/>
    <w:rsid w:val="0015638C"/>
    <w:rsid w:val="001603D8"/>
    <w:rsid w:val="00162228"/>
    <w:rsid w:val="00163893"/>
    <w:rsid w:val="0017004C"/>
    <w:rsid w:val="00170355"/>
    <w:rsid w:val="00176680"/>
    <w:rsid w:val="00183972"/>
    <w:rsid w:val="00185A31"/>
    <w:rsid w:val="00194342"/>
    <w:rsid w:val="001946BD"/>
    <w:rsid w:val="001970FB"/>
    <w:rsid w:val="001A0A85"/>
    <w:rsid w:val="001A33A9"/>
    <w:rsid w:val="001A3D33"/>
    <w:rsid w:val="001A408E"/>
    <w:rsid w:val="001A64C6"/>
    <w:rsid w:val="001A72C3"/>
    <w:rsid w:val="001B015F"/>
    <w:rsid w:val="001B37DE"/>
    <w:rsid w:val="001B44FA"/>
    <w:rsid w:val="001B5511"/>
    <w:rsid w:val="001B7E03"/>
    <w:rsid w:val="001C15FF"/>
    <w:rsid w:val="001C279F"/>
    <w:rsid w:val="001C7639"/>
    <w:rsid w:val="001C79E5"/>
    <w:rsid w:val="001D0ECF"/>
    <w:rsid w:val="001D257A"/>
    <w:rsid w:val="001D77D7"/>
    <w:rsid w:val="001E064C"/>
    <w:rsid w:val="001E73A2"/>
    <w:rsid w:val="001F03BA"/>
    <w:rsid w:val="001F3030"/>
    <w:rsid w:val="001F4A01"/>
    <w:rsid w:val="00201AC2"/>
    <w:rsid w:val="00207C40"/>
    <w:rsid w:val="00217859"/>
    <w:rsid w:val="002241D5"/>
    <w:rsid w:val="00226350"/>
    <w:rsid w:val="0022666C"/>
    <w:rsid w:val="002325E5"/>
    <w:rsid w:val="00233FFE"/>
    <w:rsid w:val="00234578"/>
    <w:rsid w:val="002351DA"/>
    <w:rsid w:val="002368EF"/>
    <w:rsid w:val="00243E54"/>
    <w:rsid w:val="00244099"/>
    <w:rsid w:val="00245C90"/>
    <w:rsid w:val="00250063"/>
    <w:rsid w:val="002504B1"/>
    <w:rsid w:val="0026001E"/>
    <w:rsid w:val="002672B6"/>
    <w:rsid w:val="00267825"/>
    <w:rsid w:val="002713F6"/>
    <w:rsid w:val="002729DE"/>
    <w:rsid w:val="002734D8"/>
    <w:rsid w:val="0027356B"/>
    <w:rsid w:val="002836C5"/>
    <w:rsid w:val="002840E5"/>
    <w:rsid w:val="00287248"/>
    <w:rsid w:val="00294227"/>
    <w:rsid w:val="0029473A"/>
    <w:rsid w:val="0029509D"/>
    <w:rsid w:val="00297E04"/>
    <w:rsid w:val="002A1B35"/>
    <w:rsid w:val="002B3947"/>
    <w:rsid w:val="002B3A50"/>
    <w:rsid w:val="002C1849"/>
    <w:rsid w:val="002C2FE0"/>
    <w:rsid w:val="002C562D"/>
    <w:rsid w:val="002C5643"/>
    <w:rsid w:val="002C69E1"/>
    <w:rsid w:val="002C7B7B"/>
    <w:rsid w:val="002D0CD9"/>
    <w:rsid w:val="002D4A78"/>
    <w:rsid w:val="002D4B01"/>
    <w:rsid w:val="002D7C0A"/>
    <w:rsid w:val="002E061B"/>
    <w:rsid w:val="002E3918"/>
    <w:rsid w:val="002E4C7E"/>
    <w:rsid w:val="002E695E"/>
    <w:rsid w:val="00300133"/>
    <w:rsid w:val="0030023B"/>
    <w:rsid w:val="0030145C"/>
    <w:rsid w:val="0031310A"/>
    <w:rsid w:val="003137A5"/>
    <w:rsid w:val="00315D7B"/>
    <w:rsid w:val="00317A35"/>
    <w:rsid w:val="00321C73"/>
    <w:rsid w:val="003224B3"/>
    <w:rsid w:val="00325364"/>
    <w:rsid w:val="00326039"/>
    <w:rsid w:val="00331F88"/>
    <w:rsid w:val="00337527"/>
    <w:rsid w:val="00337AF3"/>
    <w:rsid w:val="00337FE5"/>
    <w:rsid w:val="00341916"/>
    <w:rsid w:val="00351722"/>
    <w:rsid w:val="003548DA"/>
    <w:rsid w:val="003673CF"/>
    <w:rsid w:val="00367816"/>
    <w:rsid w:val="00375384"/>
    <w:rsid w:val="003903C0"/>
    <w:rsid w:val="00396211"/>
    <w:rsid w:val="003A2B7A"/>
    <w:rsid w:val="003A32AD"/>
    <w:rsid w:val="003A6DCA"/>
    <w:rsid w:val="003A6E21"/>
    <w:rsid w:val="003B09B2"/>
    <w:rsid w:val="003B1B9D"/>
    <w:rsid w:val="003C4F25"/>
    <w:rsid w:val="003C5B73"/>
    <w:rsid w:val="003C7C06"/>
    <w:rsid w:val="003D2AAA"/>
    <w:rsid w:val="003D6349"/>
    <w:rsid w:val="003D6996"/>
    <w:rsid w:val="003E08BB"/>
    <w:rsid w:val="003E24DC"/>
    <w:rsid w:val="003E3A6F"/>
    <w:rsid w:val="003E7F7B"/>
    <w:rsid w:val="003F0025"/>
    <w:rsid w:val="003F15EE"/>
    <w:rsid w:val="003F22B2"/>
    <w:rsid w:val="00400D2E"/>
    <w:rsid w:val="004024B7"/>
    <w:rsid w:val="00404A91"/>
    <w:rsid w:val="0040785D"/>
    <w:rsid w:val="00411A4D"/>
    <w:rsid w:val="00412549"/>
    <w:rsid w:val="00416CAB"/>
    <w:rsid w:val="00430175"/>
    <w:rsid w:val="00431DF9"/>
    <w:rsid w:val="00431F67"/>
    <w:rsid w:val="00435873"/>
    <w:rsid w:val="00440821"/>
    <w:rsid w:val="00440DBB"/>
    <w:rsid w:val="00451185"/>
    <w:rsid w:val="004530CF"/>
    <w:rsid w:val="004540E8"/>
    <w:rsid w:val="00455B9B"/>
    <w:rsid w:val="00456B69"/>
    <w:rsid w:val="004600AA"/>
    <w:rsid w:val="0046127E"/>
    <w:rsid w:val="00461459"/>
    <w:rsid w:val="00465D2F"/>
    <w:rsid w:val="004710A0"/>
    <w:rsid w:val="00481D88"/>
    <w:rsid w:val="0048238D"/>
    <w:rsid w:val="0048524F"/>
    <w:rsid w:val="00486062"/>
    <w:rsid w:val="00486830"/>
    <w:rsid w:val="00490F5D"/>
    <w:rsid w:val="00495855"/>
    <w:rsid w:val="004967C2"/>
    <w:rsid w:val="00497F39"/>
    <w:rsid w:val="004A0AD8"/>
    <w:rsid w:val="004A1EF3"/>
    <w:rsid w:val="004A2F39"/>
    <w:rsid w:val="004A3796"/>
    <w:rsid w:val="004A3B94"/>
    <w:rsid w:val="004A438D"/>
    <w:rsid w:val="004A6A6E"/>
    <w:rsid w:val="004B008E"/>
    <w:rsid w:val="004B034A"/>
    <w:rsid w:val="004B35AE"/>
    <w:rsid w:val="004B533D"/>
    <w:rsid w:val="004B729F"/>
    <w:rsid w:val="004B76BF"/>
    <w:rsid w:val="004C66E7"/>
    <w:rsid w:val="004D2FF3"/>
    <w:rsid w:val="004D58F0"/>
    <w:rsid w:val="004E005E"/>
    <w:rsid w:val="004E5A3E"/>
    <w:rsid w:val="004F018B"/>
    <w:rsid w:val="004F0BC4"/>
    <w:rsid w:val="004F3660"/>
    <w:rsid w:val="004F4562"/>
    <w:rsid w:val="004F779C"/>
    <w:rsid w:val="005017B9"/>
    <w:rsid w:val="00503306"/>
    <w:rsid w:val="005058E9"/>
    <w:rsid w:val="0051002D"/>
    <w:rsid w:val="00511EF3"/>
    <w:rsid w:val="00514C76"/>
    <w:rsid w:val="00526EE2"/>
    <w:rsid w:val="00530414"/>
    <w:rsid w:val="00535DB9"/>
    <w:rsid w:val="005428FA"/>
    <w:rsid w:val="00543984"/>
    <w:rsid w:val="0055005E"/>
    <w:rsid w:val="00551088"/>
    <w:rsid w:val="00552E14"/>
    <w:rsid w:val="00553870"/>
    <w:rsid w:val="00553FB0"/>
    <w:rsid w:val="0055592B"/>
    <w:rsid w:val="00556C37"/>
    <w:rsid w:val="005610CA"/>
    <w:rsid w:val="0056579B"/>
    <w:rsid w:val="005709CF"/>
    <w:rsid w:val="00573332"/>
    <w:rsid w:val="0057362D"/>
    <w:rsid w:val="00574F8C"/>
    <w:rsid w:val="00580279"/>
    <w:rsid w:val="00581771"/>
    <w:rsid w:val="005837D8"/>
    <w:rsid w:val="0059143D"/>
    <w:rsid w:val="00592506"/>
    <w:rsid w:val="005A2B27"/>
    <w:rsid w:val="005A5535"/>
    <w:rsid w:val="005B0B0D"/>
    <w:rsid w:val="005B203B"/>
    <w:rsid w:val="005B3583"/>
    <w:rsid w:val="005B387A"/>
    <w:rsid w:val="005B4526"/>
    <w:rsid w:val="005B45E9"/>
    <w:rsid w:val="005B5D82"/>
    <w:rsid w:val="005B74F3"/>
    <w:rsid w:val="005C1717"/>
    <w:rsid w:val="005C22FB"/>
    <w:rsid w:val="005C59E3"/>
    <w:rsid w:val="005D2FA8"/>
    <w:rsid w:val="005D34BD"/>
    <w:rsid w:val="005E23ED"/>
    <w:rsid w:val="005E3E9F"/>
    <w:rsid w:val="005E7198"/>
    <w:rsid w:val="005E7DD4"/>
    <w:rsid w:val="005F039D"/>
    <w:rsid w:val="005F41D9"/>
    <w:rsid w:val="00600A4B"/>
    <w:rsid w:val="00601EBA"/>
    <w:rsid w:val="00614A81"/>
    <w:rsid w:val="006157D4"/>
    <w:rsid w:val="00616BDE"/>
    <w:rsid w:val="0062183E"/>
    <w:rsid w:val="00625D07"/>
    <w:rsid w:val="006261D0"/>
    <w:rsid w:val="00626574"/>
    <w:rsid w:val="00626F9E"/>
    <w:rsid w:val="006315A6"/>
    <w:rsid w:val="006338DA"/>
    <w:rsid w:val="00640D1C"/>
    <w:rsid w:val="00651514"/>
    <w:rsid w:val="006547B6"/>
    <w:rsid w:val="00657668"/>
    <w:rsid w:val="006579C1"/>
    <w:rsid w:val="00664044"/>
    <w:rsid w:val="0066490F"/>
    <w:rsid w:val="00665225"/>
    <w:rsid w:val="006672DE"/>
    <w:rsid w:val="00670213"/>
    <w:rsid w:val="00672980"/>
    <w:rsid w:val="00672A7F"/>
    <w:rsid w:val="00673526"/>
    <w:rsid w:val="006743CA"/>
    <w:rsid w:val="00674FBE"/>
    <w:rsid w:val="00677A14"/>
    <w:rsid w:val="00680411"/>
    <w:rsid w:val="00680932"/>
    <w:rsid w:val="006817AF"/>
    <w:rsid w:val="006827A5"/>
    <w:rsid w:val="006839B7"/>
    <w:rsid w:val="00684C7E"/>
    <w:rsid w:val="00685AA4"/>
    <w:rsid w:val="006871FC"/>
    <w:rsid w:val="00691100"/>
    <w:rsid w:val="0069227F"/>
    <w:rsid w:val="0069349D"/>
    <w:rsid w:val="006972E2"/>
    <w:rsid w:val="00697430"/>
    <w:rsid w:val="00697FD6"/>
    <w:rsid w:val="006A2A82"/>
    <w:rsid w:val="006A49DA"/>
    <w:rsid w:val="006A6F92"/>
    <w:rsid w:val="006B023A"/>
    <w:rsid w:val="006B0EEB"/>
    <w:rsid w:val="006B3846"/>
    <w:rsid w:val="006B5244"/>
    <w:rsid w:val="006B7E9D"/>
    <w:rsid w:val="006D5495"/>
    <w:rsid w:val="006D58B1"/>
    <w:rsid w:val="006D5D3D"/>
    <w:rsid w:val="006D64AE"/>
    <w:rsid w:val="006D657C"/>
    <w:rsid w:val="006D7067"/>
    <w:rsid w:val="006E2CD3"/>
    <w:rsid w:val="006E35A5"/>
    <w:rsid w:val="006E65D0"/>
    <w:rsid w:val="00701D30"/>
    <w:rsid w:val="00701EE2"/>
    <w:rsid w:val="00702DBE"/>
    <w:rsid w:val="00704DB7"/>
    <w:rsid w:val="00710CFB"/>
    <w:rsid w:val="00712B13"/>
    <w:rsid w:val="00714ABA"/>
    <w:rsid w:val="00715916"/>
    <w:rsid w:val="00715CE7"/>
    <w:rsid w:val="007163B0"/>
    <w:rsid w:val="00717385"/>
    <w:rsid w:val="0071780B"/>
    <w:rsid w:val="00721A0D"/>
    <w:rsid w:val="00722BF7"/>
    <w:rsid w:val="007303DD"/>
    <w:rsid w:val="00742292"/>
    <w:rsid w:val="007430CE"/>
    <w:rsid w:val="00746968"/>
    <w:rsid w:val="007469D8"/>
    <w:rsid w:val="0075181B"/>
    <w:rsid w:val="007537F3"/>
    <w:rsid w:val="00757DFF"/>
    <w:rsid w:val="00761339"/>
    <w:rsid w:val="00761FF2"/>
    <w:rsid w:val="00763C5D"/>
    <w:rsid w:val="00765E1F"/>
    <w:rsid w:val="00770A67"/>
    <w:rsid w:val="00784E27"/>
    <w:rsid w:val="0078589C"/>
    <w:rsid w:val="007920E1"/>
    <w:rsid w:val="007932A1"/>
    <w:rsid w:val="007942ED"/>
    <w:rsid w:val="007A2F39"/>
    <w:rsid w:val="007A39E8"/>
    <w:rsid w:val="007A5B23"/>
    <w:rsid w:val="007A5CCD"/>
    <w:rsid w:val="007A61FC"/>
    <w:rsid w:val="007B2E69"/>
    <w:rsid w:val="007B3399"/>
    <w:rsid w:val="007B7C73"/>
    <w:rsid w:val="007C13F1"/>
    <w:rsid w:val="007C1C24"/>
    <w:rsid w:val="007C3F4E"/>
    <w:rsid w:val="007C5707"/>
    <w:rsid w:val="007C5AF9"/>
    <w:rsid w:val="007D6912"/>
    <w:rsid w:val="007D6E06"/>
    <w:rsid w:val="007D7D85"/>
    <w:rsid w:val="007E2B11"/>
    <w:rsid w:val="007E46ED"/>
    <w:rsid w:val="007F27AF"/>
    <w:rsid w:val="007F78DC"/>
    <w:rsid w:val="008023B4"/>
    <w:rsid w:val="00814A2E"/>
    <w:rsid w:val="00814D28"/>
    <w:rsid w:val="00821B56"/>
    <w:rsid w:val="00822697"/>
    <w:rsid w:val="00824675"/>
    <w:rsid w:val="00824EF3"/>
    <w:rsid w:val="00825919"/>
    <w:rsid w:val="008264A8"/>
    <w:rsid w:val="008277E3"/>
    <w:rsid w:val="00827AF1"/>
    <w:rsid w:val="00833583"/>
    <w:rsid w:val="00833AA3"/>
    <w:rsid w:val="0083531F"/>
    <w:rsid w:val="0084220B"/>
    <w:rsid w:val="008431FA"/>
    <w:rsid w:val="00845D6D"/>
    <w:rsid w:val="008471CD"/>
    <w:rsid w:val="008605BD"/>
    <w:rsid w:val="008622E0"/>
    <w:rsid w:val="008702E7"/>
    <w:rsid w:val="00872212"/>
    <w:rsid w:val="00872981"/>
    <w:rsid w:val="00874631"/>
    <w:rsid w:val="00874FCA"/>
    <w:rsid w:val="00877E32"/>
    <w:rsid w:val="00880F75"/>
    <w:rsid w:val="00882287"/>
    <w:rsid w:val="00882B6E"/>
    <w:rsid w:val="00882DA3"/>
    <w:rsid w:val="00884805"/>
    <w:rsid w:val="0088728B"/>
    <w:rsid w:val="008902CE"/>
    <w:rsid w:val="00892B62"/>
    <w:rsid w:val="00897303"/>
    <w:rsid w:val="008A0EB4"/>
    <w:rsid w:val="008A1290"/>
    <w:rsid w:val="008A2661"/>
    <w:rsid w:val="008A3B8F"/>
    <w:rsid w:val="008A6FF0"/>
    <w:rsid w:val="008B40E7"/>
    <w:rsid w:val="008C051C"/>
    <w:rsid w:val="008C095C"/>
    <w:rsid w:val="008C2026"/>
    <w:rsid w:val="008C5C61"/>
    <w:rsid w:val="008C5E17"/>
    <w:rsid w:val="008D051B"/>
    <w:rsid w:val="008D3ED6"/>
    <w:rsid w:val="008D7EB4"/>
    <w:rsid w:val="008E2A36"/>
    <w:rsid w:val="008E465F"/>
    <w:rsid w:val="008E49F0"/>
    <w:rsid w:val="008F2A05"/>
    <w:rsid w:val="00901D43"/>
    <w:rsid w:val="009029DC"/>
    <w:rsid w:val="00906F89"/>
    <w:rsid w:val="00907D65"/>
    <w:rsid w:val="00907FC5"/>
    <w:rsid w:val="00913F4B"/>
    <w:rsid w:val="00914213"/>
    <w:rsid w:val="009203F0"/>
    <w:rsid w:val="00920FC2"/>
    <w:rsid w:val="009238F5"/>
    <w:rsid w:val="00925B3F"/>
    <w:rsid w:val="00926066"/>
    <w:rsid w:val="00932E85"/>
    <w:rsid w:val="00933227"/>
    <w:rsid w:val="00936075"/>
    <w:rsid w:val="00936B84"/>
    <w:rsid w:val="00936ED0"/>
    <w:rsid w:val="00943590"/>
    <w:rsid w:val="0094440D"/>
    <w:rsid w:val="00947160"/>
    <w:rsid w:val="00956722"/>
    <w:rsid w:val="00956874"/>
    <w:rsid w:val="00963ED0"/>
    <w:rsid w:val="009662B5"/>
    <w:rsid w:val="00967488"/>
    <w:rsid w:val="00967551"/>
    <w:rsid w:val="00967EAF"/>
    <w:rsid w:val="00971F34"/>
    <w:rsid w:val="00974C53"/>
    <w:rsid w:val="00975541"/>
    <w:rsid w:val="00986462"/>
    <w:rsid w:val="00990DF7"/>
    <w:rsid w:val="009927AF"/>
    <w:rsid w:val="00992EEF"/>
    <w:rsid w:val="009A0E4E"/>
    <w:rsid w:val="009A1F69"/>
    <w:rsid w:val="009A4204"/>
    <w:rsid w:val="009A502A"/>
    <w:rsid w:val="009A612B"/>
    <w:rsid w:val="009A6646"/>
    <w:rsid w:val="009A6DE7"/>
    <w:rsid w:val="009A78FD"/>
    <w:rsid w:val="009B2682"/>
    <w:rsid w:val="009C2A3A"/>
    <w:rsid w:val="009C4CB0"/>
    <w:rsid w:val="009C6305"/>
    <w:rsid w:val="009C6CA2"/>
    <w:rsid w:val="009D22CB"/>
    <w:rsid w:val="009D2302"/>
    <w:rsid w:val="009D3B78"/>
    <w:rsid w:val="009F22D3"/>
    <w:rsid w:val="00A00E8B"/>
    <w:rsid w:val="00A044BB"/>
    <w:rsid w:val="00A06E95"/>
    <w:rsid w:val="00A11C52"/>
    <w:rsid w:val="00A14BF4"/>
    <w:rsid w:val="00A14E8E"/>
    <w:rsid w:val="00A21126"/>
    <w:rsid w:val="00A22179"/>
    <w:rsid w:val="00A259A8"/>
    <w:rsid w:val="00A26344"/>
    <w:rsid w:val="00A26AC1"/>
    <w:rsid w:val="00A26C9E"/>
    <w:rsid w:val="00A3153C"/>
    <w:rsid w:val="00A31CF8"/>
    <w:rsid w:val="00A32527"/>
    <w:rsid w:val="00A33B1C"/>
    <w:rsid w:val="00A359DC"/>
    <w:rsid w:val="00A35D8F"/>
    <w:rsid w:val="00A42EF8"/>
    <w:rsid w:val="00A503B6"/>
    <w:rsid w:val="00A508F2"/>
    <w:rsid w:val="00A50C4A"/>
    <w:rsid w:val="00A51051"/>
    <w:rsid w:val="00A54498"/>
    <w:rsid w:val="00A54CCF"/>
    <w:rsid w:val="00A62295"/>
    <w:rsid w:val="00A64094"/>
    <w:rsid w:val="00A651E0"/>
    <w:rsid w:val="00A831D7"/>
    <w:rsid w:val="00A90C10"/>
    <w:rsid w:val="00A9243E"/>
    <w:rsid w:val="00A93A1B"/>
    <w:rsid w:val="00AA2395"/>
    <w:rsid w:val="00AA284F"/>
    <w:rsid w:val="00AA480E"/>
    <w:rsid w:val="00AA7247"/>
    <w:rsid w:val="00AB0263"/>
    <w:rsid w:val="00AB4EAE"/>
    <w:rsid w:val="00AC02DA"/>
    <w:rsid w:val="00AC0E29"/>
    <w:rsid w:val="00AC31A7"/>
    <w:rsid w:val="00AC3FCD"/>
    <w:rsid w:val="00AD29ED"/>
    <w:rsid w:val="00AD7299"/>
    <w:rsid w:val="00AE1E21"/>
    <w:rsid w:val="00AE48DA"/>
    <w:rsid w:val="00AF4619"/>
    <w:rsid w:val="00AF71DA"/>
    <w:rsid w:val="00AF7D79"/>
    <w:rsid w:val="00B001FF"/>
    <w:rsid w:val="00B067D7"/>
    <w:rsid w:val="00B16079"/>
    <w:rsid w:val="00B16CFF"/>
    <w:rsid w:val="00B1730B"/>
    <w:rsid w:val="00B205FE"/>
    <w:rsid w:val="00B25D4B"/>
    <w:rsid w:val="00B33936"/>
    <w:rsid w:val="00B343ED"/>
    <w:rsid w:val="00B3477E"/>
    <w:rsid w:val="00B34A6A"/>
    <w:rsid w:val="00B429AE"/>
    <w:rsid w:val="00B42E7A"/>
    <w:rsid w:val="00B503F6"/>
    <w:rsid w:val="00B5137D"/>
    <w:rsid w:val="00B538BF"/>
    <w:rsid w:val="00B5401A"/>
    <w:rsid w:val="00B55C88"/>
    <w:rsid w:val="00B57826"/>
    <w:rsid w:val="00B66AFD"/>
    <w:rsid w:val="00B71E40"/>
    <w:rsid w:val="00B72613"/>
    <w:rsid w:val="00B75FB4"/>
    <w:rsid w:val="00B76743"/>
    <w:rsid w:val="00B81E89"/>
    <w:rsid w:val="00B857C2"/>
    <w:rsid w:val="00B905AA"/>
    <w:rsid w:val="00B9765F"/>
    <w:rsid w:val="00BA12C2"/>
    <w:rsid w:val="00BA3254"/>
    <w:rsid w:val="00BA4F2E"/>
    <w:rsid w:val="00BB2555"/>
    <w:rsid w:val="00BB40DE"/>
    <w:rsid w:val="00BC1F64"/>
    <w:rsid w:val="00BC59D7"/>
    <w:rsid w:val="00BC7D01"/>
    <w:rsid w:val="00BD72C5"/>
    <w:rsid w:val="00BE12E2"/>
    <w:rsid w:val="00BE1A23"/>
    <w:rsid w:val="00BE2517"/>
    <w:rsid w:val="00BE3618"/>
    <w:rsid w:val="00BE3DBE"/>
    <w:rsid w:val="00BE63BA"/>
    <w:rsid w:val="00BE659E"/>
    <w:rsid w:val="00BE7224"/>
    <w:rsid w:val="00BE75D8"/>
    <w:rsid w:val="00BF1500"/>
    <w:rsid w:val="00BF1B5A"/>
    <w:rsid w:val="00C02789"/>
    <w:rsid w:val="00C02FFC"/>
    <w:rsid w:val="00C0370E"/>
    <w:rsid w:val="00C06386"/>
    <w:rsid w:val="00C12F75"/>
    <w:rsid w:val="00C130E7"/>
    <w:rsid w:val="00C2119F"/>
    <w:rsid w:val="00C2286B"/>
    <w:rsid w:val="00C30976"/>
    <w:rsid w:val="00C316F0"/>
    <w:rsid w:val="00C32EEB"/>
    <w:rsid w:val="00C35E85"/>
    <w:rsid w:val="00C409B9"/>
    <w:rsid w:val="00C42E52"/>
    <w:rsid w:val="00C43F6C"/>
    <w:rsid w:val="00C43F9A"/>
    <w:rsid w:val="00C45A1A"/>
    <w:rsid w:val="00C46B48"/>
    <w:rsid w:val="00C509CB"/>
    <w:rsid w:val="00C539BD"/>
    <w:rsid w:val="00C555CC"/>
    <w:rsid w:val="00C658E2"/>
    <w:rsid w:val="00C65E11"/>
    <w:rsid w:val="00C80CD4"/>
    <w:rsid w:val="00C8152B"/>
    <w:rsid w:val="00C845B7"/>
    <w:rsid w:val="00C86F4C"/>
    <w:rsid w:val="00C905CA"/>
    <w:rsid w:val="00C90CFC"/>
    <w:rsid w:val="00C91F8F"/>
    <w:rsid w:val="00C94C03"/>
    <w:rsid w:val="00C96342"/>
    <w:rsid w:val="00C9637E"/>
    <w:rsid w:val="00CA0F35"/>
    <w:rsid w:val="00CA2571"/>
    <w:rsid w:val="00CA436B"/>
    <w:rsid w:val="00CA585C"/>
    <w:rsid w:val="00CB2148"/>
    <w:rsid w:val="00CB4BF3"/>
    <w:rsid w:val="00CB5874"/>
    <w:rsid w:val="00CC52D8"/>
    <w:rsid w:val="00CC58F7"/>
    <w:rsid w:val="00CC7ACD"/>
    <w:rsid w:val="00CD2742"/>
    <w:rsid w:val="00CD2DBA"/>
    <w:rsid w:val="00CE5414"/>
    <w:rsid w:val="00CE6C6B"/>
    <w:rsid w:val="00CE6FA4"/>
    <w:rsid w:val="00CE71F8"/>
    <w:rsid w:val="00CF45B1"/>
    <w:rsid w:val="00CF6571"/>
    <w:rsid w:val="00D00D9F"/>
    <w:rsid w:val="00D01025"/>
    <w:rsid w:val="00D01C42"/>
    <w:rsid w:val="00D029E2"/>
    <w:rsid w:val="00D02FBB"/>
    <w:rsid w:val="00D04A4C"/>
    <w:rsid w:val="00D1030B"/>
    <w:rsid w:val="00D12D83"/>
    <w:rsid w:val="00D13A73"/>
    <w:rsid w:val="00D13FB0"/>
    <w:rsid w:val="00D166C9"/>
    <w:rsid w:val="00D16C76"/>
    <w:rsid w:val="00D22470"/>
    <w:rsid w:val="00D33019"/>
    <w:rsid w:val="00D35AB8"/>
    <w:rsid w:val="00D42CA5"/>
    <w:rsid w:val="00D44376"/>
    <w:rsid w:val="00D44600"/>
    <w:rsid w:val="00D46CF6"/>
    <w:rsid w:val="00D47507"/>
    <w:rsid w:val="00D50F32"/>
    <w:rsid w:val="00D553BE"/>
    <w:rsid w:val="00D57DCE"/>
    <w:rsid w:val="00D57EC3"/>
    <w:rsid w:val="00D621A4"/>
    <w:rsid w:val="00D64147"/>
    <w:rsid w:val="00D64C75"/>
    <w:rsid w:val="00D65483"/>
    <w:rsid w:val="00D667C7"/>
    <w:rsid w:val="00D67570"/>
    <w:rsid w:val="00D729AC"/>
    <w:rsid w:val="00D73FD5"/>
    <w:rsid w:val="00D80E1C"/>
    <w:rsid w:val="00D87542"/>
    <w:rsid w:val="00DA0BE9"/>
    <w:rsid w:val="00DA215C"/>
    <w:rsid w:val="00DA3554"/>
    <w:rsid w:val="00DA38CD"/>
    <w:rsid w:val="00DA5CB3"/>
    <w:rsid w:val="00DA7F0F"/>
    <w:rsid w:val="00DB0A26"/>
    <w:rsid w:val="00DB4994"/>
    <w:rsid w:val="00DB569B"/>
    <w:rsid w:val="00DB7786"/>
    <w:rsid w:val="00DC7EEE"/>
    <w:rsid w:val="00DD0084"/>
    <w:rsid w:val="00DD0109"/>
    <w:rsid w:val="00DD42F5"/>
    <w:rsid w:val="00DD5230"/>
    <w:rsid w:val="00DD618A"/>
    <w:rsid w:val="00DE080C"/>
    <w:rsid w:val="00DE13A1"/>
    <w:rsid w:val="00DE1645"/>
    <w:rsid w:val="00DE4809"/>
    <w:rsid w:val="00DE5C27"/>
    <w:rsid w:val="00DE64B4"/>
    <w:rsid w:val="00DF0CB2"/>
    <w:rsid w:val="00DF31CE"/>
    <w:rsid w:val="00DF43C3"/>
    <w:rsid w:val="00DF71B1"/>
    <w:rsid w:val="00E01F46"/>
    <w:rsid w:val="00E04DCE"/>
    <w:rsid w:val="00E06A06"/>
    <w:rsid w:val="00E06D05"/>
    <w:rsid w:val="00E12A00"/>
    <w:rsid w:val="00E14DB1"/>
    <w:rsid w:val="00E2089E"/>
    <w:rsid w:val="00E26949"/>
    <w:rsid w:val="00E30B01"/>
    <w:rsid w:val="00E3319B"/>
    <w:rsid w:val="00E34514"/>
    <w:rsid w:val="00E36599"/>
    <w:rsid w:val="00E44E34"/>
    <w:rsid w:val="00E50F7C"/>
    <w:rsid w:val="00E5628E"/>
    <w:rsid w:val="00E60817"/>
    <w:rsid w:val="00E62893"/>
    <w:rsid w:val="00E74020"/>
    <w:rsid w:val="00E802A8"/>
    <w:rsid w:val="00E854D8"/>
    <w:rsid w:val="00E90450"/>
    <w:rsid w:val="00E93CF4"/>
    <w:rsid w:val="00E963E3"/>
    <w:rsid w:val="00E966FD"/>
    <w:rsid w:val="00E974F4"/>
    <w:rsid w:val="00EA5325"/>
    <w:rsid w:val="00EA6659"/>
    <w:rsid w:val="00EB3D50"/>
    <w:rsid w:val="00EB539C"/>
    <w:rsid w:val="00EC3FB0"/>
    <w:rsid w:val="00EC4DFD"/>
    <w:rsid w:val="00EC57A1"/>
    <w:rsid w:val="00EC69FA"/>
    <w:rsid w:val="00EC739C"/>
    <w:rsid w:val="00ED0125"/>
    <w:rsid w:val="00ED33AA"/>
    <w:rsid w:val="00ED3AFB"/>
    <w:rsid w:val="00ED3FC0"/>
    <w:rsid w:val="00ED70A8"/>
    <w:rsid w:val="00EE05C3"/>
    <w:rsid w:val="00EE5D78"/>
    <w:rsid w:val="00EE6842"/>
    <w:rsid w:val="00EF031D"/>
    <w:rsid w:val="00EF1437"/>
    <w:rsid w:val="00EF1443"/>
    <w:rsid w:val="00EF1840"/>
    <w:rsid w:val="00EF1B7D"/>
    <w:rsid w:val="00EF3123"/>
    <w:rsid w:val="00EF6526"/>
    <w:rsid w:val="00F03F3A"/>
    <w:rsid w:val="00F05574"/>
    <w:rsid w:val="00F05BD4"/>
    <w:rsid w:val="00F1040E"/>
    <w:rsid w:val="00F10831"/>
    <w:rsid w:val="00F10DDD"/>
    <w:rsid w:val="00F15BBE"/>
    <w:rsid w:val="00F22EF5"/>
    <w:rsid w:val="00F23308"/>
    <w:rsid w:val="00F26EA5"/>
    <w:rsid w:val="00F2796F"/>
    <w:rsid w:val="00F3151E"/>
    <w:rsid w:val="00F33B18"/>
    <w:rsid w:val="00F340DB"/>
    <w:rsid w:val="00F377F2"/>
    <w:rsid w:val="00F40B4C"/>
    <w:rsid w:val="00F41AF2"/>
    <w:rsid w:val="00F425E3"/>
    <w:rsid w:val="00F428C7"/>
    <w:rsid w:val="00F442D1"/>
    <w:rsid w:val="00F4636E"/>
    <w:rsid w:val="00F5075A"/>
    <w:rsid w:val="00F52D86"/>
    <w:rsid w:val="00F54938"/>
    <w:rsid w:val="00F57962"/>
    <w:rsid w:val="00F65C01"/>
    <w:rsid w:val="00F65D0F"/>
    <w:rsid w:val="00F67BD6"/>
    <w:rsid w:val="00F734C5"/>
    <w:rsid w:val="00F734D6"/>
    <w:rsid w:val="00F757FE"/>
    <w:rsid w:val="00F759EA"/>
    <w:rsid w:val="00F86B95"/>
    <w:rsid w:val="00F87A0D"/>
    <w:rsid w:val="00F931B4"/>
    <w:rsid w:val="00F93953"/>
    <w:rsid w:val="00F93EB6"/>
    <w:rsid w:val="00FA0A3A"/>
    <w:rsid w:val="00FA6C20"/>
    <w:rsid w:val="00FB39A4"/>
    <w:rsid w:val="00FC0C10"/>
    <w:rsid w:val="00FC1F84"/>
    <w:rsid w:val="00FC2C23"/>
    <w:rsid w:val="00FC5D2F"/>
    <w:rsid w:val="00FC6AD0"/>
    <w:rsid w:val="00FC75A4"/>
    <w:rsid w:val="00FC7F1B"/>
    <w:rsid w:val="00FD1DD5"/>
    <w:rsid w:val="00FE1302"/>
    <w:rsid w:val="00FE1404"/>
    <w:rsid w:val="00FE4F63"/>
    <w:rsid w:val="00FE6EC9"/>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customStyle="1" w:styleId="typewriter0">
    <w:name w:val="typewriter"/>
    <w:rsid w:val="00845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customStyle="1" w:styleId="typewriter0">
    <w:name w:val="typewriter"/>
    <w:rsid w:val="00845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242">
      <w:bodyDiv w:val="1"/>
      <w:marLeft w:val="0"/>
      <w:marRight w:val="0"/>
      <w:marTop w:val="0"/>
      <w:marBottom w:val="0"/>
      <w:divBdr>
        <w:top w:val="none" w:sz="0" w:space="0" w:color="auto"/>
        <w:left w:val="none" w:sz="0" w:space="0" w:color="auto"/>
        <w:bottom w:val="none" w:sz="0" w:space="0" w:color="auto"/>
        <w:right w:val="none" w:sz="0" w:space="0" w:color="auto"/>
      </w:divBdr>
    </w:div>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350955866">
      <w:bodyDiv w:val="1"/>
      <w:marLeft w:val="0"/>
      <w:marRight w:val="0"/>
      <w:marTop w:val="0"/>
      <w:marBottom w:val="0"/>
      <w:divBdr>
        <w:top w:val="none" w:sz="0" w:space="0" w:color="auto"/>
        <w:left w:val="none" w:sz="0" w:space="0" w:color="auto"/>
        <w:bottom w:val="none" w:sz="0" w:space="0" w:color="auto"/>
        <w:right w:val="none" w:sz="0" w:space="0" w:color="auto"/>
      </w:divBdr>
    </w:div>
    <w:div w:id="606234034">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24065147">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78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C5E8-0403-4EC2-A581-0E76AE48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7385</Words>
  <Characters>4211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2020-01-14T12:48:00Z</dcterms:created>
  <dc:creator>lrvk</dc:creator>
  <cp:lastModifiedBy>Inga Buškutė</cp:lastModifiedBy>
  <cp:lastPrinted>2020-01-06T12:14:00Z</cp:lastPrinted>
  <dcterms:modified xsi:type="dcterms:W3CDTF">2020-01-14T12:48:00Z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1451923250</vt:i4>
  </property>
  <property fmtid="{D5CDD505-2E9C-101B-9397-08002B2CF9AE}" pid="3" name="_NewReviewCycle">
    <vt:lpwstr/>
  </property>
  <property fmtid="{D5CDD505-2E9C-101B-9397-08002B2CF9AE}" pid="4" name="_EmailSubject">
    <vt:lpwstr>PKĮ paketo antikorupcinio vertinimo pažymo</vt:lpwstr>
  </property>
  <property fmtid="{D5CDD505-2E9C-101B-9397-08002B2CF9AE}" pid="5" name="_AuthorEmail">
    <vt:lpwstr>Raminta.Zakareviciute@socmin.lt</vt:lpwstr>
  </property>
  <property fmtid="{D5CDD505-2E9C-101B-9397-08002B2CF9AE}" pid="6" name="_AuthorEmailDisplayName">
    <vt:lpwstr>Raminta Zakarevičiūtė-Šiugždinienė</vt:lpwstr>
  </property>
  <property fmtid="{D5CDD505-2E9C-101B-9397-08002B2CF9AE}" pid="7" name="_PreviousAdHocReviewCycleID">
    <vt:i4>-965798529</vt:i4>
  </property>
  <property fmtid="{D5CDD505-2E9C-101B-9397-08002B2CF9AE}" pid="8" name="_ReviewingToolsShownOnce">
    <vt:lpwstr/>
  </property>
</Properties>
</file>