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CD6480" w:rsidRDefault="000E4D5C" w:rsidP="00436774">
            <w:pPr>
              <w:spacing w:after="240"/>
              <w:jc w:val="both"/>
            </w:pPr>
            <w:permStart w:id="1004890573" w:edGrp="everyone"/>
            <w:r>
              <w:lastRenderedPageBreak/>
              <w:t>Lietuvos Respublikos Vyriausybei</w:t>
            </w:r>
          </w:p>
        </w:tc>
        <w:tc>
          <w:tcPr>
            <w:tcW w:w="4820" w:type="dxa"/>
          </w:tcPr>
          <w:p w:rsidR="00676E45" w:rsidRDefault="002F325D" w:rsidP="008A394F">
            <w:pPr>
              <w:spacing w:after="240"/>
            </w:pPr>
            <w:r>
              <w:t>20</w:t>
            </w:r>
            <w:r w:rsidR="00D7265E">
              <w:t>20</w:t>
            </w:r>
            <w:r w:rsidR="00022691">
              <w:t>-</w:t>
            </w:r>
            <w:r w:rsidR="00D7265E">
              <w:t>0</w:t>
            </w:r>
            <w:r w:rsidR="008A394F">
              <w:t>4</w:t>
            </w:r>
            <w:r w:rsidR="00342051">
              <w:t>-</w:t>
            </w:r>
            <w:r w:rsidR="00D7265E">
              <w:t xml:space="preserve">    </w:t>
            </w:r>
            <w:r w:rsidR="000E4D5C">
              <w:t xml:space="preserve">     </w:t>
            </w:r>
            <w:r w:rsidR="00676E45">
              <w:t xml:space="preserve">Nr. </w:t>
            </w:r>
          </w:p>
        </w:tc>
      </w:tr>
      <w:tr w:rsidR="00C612D0" w:rsidRPr="00B62CC5" w:rsidTr="004626BC">
        <w:trPr>
          <w:cantSplit/>
          <w:trHeight w:val="366"/>
        </w:trPr>
        <w:tc>
          <w:tcPr>
            <w:tcW w:w="9747" w:type="dxa"/>
            <w:gridSpan w:val="2"/>
          </w:tcPr>
          <w:p w:rsidR="008F0F4A" w:rsidRDefault="008F0F4A" w:rsidP="00022691">
            <w:pPr>
              <w:rPr>
                <w:b/>
              </w:rPr>
            </w:pPr>
          </w:p>
          <w:p w:rsidR="00515DF8" w:rsidRDefault="00515DF8" w:rsidP="00022691">
            <w:pPr>
              <w:rPr>
                <w:b/>
              </w:rPr>
            </w:pPr>
          </w:p>
          <w:p w:rsidR="00BE25DD" w:rsidRPr="00B62CC5" w:rsidRDefault="00C612D0" w:rsidP="00022691">
            <w:pPr>
              <w:rPr>
                <w:b/>
              </w:rPr>
            </w:pPr>
            <w:r w:rsidRPr="00B62CC5">
              <w:rPr>
                <w:b/>
              </w:rPr>
              <w:t>DĖL</w:t>
            </w:r>
            <w:r w:rsidR="000E4D5C">
              <w:rPr>
                <w:b/>
              </w:rPr>
              <w:t xml:space="preserve"> </w:t>
            </w:r>
            <w:r w:rsidR="00022691">
              <w:rPr>
                <w:b/>
              </w:rPr>
              <w:t>LIETUVOS RESPUBLIKOS VYRIAUSYB</w:t>
            </w:r>
            <w:r w:rsidR="000E4D5C">
              <w:rPr>
                <w:b/>
              </w:rPr>
              <w:t>Ė</w:t>
            </w:r>
            <w:r w:rsidR="00022691">
              <w:rPr>
                <w:b/>
              </w:rPr>
              <w:t xml:space="preserve">S NUTARIMO PROJEKTO </w:t>
            </w:r>
          </w:p>
        </w:tc>
      </w:tr>
    </w:tbl>
    <w:p w:rsidR="003F5F35" w:rsidRDefault="003F5F35" w:rsidP="0021642C">
      <w:pPr>
        <w:spacing w:line="360" w:lineRule="atLeast"/>
        <w:ind w:firstLine="720"/>
        <w:jc w:val="both"/>
      </w:pPr>
    </w:p>
    <w:p w:rsidR="00070338" w:rsidRDefault="00070338" w:rsidP="00070338">
      <w:pPr>
        <w:spacing w:line="360" w:lineRule="auto"/>
        <w:ind w:firstLine="720"/>
        <w:jc w:val="both"/>
      </w:pPr>
    </w:p>
    <w:p w:rsidR="00070338" w:rsidRDefault="00070338" w:rsidP="00070338">
      <w:pPr>
        <w:spacing w:line="360" w:lineRule="auto"/>
        <w:ind w:firstLine="720"/>
        <w:jc w:val="both"/>
      </w:pPr>
      <w:bookmarkStart w:id="0" w:name="_GoBack"/>
      <w:bookmarkEnd w:id="0"/>
      <w:r w:rsidRPr="00EF4211">
        <w:t xml:space="preserve">Finansų ministerija, atsižvelgdama į Alytaus miesto savivaldybės administracijos prašymą (2020 m. kovo 25 d. raštas Nr. SD-2313(6.17)), UAB „Toksika“ pateiktus dokumentus, </w:t>
      </w:r>
      <w:r w:rsidRPr="00EF4211">
        <w:rPr>
          <w:szCs w:val="24"/>
        </w:rPr>
        <w:t>Vidaus reikalų ministerijos prašymą (2020 m. kovo 9 d. raštas Nr. 1D-1272) ir Alytaus rajono savivaldybės administracijos prašymą (2020 m. vasario 17 d. raštas Nr. (3.10)K26-734)</w:t>
      </w:r>
      <w:r w:rsidRPr="00EF4211">
        <w:t xml:space="preserve">, parengė ir teikia Lietuvos Respublikos Vyriausybės nutarimo „Dėl lėšų skyrimo iš Lietuvos valstybės rezervo“ projektą (toliau – Nutarimo projektas). </w:t>
      </w:r>
    </w:p>
    <w:p w:rsidR="00070338" w:rsidRDefault="00070338" w:rsidP="00070338">
      <w:pPr>
        <w:spacing w:line="360" w:lineRule="auto"/>
        <w:ind w:firstLine="720"/>
        <w:jc w:val="both"/>
        <w:rPr>
          <w:szCs w:val="24"/>
        </w:rPr>
      </w:pPr>
      <w:r w:rsidRPr="00EF4211">
        <w:t>Nutarimo projekto tikslas – skirti</w:t>
      </w:r>
      <w:r w:rsidRPr="00EF4211">
        <w:rPr>
          <w:color w:val="FF0000"/>
        </w:rPr>
        <w:t xml:space="preserve"> </w:t>
      </w:r>
      <w:r w:rsidRPr="00EF4211">
        <w:rPr>
          <w:color w:val="000000"/>
        </w:rPr>
        <w:t>1 1</w:t>
      </w:r>
      <w:r>
        <w:rPr>
          <w:color w:val="000000"/>
        </w:rPr>
        <w:t>71</w:t>
      </w:r>
      <w:r w:rsidRPr="00EF4211">
        <w:rPr>
          <w:color w:val="000000"/>
        </w:rPr>
        <w:t xml:space="preserve"> </w:t>
      </w:r>
      <w:r>
        <w:rPr>
          <w:color w:val="000000"/>
        </w:rPr>
        <w:t>847</w:t>
      </w:r>
      <w:r w:rsidRPr="00EF4211">
        <w:rPr>
          <w:color w:val="000000"/>
        </w:rPr>
        <w:t xml:space="preserve"> (vienas milijonas vienas šimtas </w:t>
      </w:r>
      <w:r>
        <w:rPr>
          <w:color w:val="000000"/>
        </w:rPr>
        <w:t>septyniasdešimt</w:t>
      </w:r>
      <w:r w:rsidRPr="00EF4211">
        <w:rPr>
          <w:color w:val="000000"/>
        </w:rPr>
        <w:t xml:space="preserve"> </w:t>
      </w:r>
      <w:r>
        <w:rPr>
          <w:color w:val="000000"/>
        </w:rPr>
        <w:t xml:space="preserve">vienas </w:t>
      </w:r>
      <w:r w:rsidRPr="00EF4211">
        <w:rPr>
          <w:color w:val="000000"/>
        </w:rPr>
        <w:t>tūkstan</w:t>
      </w:r>
      <w:r>
        <w:rPr>
          <w:color w:val="000000"/>
        </w:rPr>
        <w:t>tis</w:t>
      </w:r>
      <w:r w:rsidRPr="00EF4211">
        <w:rPr>
          <w:color w:val="000000"/>
        </w:rPr>
        <w:t xml:space="preserve"> </w:t>
      </w:r>
      <w:r>
        <w:rPr>
          <w:color w:val="000000"/>
        </w:rPr>
        <w:t>aštuoni</w:t>
      </w:r>
      <w:r w:rsidRPr="00EF4211">
        <w:rPr>
          <w:color w:val="000000"/>
        </w:rPr>
        <w:t xml:space="preserve"> šimtai keturiasdešimt septyni) eurus </w:t>
      </w:r>
      <w:r w:rsidRPr="00EF4211">
        <w:rPr>
          <w:color w:val="000000"/>
          <w:szCs w:val="24"/>
        </w:rPr>
        <w:t xml:space="preserve">valstybės rezervo </w:t>
      </w:r>
      <w:r w:rsidRPr="00EF4211">
        <w:rPr>
          <w:szCs w:val="24"/>
        </w:rPr>
        <w:t>lėšų kaip valstybės paramą ekstremaliosios situacijos, paskelbtos Alytaus miesto savivaldybės ir Alytaus rajono savivaldybės teritorijose, kilus gaisrui Alytaus miesto padangų perdirbimo įmonėje UAB „Ekologistika“, padariniams šalinti:</w:t>
      </w:r>
    </w:p>
    <w:p w:rsidR="00070338" w:rsidRPr="00EF4211" w:rsidRDefault="00070338" w:rsidP="00070338">
      <w:pPr>
        <w:spacing w:line="360" w:lineRule="auto"/>
        <w:ind w:firstLine="720"/>
        <w:jc w:val="both"/>
        <w:rPr>
          <w:szCs w:val="24"/>
        </w:rPr>
      </w:pPr>
      <w:r w:rsidRPr="00EF4211">
        <w:rPr>
          <w:szCs w:val="24"/>
        </w:rPr>
        <w:t>1) 1 019 622 eurus – Ekonomikos ir inovacijų ministerijai UAB „Toksika“ atliekų išvežimo ir sutvarkymo išlaidoms padengti.</w:t>
      </w:r>
      <w:r w:rsidRPr="00EF4211">
        <w:rPr>
          <w:color w:val="000000"/>
        </w:rPr>
        <w:t xml:space="preserve"> </w:t>
      </w:r>
      <w:r w:rsidRPr="00EF4211">
        <w:rPr>
          <w:szCs w:val="24"/>
        </w:rPr>
        <w:t xml:space="preserve">Alytaus miesto savivaldybės administracija, atsižvelgdama į Valstybės paramos už žalą, patirtą dėl ekstremalios situacijos, komisijos (sudarytos Alytaus miesto savivaldybės administracijos direktoriaus 2019 m. lapkričio 11 d. įsakymu Nr. DV-910) 2020 m. kovo 24 d. posėdžio protokolą Nr. KPPt-124, persiuntė Finansų ministerijai UAB „Toksika“ pateiktus dokumentus atliktų darbų – atliekų išvežimo ir sutvarkymo – išlaidoms, kurios sudaro </w:t>
      </w:r>
      <w:r w:rsidRPr="00EF4211">
        <w:rPr>
          <w:color w:val="000000"/>
        </w:rPr>
        <w:t>1 019 622,35 euro, apmokėti;</w:t>
      </w:r>
      <w:r w:rsidRPr="00EF4211">
        <w:rPr>
          <w:szCs w:val="24"/>
        </w:rPr>
        <w:t xml:space="preserve"> </w:t>
      </w:r>
    </w:p>
    <w:p w:rsidR="00070338" w:rsidRDefault="00070338" w:rsidP="00070338">
      <w:pPr>
        <w:spacing w:line="360" w:lineRule="auto"/>
        <w:ind w:firstLine="720"/>
        <w:jc w:val="both"/>
        <w:rPr>
          <w:szCs w:val="24"/>
        </w:rPr>
      </w:pPr>
      <w:r w:rsidRPr="00E2457F">
        <w:rPr>
          <w:szCs w:val="24"/>
        </w:rPr>
        <w:t xml:space="preserve">2) </w:t>
      </w:r>
      <w:r w:rsidRPr="00CD0133">
        <w:rPr>
          <w:szCs w:val="24"/>
        </w:rPr>
        <w:t>140</w:t>
      </w:r>
      <w:r w:rsidRPr="00CD0133">
        <w:t> 0</w:t>
      </w:r>
      <w:r w:rsidRPr="00CD0133">
        <w:rPr>
          <w:szCs w:val="24"/>
        </w:rPr>
        <w:t xml:space="preserve">00 </w:t>
      </w:r>
      <w:r>
        <w:rPr>
          <w:szCs w:val="24"/>
        </w:rPr>
        <w:t>eurų – Vidaus reikalų ministerijai, iš jų 112</w:t>
      </w:r>
      <w:r>
        <w:t> </w:t>
      </w:r>
      <w:r>
        <w:rPr>
          <w:szCs w:val="24"/>
        </w:rPr>
        <w:t>100 eurų – ugniagesiams gelbėtojams, tiesiogiai dalyvavusiems gesinant gaisrą Alytaus mieste padangų perdirbimo įmonėje UAB „Ekologistika“, skirtų sunkiųjų metalų ir dioksinų bei į juos panašių kitų toksinių medžiagų biologinėse terpėse tyrimų atlikimo ir specialistų konsultacijų išlaidoms padengti, 20</w:t>
      </w:r>
      <w:r>
        <w:t> </w:t>
      </w:r>
      <w:r>
        <w:rPr>
          <w:szCs w:val="24"/>
        </w:rPr>
        <w:t xml:space="preserve">400 eurų – laboratorinių mėginių paėmimo, paruošimo, siuntimo į kitas laboratorijas išlaidoms padengti, </w:t>
      </w:r>
      <w:r>
        <w:rPr>
          <w:szCs w:val="24"/>
        </w:rPr>
        <w:lastRenderedPageBreak/>
        <w:t xml:space="preserve">Vidaus reikalų ministerijos Medicinos centro darbuotojų darbo užmokesčiui už papildomą darbą, viršijantį įprastą darbo krūvį, ir viršvalandžius sumokėti, </w:t>
      </w:r>
      <w:r w:rsidRPr="00CD0133">
        <w:rPr>
          <w:szCs w:val="24"/>
        </w:rPr>
        <w:t>7</w:t>
      </w:r>
      <w:r w:rsidRPr="00CD0133">
        <w:t> </w:t>
      </w:r>
      <w:r w:rsidRPr="00CD0133">
        <w:rPr>
          <w:szCs w:val="24"/>
        </w:rPr>
        <w:t>500 eurų – įrangai įsigyti;</w:t>
      </w:r>
      <w:r>
        <w:rPr>
          <w:szCs w:val="24"/>
        </w:rPr>
        <w:t xml:space="preserve"> </w:t>
      </w:r>
    </w:p>
    <w:p w:rsidR="00070338" w:rsidRDefault="00070338" w:rsidP="00070338">
      <w:pPr>
        <w:spacing w:line="360" w:lineRule="auto"/>
        <w:ind w:firstLine="720"/>
        <w:jc w:val="both"/>
        <w:rPr>
          <w:szCs w:val="24"/>
        </w:rPr>
      </w:pPr>
      <w:r w:rsidRPr="00EF4211">
        <w:rPr>
          <w:szCs w:val="24"/>
        </w:rPr>
        <w:t xml:space="preserve">3) 12 225 eurus – Alytaus rajono savivaldybės administracijai dėl ekstremaliosios situacijos patirtiems nuostoliams iš dalies atlyginti. Šios lėšos skiriamos ūkininko patirtoms šienainio įsigijimo išlaidoms (2 968 eurai) ir Alytaus rajono savivaldybės patirtoms išlaidoms už atliktus laboratorinius tyrimus (9 257 eurai) atlyginti. Finansų ministerija gavo Žemės ūkio ministerijos ir Valstybinės maisto ir veterinarijos tarnybos išvadas, kad ūkininko patirtos išlaidos už įsigytą šienainį ir atliktus laboratorinius tyrimus (3 418 eurų) ir Alytaus rajono savivaldybės patirtos išlaidos už atliktus laboratorinius tyrimus (9 257 eurai) yra tiesioginiai nuostoliai, todėl turi būti atlygintos. Įvertinę gautas išvadas, nesiūlome atlyginti ūkininko išlaidų (450 eurų) už asmeniškai atliktus laboratorinius tyrimus, nes analogiškus tyrimus atliko Alytaus rajono savivaldybė. </w:t>
      </w:r>
    </w:p>
    <w:p w:rsidR="00070338" w:rsidRPr="00EF4211" w:rsidRDefault="00070338" w:rsidP="00070338">
      <w:pPr>
        <w:spacing w:line="360" w:lineRule="auto"/>
        <w:ind w:firstLine="720"/>
        <w:jc w:val="both"/>
        <w:rPr>
          <w:szCs w:val="24"/>
        </w:rPr>
      </w:pPr>
      <w:r w:rsidRPr="00EF4211">
        <w:rPr>
          <w:szCs w:val="24"/>
        </w:rPr>
        <w:t>Alytaus rajono savivaldybės administracijos rašte prašoma skirti 13 476 eurus. Pažymime, kad 802 eurai ūkininkų patirtoms pieno utilizavimo išlaidoms atlyginti skirti Lietuvos Respublikos Vyriausybės 2020 m. kovo 10 d. nutarimu Nr. 197 „Dėl lėšų skyrimo iš Lietuvos valstybės rezervo“.</w:t>
      </w:r>
    </w:p>
    <w:p w:rsidR="00070338" w:rsidRPr="00EF4211" w:rsidRDefault="00070338" w:rsidP="00070338">
      <w:pPr>
        <w:spacing w:line="360" w:lineRule="auto"/>
        <w:ind w:firstLine="720"/>
        <w:jc w:val="both"/>
        <w:rPr>
          <w:szCs w:val="24"/>
        </w:rPr>
      </w:pPr>
      <w:r w:rsidRPr="00EF4211">
        <w:rPr>
          <w:szCs w:val="24"/>
        </w:rPr>
        <w:t xml:space="preserve">Vadovaujantis </w:t>
      </w:r>
      <w:r w:rsidRPr="00EF4211">
        <w:t xml:space="preserve">Lietuvos Respublikos valstybės rezervo įstatymo 14 straipsniu, panaudojus </w:t>
      </w:r>
      <w:r w:rsidRPr="00EF4211">
        <w:rPr>
          <w:szCs w:val="24"/>
        </w:rPr>
        <w:t>valstybės rezervo lėšas, valstybės rezervo lėšų likutis turės būti atkurtas teikiant Lietuvos Respublikos 2021 metų valstybės biudžeto ir savivaldybių biudžetų finansinių rodiklių patvirtinimo įstatymo projektą.</w:t>
      </w:r>
    </w:p>
    <w:p w:rsidR="00070338" w:rsidRPr="00EF4211" w:rsidRDefault="00070338" w:rsidP="00070338">
      <w:pPr>
        <w:spacing w:line="360" w:lineRule="auto"/>
        <w:ind w:firstLine="720"/>
        <w:jc w:val="both"/>
        <w:rPr>
          <w:szCs w:val="24"/>
        </w:rPr>
      </w:pPr>
      <w:r w:rsidRPr="00EF4211">
        <w:rPr>
          <w:szCs w:val="24"/>
        </w:rPr>
        <w:t>Parengtas Nutarimo projektas neprieštarauja Septynioliktosios Lietuvos Respublikos Vyriausybės programai.</w:t>
      </w:r>
    </w:p>
    <w:p w:rsidR="00070338" w:rsidRPr="00EF4211" w:rsidRDefault="00070338" w:rsidP="00070338">
      <w:pPr>
        <w:spacing w:line="360" w:lineRule="auto"/>
        <w:ind w:firstLine="720"/>
        <w:jc w:val="both"/>
        <w:rPr>
          <w:szCs w:val="24"/>
        </w:rPr>
      </w:pPr>
      <w:r w:rsidRPr="00EF4211">
        <w:rPr>
          <w:szCs w:val="24"/>
        </w:rPr>
        <w:t xml:space="preserve">Nutarimo projektas neperkelia ir neįgyvendina Europos Sąjungos teisės aktų. </w:t>
      </w:r>
    </w:p>
    <w:p w:rsidR="00070338" w:rsidRPr="00EF4211" w:rsidRDefault="00070338" w:rsidP="00070338">
      <w:pPr>
        <w:spacing w:line="360" w:lineRule="auto"/>
        <w:ind w:firstLine="720"/>
        <w:jc w:val="both"/>
        <w:rPr>
          <w:szCs w:val="24"/>
        </w:rPr>
      </w:pPr>
      <w:r w:rsidRPr="00EF4211">
        <w:rPr>
          <w:szCs w:val="24"/>
        </w:rPr>
        <w:t xml:space="preserve">Nutarimo projektas nenotifikuotinas Europos Komisijai. </w:t>
      </w:r>
    </w:p>
    <w:p w:rsidR="00070338" w:rsidRPr="00EF4211" w:rsidRDefault="00070338" w:rsidP="00070338">
      <w:pPr>
        <w:spacing w:line="360" w:lineRule="auto"/>
        <w:ind w:firstLine="720"/>
        <w:jc w:val="both"/>
        <w:rPr>
          <w:szCs w:val="24"/>
        </w:rPr>
      </w:pPr>
      <w:r w:rsidRPr="00EF4211">
        <w:rPr>
          <w:szCs w:val="24"/>
        </w:rPr>
        <w:t xml:space="preserve">Nutarimo projekte nėra apibrėžiamos sąvokos ir jas įvardijantys terminai. </w:t>
      </w:r>
    </w:p>
    <w:p w:rsidR="009F4313" w:rsidRPr="00070338" w:rsidRDefault="00C61665" w:rsidP="00070338">
      <w:pPr>
        <w:spacing w:line="360" w:lineRule="auto"/>
        <w:ind w:firstLine="720"/>
        <w:jc w:val="both"/>
        <w:rPr>
          <w:szCs w:val="24"/>
        </w:rPr>
      </w:pPr>
      <w:r w:rsidRPr="00070338">
        <w:rPr>
          <w:szCs w:val="24"/>
        </w:rPr>
        <w:t xml:space="preserve">Nutarimo projektas pateiktas </w:t>
      </w:r>
      <w:r w:rsidR="00951885" w:rsidRPr="00070338">
        <w:rPr>
          <w:szCs w:val="24"/>
        </w:rPr>
        <w:t xml:space="preserve">išvadai gauti </w:t>
      </w:r>
      <w:r w:rsidRPr="00070338">
        <w:rPr>
          <w:szCs w:val="24"/>
        </w:rPr>
        <w:t>valstybės rezervo koordinator</w:t>
      </w:r>
      <w:r w:rsidR="009F4313" w:rsidRPr="00070338">
        <w:rPr>
          <w:szCs w:val="24"/>
        </w:rPr>
        <w:t>ei</w:t>
      </w:r>
      <w:r w:rsidRPr="00070338">
        <w:rPr>
          <w:szCs w:val="24"/>
        </w:rPr>
        <w:t xml:space="preserve"> – Ekonomikos ir inovacijų ministerijai. </w:t>
      </w:r>
    </w:p>
    <w:p w:rsidR="00070338" w:rsidRPr="00EF4211" w:rsidRDefault="00070338" w:rsidP="00070338">
      <w:pPr>
        <w:spacing w:line="360" w:lineRule="auto"/>
        <w:ind w:firstLine="720"/>
        <w:jc w:val="both"/>
        <w:rPr>
          <w:szCs w:val="24"/>
        </w:rPr>
      </w:pPr>
      <w:r w:rsidRPr="00EF4211">
        <w:rPr>
          <w:szCs w:val="24"/>
        </w:rPr>
        <w:t xml:space="preserve">Numatomo teisinio reguliavimo poveikio vertinimo pažyma nerengiama vadovaujantis Numatomo teisinio reguliavimo poveikio vertinimo metodikos, patvirtintos Lietuvos Respublikos Vyriausybės 2003 m. vasario 26 d. nutarimu Nr. 276, 4 punktu.  </w:t>
      </w:r>
    </w:p>
    <w:p w:rsidR="00070338" w:rsidRPr="00EF4211" w:rsidRDefault="00070338" w:rsidP="00070338">
      <w:pPr>
        <w:spacing w:line="360" w:lineRule="auto"/>
        <w:ind w:firstLine="720"/>
        <w:jc w:val="both"/>
        <w:rPr>
          <w:szCs w:val="24"/>
        </w:rPr>
      </w:pPr>
      <w:r w:rsidRPr="00EF4211">
        <w:rPr>
          <w:szCs w:val="24"/>
        </w:rPr>
        <w:t>Nutarimo projektas paskelbtas Lietuvos Respublikos Seimo kanceliarijos teisės aktų informacinėje sistemoje.</w:t>
      </w:r>
    </w:p>
    <w:p w:rsidR="00070338" w:rsidRPr="00EF4211" w:rsidRDefault="00070338" w:rsidP="00070338">
      <w:pPr>
        <w:spacing w:line="360" w:lineRule="auto"/>
        <w:ind w:firstLine="720"/>
        <w:jc w:val="both"/>
      </w:pPr>
      <w:r w:rsidRPr="00EF4211">
        <w:t xml:space="preserve">Nutarimo projektą parengė Finansų ministerijos Biudžeto departamento (direktorė Daiva Kamarauskienė) Ūkio sektorių skyriaus (vedėja Diana Dirgėlaitė-Uktverienė) vyriausioji specialistė Jolanta Pilibaitienė (tel. 219 9340, el. p. </w:t>
      </w:r>
      <w:hyperlink r:id="rId15" w:history="1">
        <w:r w:rsidRPr="00EF4211">
          <w:rPr>
            <w:color w:val="000000" w:themeColor="text1"/>
          </w:rPr>
          <w:t>jolanta.pilibaitiene@finmin.lt</w:t>
        </w:r>
      </w:hyperlink>
      <w:r w:rsidRPr="00EF4211">
        <w:rPr>
          <w:color w:val="000000" w:themeColor="text1"/>
        </w:rPr>
        <w:t xml:space="preserve">), Valstybės </w:t>
      </w:r>
      <w:r w:rsidRPr="00EF4211">
        <w:rPr>
          <w:color w:val="000000" w:themeColor="text1"/>
        </w:rPr>
        <w:lastRenderedPageBreak/>
        <w:t xml:space="preserve">valdymo ir apsaugos sektorių skyriaus (vedėja Irena Džervienė) patarėja Akvilina Bružienė (tel. 239 0036, el. p. </w:t>
      </w:r>
      <w:hyperlink r:id="rId16" w:history="1">
        <w:r w:rsidRPr="00EF4211">
          <w:rPr>
            <w:color w:val="000000" w:themeColor="text1"/>
          </w:rPr>
          <w:t>akvilina.bruziene</w:t>
        </w:r>
        <w:r w:rsidRPr="00EF4211">
          <w:rPr>
            <w:color w:val="000000" w:themeColor="text1"/>
            <w:lang w:val="en-US"/>
          </w:rPr>
          <w:t>@finmin.lt</w:t>
        </w:r>
      </w:hyperlink>
      <w:r w:rsidRPr="00EF4211">
        <w:rPr>
          <w:color w:val="000000" w:themeColor="text1"/>
          <w:lang w:val="en-US"/>
        </w:rPr>
        <w:t xml:space="preserve">) ir </w:t>
      </w:r>
      <w:r w:rsidRPr="00EF4211">
        <w:rPr>
          <w:color w:val="000000" w:themeColor="text1"/>
        </w:rPr>
        <w:t xml:space="preserve">Valstybės ir savivaldybių biudžetų sudarymo skyriaus (vedėja Audronė Čekanavičienė) vyriausioji specialistė Gintarė Boguševičienė (tel. 239 0042, el. p. </w:t>
      </w:r>
      <w:hyperlink r:id="rId17" w:history="1">
        <w:r w:rsidRPr="00EF4211">
          <w:rPr>
            <w:color w:val="000000" w:themeColor="text1"/>
          </w:rPr>
          <w:t>gintare.boguseviciene</w:t>
        </w:r>
        <w:r w:rsidRPr="00EF4211">
          <w:rPr>
            <w:color w:val="000000" w:themeColor="text1"/>
            <w:lang w:val="en-US"/>
          </w:rPr>
          <w:t>@finmin.lt</w:t>
        </w:r>
      </w:hyperlink>
      <w:r w:rsidRPr="00EF4211">
        <w:rPr>
          <w:color w:val="000000" w:themeColor="text1"/>
          <w:lang w:val="en-US"/>
        </w:rPr>
        <w:t xml:space="preserve">). </w:t>
      </w:r>
    </w:p>
    <w:p w:rsidR="00070338" w:rsidRPr="00845EEA" w:rsidRDefault="00070338" w:rsidP="00070338">
      <w:pPr>
        <w:spacing w:line="360" w:lineRule="auto"/>
        <w:ind w:firstLine="720"/>
        <w:jc w:val="both"/>
      </w:pPr>
      <w:r w:rsidRPr="00845EEA">
        <w:t xml:space="preserve">PRIDEDAMA: </w:t>
      </w:r>
    </w:p>
    <w:p w:rsidR="00070338" w:rsidRPr="00845EEA" w:rsidRDefault="00070338" w:rsidP="00070338">
      <w:pPr>
        <w:numPr>
          <w:ilvl w:val="0"/>
          <w:numId w:val="1"/>
        </w:numPr>
        <w:tabs>
          <w:tab w:val="left" w:pos="993"/>
        </w:tabs>
        <w:spacing w:line="360" w:lineRule="auto"/>
        <w:ind w:left="709" w:firstLine="0"/>
        <w:contextualSpacing/>
        <w:jc w:val="both"/>
        <w:rPr>
          <w:bCs/>
        </w:rPr>
      </w:pPr>
      <w:r w:rsidRPr="00845EEA">
        <w:t>Nutarimo</w:t>
      </w:r>
      <w:r w:rsidRPr="00845EEA">
        <w:rPr>
          <w:bCs/>
        </w:rPr>
        <w:t xml:space="preserve"> projektas, </w:t>
      </w:r>
      <w:r>
        <w:rPr>
          <w:bCs/>
        </w:rPr>
        <w:t>2</w:t>
      </w:r>
      <w:r w:rsidRPr="00845EEA">
        <w:rPr>
          <w:bCs/>
        </w:rPr>
        <w:t xml:space="preserve"> lapa</w:t>
      </w:r>
      <w:r>
        <w:rPr>
          <w:bCs/>
        </w:rPr>
        <w:t>i</w:t>
      </w:r>
      <w:r>
        <w:rPr>
          <w:bCs/>
        </w:rPr>
        <w:t>.</w:t>
      </w:r>
    </w:p>
    <w:p w:rsidR="00070338" w:rsidRPr="00845EEA" w:rsidRDefault="00070338" w:rsidP="00070338">
      <w:pPr>
        <w:numPr>
          <w:ilvl w:val="0"/>
          <w:numId w:val="1"/>
        </w:numPr>
        <w:spacing w:line="360" w:lineRule="auto"/>
        <w:ind w:left="993" w:hanging="284"/>
        <w:contextualSpacing/>
        <w:jc w:val="both"/>
        <w:rPr>
          <w:szCs w:val="24"/>
        </w:rPr>
      </w:pPr>
      <w:r w:rsidRPr="00845EEA">
        <w:t>Institucijų raštų kopijos,</w:t>
      </w:r>
      <w:r>
        <w:t xml:space="preserve"> 4</w:t>
      </w:r>
      <w:r w:rsidRPr="00E25956">
        <w:rPr>
          <w:color w:val="FF0000"/>
        </w:rPr>
        <w:t xml:space="preserve"> </w:t>
      </w:r>
      <w:r w:rsidRPr="00845EEA">
        <w:t>lapai.</w:t>
      </w:r>
    </w:p>
    <w:p w:rsidR="00070338" w:rsidRPr="00EF4211" w:rsidRDefault="00070338" w:rsidP="00070338">
      <w:pPr>
        <w:spacing w:line="360" w:lineRule="auto"/>
        <w:ind w:firstLine="720"/>
        <w:jc w:val="both"/>
        <w:rPr>
          <w:bCs/>
        </w:rPr>
      </w:pPr>
    </w:p>
    <w:p w:rsidR="00070338" w:rsidRPr="00EF4211" w:rsidRDefault="00070338" w:rsidP="00070338">
      <w:pPr>
        <w:tabs>
          <w:tab w:val="left" w:pos="7371"/>
        </w:tabs>
        <w:spacing w:line="360" w:lineRule="auto"/>
        <w:ind w:firstLine="720"/>
        <w:rPr>
          <w:sz w:val="20"/>
        </w:rPr>
      </w:pPr>
    </w:p>
    <w:p w:rsidR="00070338" w:rsidRDefault="00070338" w:rsidP="00070338">
      <w:pPr>
        <w:tabs>
          <w:tab w:val="left" w:pos="7371"/>
        </w:tabs>
        <w:spacing w:line="360" w:lineRule="auto"/>
      </w:pPr>
      <w:r>
        <w:rPr>
          <w:szCs w:val="24"/>
        </w:rPr>
        <w:t>F</w:t>
      </w:r>
      <w:r w:rsidRPr="00845EEA">
        <w:rPr>
          <w:szCs w:val="24"/>
        </w:rPr>
        <w:t>inansų ministr</w:t>
      </w:r>
      <w:r>
        <w:rPr>
          <w:szCs w:val="24"/>
        </w:rPr>
        <w:t>as</w:t>
      </w:r>
      <w:r w:rsidRPr="00845EEA">
        <w:tab/>
      </w:r>
      <w:r w:rsidRPr="00845EEA">
        <w:tab/>
        <w:t>Vilius Šapoka</w:t>
      </w:r>
    </w:p>
    <w:p w:rsidR="00070338" w:rsidRDefault="00070338" w:rsidP="00070338">
      <w:pPr>
        <w:tabs>
          <w:tab w:val="left" w:pos="7371"/>
        </w:tabs>
        <w:spacing w:line="360" w:lineRule="auto"/>
      </w:pPr>
    </w:p>
    <w:p w:rsidR="00070338" w:rsidRPr="00EF4211" w:rsidRDefault="00070338" w:rsidP="00070338">
      <w:pPr>
        <w:tabs>
          <w:tab w:val="left" w:pos="7371"/>
        </w:tabs>
        <w:spacing w:line="360" w:lineRule="auto"/>
      </w:pPr>
    </w:p>
    <w:p w:rsidR="00070338" w:rsidRPr="00EF4211" w:rsidRDefault="00070338" w:rsidP="00070338">
      <w:pPr>
        <w:tabs>
          <w:tab w:val="left" w:pos="7371"/>
        </w:tabs>
        <w:spacing w:line="27" w:lineRule="atLeast"/>
      </w:pPr>
    </w:p>
    <w:p w:rsidR="00070338" w:rsidRPr="00EF4211" w:rsidRDefault="00070338" w:rsidP="00070338">
      <w:pPr>
        <w:tabs>
          <w:tab w:val="left" w:pos="7371"/>
        </w:tabs>
        <w:spacing w:line="360" w:lineRule="atLeast"/>
      </w:pPr>
    </w:p>
    <w:p w:rsidR="00070338" w:rsidRPr="00EF4211"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Pr="00EF4211"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Default="00070338" w:rsidP="00070338">
      <w:pPr>
        <w:tabs>
          <w:tab w:val="left" w:pos="7371"/>
        </w:tabs>
        <w:spacing w:line="360" w:lineRule="atLeast"/>
      </w:pPr>
    </w:p>
    <w:p w:rsidR="00070338" w:rsidRPr="00EF4211" w:rsidRDefault="00070338" w:rsidP="00070338">
      <w:pPr>
        <w:tabs>
          <w:tab w:val="left" w:pos="7371"/>
        </w:tabs>
        <w:rPr>
          <w:color w:val="000000" w:themeColor="text1"/>
          <w:sz w:val="20"/>
        </w:rPr>
      </w:pPr>
      <w:r w:rsidRPr="00EF4211">
        <w:rPr>
          <w:sz w:val="20"/>
        </w:rPr>
        <w:t>J. Pilibaitienė, tel. (8 5) 219 9340, el.</w:t>
      </w:r>
      <w:r w:rsidRPr="00EF4211">
        <w:rPr>
          <w:color w:val="000000" w:themeColor="text1"/>
          <w:sz w:val="20"/>
        </w:rPr>
        <w:t xml:space="preserve"> p. </w:t>
      </w:r>
      <w:hyperlink r:id="rId18" w:history="1">
        <w:r w:rsidRPr="00EF4211">
          <w:rPr>
            <w:color w:val="000000" w:themeColor="text1"/>
            <w:sz w:val="20"/>
          </w:rPr>
          <w:t>jolanta.pilibaitiene</w:t>
        </w:r>
        <w:r w:rsidRPr="00EF4211">
          <w:rPr>
            <w:color w:val="000000" w:themeColor="text1"/>
            <w:sz w:val="20"/>
            <w:lang w:val="en-US"/>
          </w:rPr>
          <w:t>@finmin.lt</w:t>
        </w:r>
      </w:hyperlink>
    </w:p>
    <w:p w:rsidR="00070338" w:rsidRPr="00EF4211" w:rsidRDefault="00070338" w:rsidP="00070338">
      <w:pPr>
        <w:tabs>
          <w:tab w:val="left" w:pos="7371"/>
        </w:tabs>
        <w:rPr>
          <w:color w:val="000000" w:themeColor="text1"/>
          <w:sz w:val="20"/>
          <w:lang w:val="en-US"/>
        </w:rPr>
      </w:pPr>
      <w:r w:rsidRPr="00EF4211">
        <w:rPr>
          <w:color w:val="000000" w:themeColor="text1"/>
          <w:sz w:val="20"/>
        </w:rPr>
        <w:t xml:space="preserve">A. Bružienė, tel. (8 5) 239 0036, el. p. </w:t>
      </w:r>
      <w:hyperlink r:id="rId19" w:history="1">
        <w:r w:rsidRPr="00EF4211">
          <w:rPr>
            <w:color w:val="000000" w:themeColor="text1"/>
            <w:sz w:val="20"/>
          </w:rPr>
          <w:t>akvilina.bruziene</w:t>
        </w:r>
        <w:r w:rsidRPr="00EF4211">
          <w:rPr>
            <w:color w:val="000000" w:themeColor="text1"/>
            <w:sz w:val="20"/>
            <w:lang w:val="en-US"/>
          </w:rPr>
          <w:t>@finmin.lt</w:t>
        </w:r>
      </w:hyperlink>
    </w:p>
    <w:p w:rsidR="00070338" w:rsidRDefault="00070338" w:rsidP="00070338">
      <w:pPr>
        <w:tabs>
          <w:tab w:val="left" w:pos="7371"/>
        </w:tabs>
        <w:rPr>
          <w:szCs w:val="24"/>
        </w:rPr>
      </w:pPr>
      <w:r w:rsidRPr="00EF4211">
        <w:rPr>
          <w:color w:val="000000" w:themeColor="text1"/>
          <w:sz w:val="20"/>
          <w:lang w:val="en-US"/>
        </w:rPr>
        <w:t>G. Bogu</w:t>
      </w:r>
      <w:r w:rsidRPr="00EF4211">
        <w:rPr>
          <w:color w:val="000000" w:themeColor="text1"/>
          <w:sz w:val="20"/>
        </w:rPr>
        <w:t xml:space="preserve">ševičienė, tel. (8 5) 239 0042, el. p. </w:t>
      </w:r>
      <w:hyperlink r:id="rId20" w:history="1">
        <w:r w:rsidRPr="00EF4211">
          <w:rPr>
            <w:color w:val="000000" w:themeColor="text1"/>
            <w:sz w:val="20"/>
          </w:rPr>
          <w:t>gintare.boguseviciene</w:t>
        </w:r>
        <w:r w:rsidRPr="00EF4211">
          <w:rPr>
            <w:color w:val="000000" w:themeColor="text1"/>
            <w:sz w:val="20"/>
            <w:lang w:val="en-US"/>
          </w:rPr>
          <w:t>@finmin.lt</w:t>
        </w:r>
      </w:hyperlink>
    </w:p>
    <w:permEnd w:id="1004890573"/>
    <w:sectPr w:rsidR="00070338" w:rsidSect="002C63B0">
      <w:footerReference w:type="default" r:id="rId21"/>
      <w:type w:val="continuous"/>
      <w:pgSz w:w="11906" w:h="16838" w:code="9"/>
      <w:pgMar w:top="1134" w:right="70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AB" w:rsidRDefault="002D6BAB">
      <w:r>
        <w:separator/>
      </w:r>
    </w:p>
  </w:endnote>
  <w:endnote w:type="continuationSeparator" w:id="0">
    <w:p w:rsidR="002D6BAB" w:rsidRDefault="002D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B12869">
      <w:rPr>
        <w:noProof/>
        <w:sz w:val="10"/>
      </w:rPr>
      <w:t>Lydrastis.Sausio 13 byla.2019-08-12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12869">
      <w:rPr>
        <w:noProof/>
        <w:sz w:val="10"/>
      </w:rPr>
      <w:t>Lydrastis.Sausio 13 byla.2019-08-12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AB" w:rsidRDefault="002D6BAB">
      <w:r>
        <w:separator/>
      </w:r>
    </w:p>
  </w:footnote>
  <w:footnote w:type="continuationSeparator" w:id="0">
    <w:p w:rsidR="002D6BAB" w:rsidRDefault="002D6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0338">
      <w:rPr>
        <w:rStyle w:val="Puslapionumeris"/>
        <w:noProof/>
      </w:rPr>
      <w:t>3</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832DF"/>
    <w:multiLevelType w:val="hybridMultilevel"/>
    <w:tmpl w:val="9BC8E702"/>
    <w:lvl w:ilvl="0" w:tplc="C1848994">
      <w:start w:val="1"/>
      <w:numFmt w:val="decimal"/>
      <w:lvlText w:val="%1."/>
      <w:lvlJc w:val="left"/>
      <w:pPr>
        <w:ind w:left="1573" w:hanging="1005"/>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nsid w:val="52A41CF8"/>
    <w:multiLevelType w:val="hybridMultilevel"/>
    <w:tmpl w:val="AACA90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1"/>
    <w:rsid w:val="00005DCE"/>
    <w:rsid w:val="00022691"/>
    <w:rsid w:val="000277F1"/>
    <w:rsid w:val="00043976"/>
    <w:rsid w:val="00050936"/>
    <w:rsid w:val="0006460C"/>
    <w:rsid w:val="00066BC1"/>
    <w:rsid w:val="00070338"/>
    <w:rsid w:val="00076760"/>
    <w:rsid w:val="000A1093"/>
    <w:rsid w:val="000C18FE"/>
    <w:rsid w:val="000C20F8"/>
    <w:rsid w:val="000E4D5C"/>
    <w:rsid w:val="000E6336"/>
    <w:rsid w:val="000E66F2"/>
    <w:rsid w:val="00106272"/>
    <w:rsid w:val="00111B0B"/>
    <w:rsid w:val="001303BC"/>
    <w:rsid w:val="0013500F"/>
    <w:rsid w:val="00144A3E"/>
    <w:rsid w:val="00153DCA"/>
    <w:rsid w:val="00187875"/>
    <w:rsid w:val="001A1D75"/>
    <w:rsid w:val="001B25B8"/>
    <w:rsid w:val="001D1A1F"/>
    <w:rsid w:val="001E4B30"/>
    <w:rsid w:val="001F4440"/>
    <w:rsid w:val="0020560A"/>
    <w:rsid w:val="0020763D"/>
    <w:rsid w:val="002149E0"/>
    <w:rsid w:val="00214CDC"/>
    <w:rsid w:val="00215B65"/>
    <w:rsid w:val="0021642C"/>
    <w:rsid w:val="002175F6"/>
    <w:rsid w:val="002270E9"/>
    <w:rsid w:val="0025434A"/>
    <w:rsid w:val="002C63B0"/>
    <w:rsid w:val="002C7EEC"/>
    <w:rsid w:val="002D6BAB"/>
    <w:rsid w:val="002E1B3B"/>
    <w:rsid w:val="002F325D"/>
    <w:rsid w:val="00315B4A"/>
    <w:rsid w:val="00317D73"/>
    <w:rsid w:val="00321CCA"/>
    <w:rsid w:val="00342051"/>
    <w:rsid w:val="003729E3"/>
    <w:rsid w:val="00390EEB"/>
    <w:rsid w:val="00392442"/>
    <w:rsid w:val="003B35D3"/>
    <w:rsid w:val="003D7384"/>
    <w:rsid w:val="003F5F35"/>
    <w:rsid w:val="0043308B"/>
    <w:rsid w:val="00436774"/>
    <w:rsid w:val="004626BC"/>
    <w:rsid w:val="00463CCB"/>
    <w:rsid w:val="00471A03"/>
    <w:rsid w:val="0047667E"/>
    <w:rsid w:val="00480048"/>
    <w:rsid w:val="004856BF"/>
    <w:rsid w:val="004B16C8"/>
    <w:rsid w:val="004F04DF"/>
    <w:rsid w:val="004F1AE4"/>
    <w:rsid w:val="004F6DE3"/>
    <w:rsid w:val="00515DF8"/>
    <w:rsid w:val="005822BF"/>
    <w:rsid w:val="00595F7F"/>
    <w:rsid w:val="005E253F"/>
    <w:rsid w:val="005E2E9C"/>
    <w:rsid w:val="005F753F"/>
    <w:rsid w:val="005F7A8D"/>
    <w:rsid w:val="00607612"/>
    <w:rsid w:val="006501B8"/>
    <w:rsid w:val="00651055"/>
    <w:rsid w:val="006538FD"/>
    <w:rsid w:val="00676E45"/>
    <w:rsid w:val="00693A84"/>
    <w:rsid w:val="00726799"/>
    <w:rsid w:val="00730CD6"/>
    <w:rsid w:val="00732BE0"/>
    <w:rsid w:val="00741A4E"/>
    <w:rsid w:val="00741C12"/>
    <w:rsid w:val="00746F5D"/>
    <w:rsid w:val="00775CB5"/>
    <w:rsid w:val="00794E35"/>
    <w:rsid w:val="007A71C3"/>
    <w:rsid w:val="007B1827"/>
    <w:rsid w:val="007D3DD9"/>
    <w:rsid w:val="007F2546"/>
    <w:rsid w:val="0080493D"/>
    <w:rsid w:val="008151E8"/>
    <w:rsid w:val="008361AA"/>
    <w:rsid w:val="008A394F"/>
    <w:rsid w:val="008A4F1F"/>
    <w:rsid w:val="008A689C"/>
    <w:rsid w:val="008E7147"/>
    <w:rsid w:val="008F0F4A"/>
    <w:rsid w:val="00951885"/>
    <w:rsid w:val="0096013A"/>
    <w:rsid w:val="0099579F"/>
    <w:rsid w:val="009B141F"/>
    <w:rsid w:val="009D4928"/>
    <w:rsid w:val="009D7311"/>
    <w:rsid w:val="009E0647"/>
    <w:rsid w:val="009E6D44"/>
    <w:rsid w:val="009F4313"/>
    <w:rsid w:val="009F6069"/>
    <w:rsid w:val="00A100F1"/>
    <w:rsid w:val="00A35BAF"/>
    <w:rsid w:val="00AC0DF2"/>
    <w:rsid w:val="00AE35C4"/>
    <w:rsid w:val="00AF49D4"/>
    <w:rsid w:val="00B12869"/>
    <w:rsid w:val="00B4077E"/>
    <w:rsid w:val="00B62CC5"/>
    <w:rsid w:val="00BA7A8F"/>
    <w:rsid w:val="00BD3865"/>
    <w:rsid w:val="00BD7534"/>
    <w:rsid w:val="00BE1C93"/>
    <w:rsid w:val="00BE25DD"/>
    <w:rsid w:val="00C230C2"/>
    <w:rsid w:val="00C323A2"/>
    <w:rsid w:val="00C35369"/>
    <w:rsid w:val="00C42950"/>
    <w:rsid w:val="00C612D0"/>
    <w:rsid w:val="00C61665"/>
    <w:rsid w:val="00C853E6"/>
    <w:rsid w:val="00C91D5F"/>
    <w:rsid w:val="00CA6BA9"/>
    <w:rsid w:val="00CA7055"/>
    <w:rsid w:val="00CD6480"/>
    <w:rsid w:val="00CF662A"/>
    <w:rsid w:val="00D23690"/>
    <w:rsid w:val="00D509BE"/>
    <w:rsid w:val="00D7265E"/>
    <w:rsid w:val="00D73000"/>
    <w:rsid w:val="00D925FB"/>
    <w:rsid w:val="00DA6343"/>
    <w:rsid w:val="00DA6D32"/>
    <w:rsid w:val="00DB3472"/>
    <w:rsid w:val="00DD2843"/>
    <w:rsid w:val="00DE0E64"/>
    <w:rsid w:val="00DF019C"/>
    <w:rsid w:val="00E25956"/>
    <w:rsid w:val="00E43B49"/>
    <w:rsid w:val="00E712FD"/>
    <w:rsid w:val="00E8290F"/>
    <w:rsid w:val="00F23A6E"/>
    <w:rsid w:val="00F24EC4"/>
    <w:rsid w:val="00F33772"/>
    <w:rsid w:val="00F64FDA"/>
    <w:rsid w:val="00F66332"/>
    <w:rsid w:val="00F82BF7"/>
    <w:rsid w:val="00FA05DB"/>
    <w:rsid w:val="00FC1936"/>
    <w:rsid w:val="00FC78BB"/>
    <w:rsid w:val="00FD3148"/>
    <w:rsid w:val="00FD3C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0E4D5C"/>
    <w:pPr>
      <w:ind w:left="720"/>
      <w:contextualSpacing/>
    </w:pPr>
  </w:style>
  <w:style w:type="paragraph" w:styleId="Pagrindiniotekstotrauka2">
    <w:name w:val="Body Text Indent 2"/>
    <w:basedOn w:val="prastasis"/>
    <w:link w:val="Pagrindiniotekstotrauka2Diagrama"/>
    <w:unhideWhenUsed/>
    <w:rsid w:val="000E4D5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E4D5C"/>
    <w:rPr>
      <w:sz w:val="24"/>
    </w:rPr>
  </w:style>
  <w:style w:type="paragraph" w:styleId="Puslapioinaostekstas">
    <w:name w:val="footnote text"/>
    <w:basedOn w:val="prastasis"/>
    <w:link w:val="PuslapioinaostekstasDiagrama"/>
    <w:uiPriority w:val="99"/>
    <w:rsid w:val="009F6069"/>
    <w:rPr>
      <w:sz w:val="20"/>
      <w:lang w:eastAsia="en-US"/>
    </w:rPr>
  </w:style>
  <w:style w:type="character" w:customStyle="1" w:styleId="PuslapioinaostekstasDiagrama">
    <w:name w:val="Puslapio išnašos tekstas Diagrama"/>
    <w:basedOn w:val="Numatytasispastraiposriftas"/>
    <w:link w:val="Puslapioinaostekstas"/>
    <w:uiPriority w:val="99"/>
    <w:rsid w:val="009F6069"/>
    <w:rPr>
      <w:lang w:eastAsia="en-US"/>
    </w:rPr>
  </w:style>
  <w:style w:type="character" w:styleId="Puslapioinaosnuoroda">
    <w:name w:val="footnote reference"/>
    <w:basedOn w:val="Numatytasispastraiposriftas"/>
    <w:uiPriority w:val="99"/>
    <w:rsid w:val="009F6069"/>
    <w:rPr>
      <w:vertAlign w:val="superscript"/>
    </w:rPr>
  </w:style>
  <w:style w:type="character" w:customStyle="1" w:styleId="tlid-translation">
    <w:name w:val="tlid-translation"/>
    <w:basedOn w:val="Numatytasispastraiposriftas"/>
    <w:rsid w:val="000C18FE"/>
  </w:style>
  <w:style w:type="paragraph" w:customStyle="1" w:styleId="tip">
    <w:name w:val="tip"/>
    <w:basedOn w:val="prastasis"/>
    <w:rsid w:val="000C18FE"/>
    <w:pPr>
      <w:spacing w:after="150"/>
    </w:pPr>
    <w:rPr>
      <w:szCs w:val="24"/>
    </w:rPr>
  </w:style>
  <w:style w:type="character" w:styleId="Hipersaitas">
    <w:name w:val="Hyperlink"/>
    <w:basedOn w:val="Numatytasispastraiposriftas"/>
    <w:uiPriority w:val="99"/>
    <w:unhideWhenUsed/>
    <w:rsid w:val="00BE1C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0E4D5C"/>
    <w:pPr>
      <w:ind w:left="720"/>
      <w:contextualSpacing/>
    </w:pPr>
  </w:style>
  <w:style w:type="paragraph" w:styleId="Pagrindiniotekstotrauka2">
    <w:name w:val="Body Text Indent 2"/>
    <w:basedOn w:val="prastasis"/>
    <w:link w:val="Pagrindiniotekstotrauka2Diagrama"/>
    <w:unhideWhenUsed/>
    <w:rsid w:val="000E4D5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E4D5C"/>
    <w:rPr>
      <w:sz w:val="24"/>
    </w:rPr>
  </w:style>
  <w:style w:type="paragraph" w:styleId="Puslapioinaostekstas">
    <w:name w:val="footnote text"/>
    <w:basedOn w:val="prastasis"/>
    <w:link w:val="PuslapioinaostekstasDiagrama"/>
    <w:uiPriority w:val="99"/>
    <w:rsid w:val="009F6069"/>
    <w:rPr>
      <w:sz w:val="20"/>
      <w:lang w:eastAsia="en-US"/>
    </w:rPr>
  </w:style>
  <w:style w:type="character" w:customStyle="1" w:styleId="PuslapioinaostekstasDiagrama">
    <w:name w:val="Puslapio išnašos tekstas Diagrama"/>
    <w:basedOn w:val="Numatytasispastraiposriftas"/>
    <w:link w:val="Puslapioinaostekstas"/>
    <w:uiPriority w:val="99"/>
    <w:rsid w:val="009F6069"/>
    <w:rPr>
      <w:lang w:eastAsia="en-US"/>
    </w:rPr>
  </w:style>
  <w:style w:type="character" w:styleId="Puslapioinaosnuoroda">
    <w:name w:val="footnote reference"/>
    <w:basedOn w:val="Numatytasispastraiposriftas"/>
    <w:uiPriority w:val="99"/>
    <w:rsid w:val="009F6069"/>
    <w:rPr>
      <w:vertAlign w:val="superscript"/>
    </w:rPr>
  </w:style>
  <w:style w:type="character" w:customStyle="1" w:styleId="tlid-translation">
    <w:name w:val="tlid-translation"/>
    <w:basedOn w:val="Numatytasispastraiposriftas"/>
    <w:rsid w:val="000C18FE"/>
  </w:style>
  <w:style w:type="paragraph" w:customStyle="1" w:styleId="tip">
    <w:name w:val="tip"/>
    <w:basedOn w:val="prastasis"/>
    <w:rsid w:val="000C18FE"/>
    <w:pPr>
      <w:spacing w:after="150"/>
    </w:pPr>
    <w:rPr>
      <w:szCs w:val="24"/>
    </w:rPr>
  </w:style>
  <w:style w:type="character" w:styleId="Hipersaitas">
    <w:name w:val="Hyperlink"/>
    <w:basedOn w:val="Numatytasispastraiposriftas"/>
    <w:uiPriority w:val="99"/>
    <w:unhideWhenUsed/>
    <w:rsid w:val="00BE1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jolanta.pilibaitiene@finmin.l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intare.boguseviciene@finmin.lt" TargetMode="External"/><Relationship Id="rId2" Type="http://schemas.openxmlformats.org/officeDocument/2006/relationships/numbering" Target="numbering.xml"/><Relationship Id="rId16" Type="http://schemas.openxmlformats.org/officeDocument/2006/relationships/hyperlink" Target="mailto:akvilina.bruziene@finmin.lt" TargetMode="External"/><Relationship Id="rId20" Type="http://schemas.openxmlformats.org/officeDocument/2006/relationships/hyperlink" Target="mailto:gintare.boguseviciene@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olanta.pilibaitiene@finmin.l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akvilina.bruziene@fin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D795-BF05-4009-A2A5-73212910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5199</Characters>
  <Application>Microsoft Office Word</Application>
  <DocSecurity>8</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Mickėnienė</dc:creator>
  <cp:lastModifiedBy>Jolanta Pilibaitienė</cp:lastModifiedBy>
  <cp:revision>2</cp:revision>
  <cp:lastPrinted>2019-08-12T08:23:00Z</cp:lastPrinted>
  <dcterms:created xsi:type="dcterms:W3CDTF">2020-04-07T05:52:00Z</dcterms:created>
  <dcterms:modified xsi:type="dcterms:W3CDTF">2020-04-07T05:52:00Z</dcterms:modified>
</cp:coreProperties>
</file>