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916" w:rsidRPr="00FB08E8" w:rsidRDefault="00B97916" w:rsidP="00A77D04">
      <w:pPr>
        <w:tabs>
          <w:tab w:val="left" w:pos="567"/>
        </w:tabs>
        <w:jc w:val="right"/>
        <w:rPr>
          <w:b/>
          <w:bCs/>
          <w:lang w:val="lt-LT"/>
        </w:rPr>
      </w:pPr>
    </w:p>
    <w:p w:rsidR="009176F5" w:rsidRDefault="009176F5" w:rsidP="002163F0">
      <w:pPr>
        <w:tabs>
          <w:tab w:val="left" w:pos="567"/>
        </w:tabs>
        <w:spacing w:after="240"/>
        <w:jc w:val="center"/>
        <w:rPr>
          <w:b/>
          <w:bCs/>
          <w:lang w:val="lt-LT"/>
        </w:rPr>
      </w:pPr>
    </w:p>
    <w:p w:rsidR="001771A9" w:rsidRPr="00FB08E8" w:rsidRDefault="001771A9" w:rsidP="002163F0">
      <w:pPr>
        <w:tabs>
          <w:tab w:val="left" w:pos="567"/>
        </w:tabs>
        <w:spacing w:after="240"/>
        <w:jc w:val="center"/>
        <w:rPr>
          <w:b/>
          <w:bCs/>
          <w:lang w:val="lt-LT"/>
        </w:rPr>
      </w:pPr>
      <w:r w:rsidRPr="00FB08E8">
        <w:rPr>
          <w:b/>
          <w:bCs/>
          <w:lang w:val="lt-LT"/>
        </w:rPr>
        <w:t>DIREKTYVOS</w:t>
      </w:r>
      <w:r w:rsidR="008E0684" w:rsidRPr="00FB08E8">
        <w:rPr>
          <w:b/>
          <w:bCs/>
          <w:lang w:val="lt-LT"/>
        </w:rPr>
        <w:t> </w:t>
      </w:r>
      <w:r w:rsidR="002163F0" w:rsidRPr="00FB08E8">
        <w:rPr>
          <w:b/>
          <w:bCs/>
          <w:lang w:val="lt-LT"/>
        </w:rPr>
        <w:t>1999/31</w:t>
      </w:r>
      <w:r w:rsidRPr="00FB08E8">
        <w:rPr>
          <w:b/>
          <w:bCs/>
          <w:lang w:val="lt-LT"/>
        </w:rPr>
        <w:t xml:space="preserve">/EB IR </w:t>
      </w:r>
      <w:r w:rsidR="002163F0" w:rsidRPr="00FB08E8">
        <w:rPr>
          <w:b/>
          <w:bCs/>
          <w:lang w:val="lt-LT"/>
        </w:rPr>
        <w:t>LIETUVOS RESPUBLIKOS</w:t>
      </w:r>
      <w:r w:rsidR="007C363E" w:rsidRPr="00FB08E8">
        <w:rPr>
          <w:b/>
          <w:bCs/>
          <w:lang w:val="lt-LT"/>
        </w:rPr>
        <w:t xml:space="preserve"> </w:t>
      </w:r>
      <w:r w:rsidR="002163F0" w:rsidRPr="00FB08E8">
        <w:rPr>
          <w:b/>
          <w:bCs/>
          <w:lang w:val="lt-LT"/>
        </w:rPr>
        <w:t>ATLIEKŲ TVARKYMO ĮSTATYMO NR. VIII-787 10 IR 11 STRAIPSNIŲ PAKEITIMO ĮSTATYMO</w:t>
      </w:r>
      <w:r w:rsidR="007C363E" w:rsidRPr="00FB08E8">
        <w:rPr>
          <w:b/>
          <w:bCs/>
          <w:lang w:val="lt-LT"/>
        </w:rPr>
        <w:t xml:space="preserve"> </w:t>
      </w:r>
      <w:r w:rsidR="002E6551" w:rsidRPr="00FB08E8">
        <w:rPr>
          <w:b/>
          <w:bCs/>
          <w:lang w:val="lt-LT"/>
        </w:rPr>
        <w:t>PROJEKTO ATITIKT</w:t>
      </w:r>
      <w:r w:rsidRPr="00FB08E8">
        <w:rPr>
          <w:b/>
          <w:bCs/>
          <w:lang w:val="lt-LT"/>
        </w:rPr>
        <w:t>IES LENTELĖ</w:t>
      </w:r>
    </w:p>
    <w:tbl>
      <w:tblPr>
        <w:tblW w:w="15183" w:type="dxa"/>
        <w:tblInd w:w="15" w:type="dxa"/>
        <w:tblBorders>
          <w:top w:val="single" w:sz="4" w:space="0" w:color="auto"/>
          <w:left w:val="single" w:sz="4" w:space="0" w:color="000000"/>
          <w:bottom w:val="single" w:sz="4" w:space="0" w:color="auto"/>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000" w:firstRow="0" w:lastRow="0" w:firstColumn="0" w:lastColumn="0" w:noHBand="0" w:noVBand="0"/>
      </w:tblPr>
      <w:tblGrid>
        <w:gridCol w:w="4395"/>
        <w:gridCol w:w="8930"/>
        <w:gridCol w:w="1858"/>
      </w:tblGrid>
      <w:tr w:rsidR="001771A9" w:rsidRPr="00FB08E8" w:rsidTr="009176F5">
        <w:trPr>
          <w:cantSplit/>
          <w:trHeight w:val="943"/>
        </w:trPr>
        <w:tc>
          <w:tcPr>
            <w:tcW w:w="4395" w:type="dxa"/>
          </w:tcPr>
          <w:p w:rsidR="001771A9" w:rsidRPr="00FB08E8" w:rsidRDefault="00FB08E8" w:rsidP="00FB08E8">
            <w:pPr>
              <w:tabs>
                <w:tab w:val="left" w:pos="567"/>
              </w:tabs>
              <w:snapToGrid w:val="0"/>
              <w:ind w:right="127"/>
              <w:jc w:val="both"/>
              <w:rPr>
                <w:b/>
                <w:bCs/>
                <w:lang w:val="lt-LT"/>
              </w:rPr>
            </w:pPr>
            <w:r w:rsidRPr="00FB08E8">
              <w:rPr>
                <w:b/>
                <w:bCs/>
                <w:lang w:val="lt-LT"/>
              </w:rPr>
              <w:t>1999</w:t>
            </w:r>
            <w:r w:rsidR="00265920" w:rsidRPr="00FB08E8">
              <w:rPr>
                <w:b/>
                <w:bCs/>
                <w:lang w:val="lt-LT"/>
              </w:rPr>
              <w:t xml:space="preserve"> m. </w:t>
            </w:r>
            <w:r w:rsidRPr="00FB08E8">
              <w:rPr>
                <w:b/>
                <w:bCs/>
                <w:lang w:val="lt-LT"/>
              </w:rPr>
              <w:t>balandžio</w:t>
            </w:r>
            <w:r w:rsidR="00265920" w:rsidRPr="00FB08E8">
              <w:rPr>
                <w:b/>
                <w:bCs/>
                <w:lang w:val="lt-LT"/>
              </w:rPr>
              <w:t xml:space="preserve"> </w:t>
            </w:r>
            <w:r w:rsidRPr="00FB08E8">
              <w:rPr>
                <w:b/>
                <w:bCs/>
                <w:lang w:val="lt-LT"/>
              </w:rPr>
              <w:t>26</w:t>
            </w:r>
            <w:r w:rsidR="00265920" w:rsidRPr="00FB08E8">
              <w:rPr>
                <w:b/>
                <w:bCs/>
                <w:lang w:val="lt-LT"/>
              </w:rPr>
              <w:t xml:space="preserve"> d. Tarybos direktyva </w:t>
            </w:r>
            <w:r w:rsidRPr="00FB08E8">
              <w:rPr>
                <w:b/>
                <w:bCs/>
                <w:lang w:val="lt-LT"/>
              </w:rPr>
              <w:t>1999/31/EB dėl atliekų sąvartynų</w:t>
            </w:r>
          </w:p>
        </w:tc>
        <w:tc>
          <w:tcPr>
            <w:tcW w:w="8930" w:type="dxa"/>
          </w:tcPr>
          <w:p w:rsidR="00922B9A" w:rsidRPr="00FB08E8" w:rsidRDefault="00E3585E" w:rsidP="00A77D04">
            <w:pPr>
              <w:pStyle w:val="BodyText"/>
              <w:tabs>
                <w:tab w:val="left" w:pos="567"/>
              </w:tabs>
              <w:spacing w:after="0"/>
              <w:ind w:right="142"/>
              <w:jc w:val="both"/>
              <w:rPr>
                <w:b/>
                <w:bCs/>
                <w:lang w:val="lt-LT"/>
              </w:rPr>
            </w:pPr>
            <w:r w:rsidRPr="00FB08E8">
              <w:rPr>
                <w:bCs/>
                <w:lang w:val="lt-LT"/>
              </w:rPr>
              <w:t>1.</w:t>
            </w:r>
            <w:r w:rsidRPr="00FB08E8">
              <w:rPr>
                <w:b/>
                <w:bCs/>
                <w:lang w:val="lt-LT"/>
              </w:rPr>
              <w:t xml:space="preserve"> </w:t>
            </w:r>
            <w:r w:rsidR="00FB08E8" w:rsidRPr="00FB08E8">
              <w:rPr>
                <w:b/>
                <w:bCs/>
                <w:lang w:val="lt-LT"/>
              </w:rPr>
              <w:t xml:space="preserve">Lietuvos Respublikos atliekų tvarkymo įstatymo Nr. VIII-787 10 ir 11 straipsnių pakeitimo įstatymo projektas </w:t>
            </w:r>
            <w:r w:rsidR="002E6551" w:rsidRPr="00FB08E8">
              <w:rPr>
                <w:b/>
                <w:bCs/>
                <w:lang w:val="lt-LT"/>
              </w:rPr>
              <w:t>(toliau – Įs</w:t>
            </w:r>
            <w:r w:rsidR="00FB08E8" w:rsidRPr="00FB08E8">
              <w:rPr>
                <w:b/>
                <w:bCs/>
                <w:lang w:val="lt-LT"/>
              </w:rPr>
              <w:t>tat</w:t>
            </w:r>
            <w:r w:rsidR="002E6551" w:rsidRPr="00FB08E8">
              <w:rPr>
                <w:b/>
                <w:bCs/>
                <w:lang w:val="lt-LT"/>
              </w:rPr>
              <w:t>ymo projektas);</w:t>
            </w:r>
          </w:p>
          <w:p w:rsidR="001771A9" w:rsidRPr="00FB08E8" w:rsidRDefault="001771A9" w:rsidP="008A6BE2">
            <w:pPr>
              <w:pStyle w:val="BodyText"/>
              <w:tabs>
                <w:tab w:val="left" w:pos="567"/>
              </w:tabs>
              <w:spacing w:after="0"/>
              <w:ind w:right="142"/>
              <w:jc w:val="both"/>
              <w:rPr>
                <w:rFonts w:eastAsia="Lucida Sans Unicode"/>
                <w:bCs/>
                <w:lang w:val="lt-LT"/>
              </w:rPr>
            </w:pPr>
          </w:p>
        </w:tc>
        <w:tc>
          <w:tcPr>
            <w:tcW w:w="1858" w:type="dxa"/>
          </w:tcPr>
          <w:p w:rsidR="001771A9" w:rsidRPr="00FB08E8" w:rsidRDefault="001771A9" w:rsidP="00A77D04">
            <w:pPr>
              <w:tabs>
                <w:tab w:val="left" w:pos="567"/>
              </w:tabs>
              <w:snapToGrid w:val="0"/>
              <w:jc w:val="both"/>
              <w:rPr>
                <w:b/>
                <w:lang w:val="lt-LT"/>
              </w:rPr>
            </w:pPr>
            <w:r w:rsidRPr="00FB08E8">
              <w:rPr>
                <w:b/>
                <w:lang w:val="lt-LT"/>
              </w:rPr>
              <w:t>Direktyvos perkėlimo</w:t>
            </w:r>
            <w:r w:rsidR="00E3585E" w:rsidRPr="00FB08E8">
              <w:rPr>
                <w:b/>
                <w:lang w:val="lt-LT"/>
              </w:rPr>
              <w:t xml:space="preserve"> (</w:t>
            </w:r>
            <w:r w:rsidRPr="00FB08E8">
              <w:rPr>
                <w:b/>
                <w:lang w:val="lt-LT"/>
              </w:rPr>
              <w:t>įgyvendinimo</w:t>
            </w:r>
            <w:r w:rsidR="00E3585E" w:rsidRPr="00FB08E8">
              <w:rPr>
                <w:b/>
                <w:lang w:val="lt-LT"/>
              </w:rPr>
              <w:t>)</w:t>
            </w:r>
            <w:r w:rsidRPr="00FB08E8">
              <w:rPr>
                <w:b/>
                <w:lang w:val="lt-LT"/>
              </w:rPr>
              <w:t xml:space="preserve"> lygis</w:t>
            </w:r>
            <w:r w:rsidR="00E3585E" w:rsidRPr="00FB08E8">
              <w:rPr>
                <w:b/>
                <w:lang w:val="lt-LT"/>
              </w:rPr>
              <w:t xml:space="preserve"> (visiškas, dalinis)</w:t>
            </w:r>
          </w:p>
        </w:tc>
      </w:tr>
      <w:tr w:rsidR="001771A9" w:rsidRPr="00FB08E8" w:rsidTr="009176F5">
        <w:tblPrEx>
          <w:tblCellMar>
            <w:top w:w="57" w:type="dxa"/>
            <w:left w:w="57" w:type="dxa"/>
            <w:bottom w:w="57" w:type="dxa"/>
            <w:right w:w="57" w:type="dxa"/>
          </w:tblCellMar>
        </w:tblPrEx>
        <w:trPr>
          <w:trHeight w:val="2734"/>
        </w:trPr>
        <w:tc>
          <w:tcPr>
            <w:tcW w:w="4395" w:type="dxa"/>
          </w:tcPr>
          <w:p w:rsidR="001771A9" w:rsidRDefault="00FB08E8" w:rsidP="00A77D04">
            <w:pPr>
              <w:tabs>
                <w:tab w:val="left" w:pos="567"/>
              </w:tabs>
              <w:snapToGrid w:val="0"/>
              <w:jc w:val="both"/>
              <w:rPr>
                <w:b/>
                <w:bCs/>
                <w:color w:val="000000"/>
                <w:lang w:val="lt-LT"/>
              </w:rPr>
            </w:pPr>
            <w:r w:rsidRPr="00FB08E8">
              <w:rPr>
                <w:b/>
                <w:bCs/>
                <w:color w:val="000000"/>
                <w:lang w:val="lt-LT"/>
              </w:rPr>
              <w:t>7</w:t>
            </w:r>
            <w:r w:rsidR="001771A9" w:rsidRPr="00FB08E8">
              <w:rPr>
                <w:b/>
                <w:bCs/>
                <w:color w:val="000000"/>
                <w:lang w:val="lt-LT"/>
              </w:rPr>
              <w:t xml:space="preserve"> </w:t>
            </w:r>
            <w:r w:rsidR="008A05FB" w:rsidRPr="00FB08E8">
              <w:rPr>
                <w:b/>
                <w:bCs/>
                <w:color w:val="000000"/>
                <w:lang w:val="lt-LT"/>
              </w:rPr>
              <w:t>straipsni</w:t>
            </w:r>
            <w:r w:rsidR="008A05FB">
              <w:rPr>
                <w:b/>
                <w:bCs/>
                <w:color w:val="000000"/>
                <w:lang w:val="lt-LT"/>
              </w:rPr>
              <w:t>s</w:t>
            </w:r>
            <w:r w:rsidR="008A05FB" w:rsidRPr="00FB08E8">
              <w:rPr>
                <w:b/>
                <w:bCs/>
                <w:color w:val="000000"/>
                <w:lang w:val="lt-LT"/>
              </w:rPr>
              <w:t xml:space="preserve"> </w:t>
            </w:r>
          </w:p>
          <w:p w:rsidR="00AA21D4" w:rsidRPr="00AA21D4" w:rsidRDefault="00AA21D4" w:rsidP="00A77D04">
            <w:pPr>
              <w:tabs>
                <w:tab w:val="left" w:pos="567"/>
              </w:tabs>
              <w:snapToGrid w:val="0"/>
              <w:jc w:val="both"/>
              <w:rPr>
                <w:b/>
                <w:bCs/>
                <w:color w:val="000000"/>
                <w:lang w:val="lt-LT"/>
              </w:rPr>
            </w:pPr>
            <w:r w:rsidRPr="00AA21D4">
              <w:rPr>
                <w:b/>
                <w:bCs/>
                <w:color w:val="000000"/>
                <w:lang w:val="lt-LT"/>
              </w:rPr>
              <w:t>Paraiška leidimui gauti</w:t>
            </w:r>
          </w:p>
          <w:p w:rsidR="00FB08E8" w:rsidRDefault="00FB08E8" w:rsidP="00A77D04">
            <w:pPr>
              <w:tabs>
                <w:tab w:val="left" w:pos="567"/>
              </w:tabs>
              <w:jc w:val="both"/>
              <w:rPr>
                <w:color w:val="000000"/>
                <w:lang w:val="lt-LT"/>
              </w:rPr>
            </w:pPr>
            <w:r w:rsidRPr="00FB08E8">
              <w:rPr>
                <w:color w:val="000000"/>
                <w:lang w:val="lt-LT"/>
              </w:rPr>
              <w:t>Valstybės narės imasi priemonių, kad paraiškoje sąvartyno leidimui gauti būtų pateikta bent ši informacija:</w:t>
            </w:r>
          </w:p>
          <w:p w:rsidR="001B5927" w:rsidRDefault="001B5927" w:rsidP="00E21E76">
            <w:pPr>
              <w:tabs>
                <w:tab w:val="left" w:pos="567"/>
              </w:tabs>
              <w:jc w:val="center"/>
              <w:rPr>
                <w:color w:val="000000"/>
                <w:lang w:val="lt-LT"/>
              </w:rPr>
            </w:pPr>
            <w:r>
              <w:rPr>
                <w:color w:val="000000"/>
                <w:lang w:val="lt-LT"/>
              </w:rPr>
              <w:t>&lt;...&gt;</w:t>
            </w:r>
          </w:p>
          <w:p w:rsidR="001B5927" w:rsidRDefault="001B5927" w:rsidP="00A77D04">
            <w:pPr>
              <w:tabs>
                <w:tab w:val="left" w:pos="567"/>
              </w:tabs>
              <w:jc w:val="both"/>
              <w:rPr>
                <w:color w:val="000000"/>
                <w:lang w:val="lt-LT"/>
              </w:rPr>
            </w:pPr>
            <w:r>
              <w:rPr>
                <w:color w:val="000000"/>
                <w:lang w:val="lt-LT"/>
              </w:rPr>
              <w:t>f) numatomas eksploatavimo, monitoringo ir kontrolės planas;</w:t>
            </w:r>
          </w:p>
          <w:p w:rsidR="001B5927" w:rsidRPr="00FB08E8" w:rsidRDefault="001B5927" w:rsidP="00A77D04">
            <w:pPr>
              <w:tabs>
                <w:tab w:val="left" w:pos="567"/>
              </w:tabs>
              <w:jc w:val="both"/>
              <w:rPr>
                <w:color w:val="000000"/>
                <w:lang w:val="lt-LT"/>
              </w:rPr>
            </w:pPr>
            <w:r>
              <w:rPr>
                <w:color w:val="000000"/>
                <w:lang w:val="lt-LT"/>
              </w:rPr>
              <w:t>g) numatomas sąvartyno uždarymo planas ir vėlesnės priežiūros tvarka;</w:t>
            </w:r>
          </w:p>
          <w:p w:rsidR="001771A9" w:rsidRDefault="001B5927" w:rsidP="00892B7D">
            <w:pPr>
              <w:tabs>
                <w:tab w:val="left" w:pos="567"/>
              </w:tabs>
              <w:jc w:val="center"/>
              <w:rPr>
                <w:color w:val="000000"/>
                <w:lang w:val="lt-LT"/>
              </w:rPr>
            </w:pPr>
            <w:r w:rsidRPr="001B5927">
              <w:rPr>
                <w:color w:val="000000"/>
                <w:lang w:val="lt-LT"/>
              </w:rPr>
              <w:t>&lt;...&gt;</w:t>
            </w:r>
            <w:r>
              <w:rPr>
                <w:color w:val="000000"/>
                <w:lang w:val="lt-LT"/>
              </w:rPr>
              <w:t>.</w:t>
            </w:r>
          </w:p>
          <w:p w:rsidR="00AA21D4" w:rsidRPr="00AA21D4" w:rsidRDefault="00AA21D4" w:rsidP="00AA21D4">
            <w:pPr>
              <w:tabs>
                <w:tab w:val="left" w:pos="567"/>
              </w:tabs>
              <w:snapToGrid w:val="0"/>
              <w:jc w:val="both"/>
              <w:rPr>
                <w:b/>
                <w:bCs/>
                <w:color w:val="000000"/>
                <w:lang w:val="lt-LT"/>
              </w:rPr>
            </w:pPr>
            <w:r w:rsidRPr="00AA21D4">
              <w:rPr>
                <w:b/>
                <w:bCs/>
                <w:color w:val="000000"/>
                <w:lang w:val="lt-LT"/>
              </w:rPr>
              <w:t>8 straipsnis</w:t>
            </w:r>
          </w:p>
          <w:p w:rsidR="00AA21D4" w:rsidRPr="00AA21D4" w:rsidRDefault="00AA21D4" w:rsidP="00AA21D4">
            <w:pPr>
              <w:tabs>
                <w:tab w:val="left" w:pos="567"/>
              </w:tabs>
              <w:snapToGrid w:val="0"/>
              <w:jc w:val="both"/>
              <w:rPr>
                <w:b/>
                <w:bCs/>
                <w:color w:val="000000"/>
                <w:lang w:val="lt-LT"/>
              </w:rPr>
            </w:pPr>
            <w:r w:rsidRPr="00AA21D4">
              <w:rPr>
                <w:b/>
                <w:bCs/>
                <w:color w:val="000000"/>
                <w:lang w:val="lt-LT"/>
              </w:rPr>
              <w:t>Leidimo sąlygos</w:t>
            </w:r>
          </w:p>
          <w:p w:rsidR="00AA21D4" w:rsidRPr="00AA21D4" w:rsidRDefault="00AA21D4" w:rsidP="00AA21D4">
            <w:pPr>
              <w:tabs>
                <w:tab w:val="left" w:pos="567"/>
              </w:tabs>
              <w:jc w:val="both"/>
              <w:rPr>
                <w:color w:val="000000"/>
                <w:lang w:val="lt-LT"/>
              </w:rPr>
            </w:pPr>
            <w:r w:rsidRPr="00AA21D4">
              <w:rPr>
                <w:color w:val="000000"/>
                <w:lang w:val="lt-LT"/>
              </w:rPr>
              <w:t>Valstybės narės imasi priemonių, kad:</w:t>
            </w:r>
          </w:p>
          <w:p w:rsidR="00AA21D4" w:rsidRDefault="00AA21D4" w:rsidP="00AA21D4">
            <w:pPr>
              <w:tabs>
                <w:tab w:val="left" w:pos="567"/>
              </w:tabs>
              <w:jc w:val="both"/>
              <w:rPr>
                <w:color w:val="000000"/>
                <w:lang w:val="lt-LT"/>
              </w:rPr>
            </w:pPr>
            <w:r w:rsidRPr="00AA21D4">
              <w:rPr>
                <w:color w:val="000000"/>
                <w:lang w:val="lt-LT"/>
              </w:rPr>
              <w:t>a) kompetentinga institucija neišduotų leidimo sąvartynui neįsitikinusi, kad:</w:t>
            </w:r>
          </w:p>
          <w:p w:rsidR="00AA21D4" w:rsidRPr="00AA21D4" w:rsidRDefault="00AA21D4" w:rsidP="00AA21D4">
            <w:pPr>
              <w:tabs>
                <w:tab w:val="left" w:pos="567"/>
              </w:tabs>
              <w:jc w:val="center"/>
              <w:rPr>
                <w:color w:val="000000"/>
                <w:lang w:val="lt-LT"/>
              </w:rPr>
            </w:pPr>
            <w:r w:rsidRPr="00AA21D4">
              <w:rPr>
                <w:color w:val="000000"/>
                <w:lang w:val="lt-LT"/>
              </w:rPr>
              <w:t>&lt;...&gt;</w:t>
            </w:r>
          </w:p>
          <w:p w:rsidR="00AA21D4" w:rsidRDefault="00AA21D4" w:rsidP="00AA21D4">
            <w:pPr>
              <w:tabs>
                <w:tab w:val="left" w:pos="567"/>
              </w:tabs>
              <w:jc w:val="both"/>
              <w:rPr>
                <w:color w:val="000000"/>
                <w:lang w:val="lt-LT"/>
              </w:rPr>
            </w:pPr>
            <w:r w:rsidRPr="00AA21D4">
              <w:rPr>
                <w:color w:val="000000"/>
                <w:lang w:val="lt-LT"/>
              </w:rPr>
              <w:t>b) sąvartyno projektas atitiktų Direktyvos 75/442/EEB 7 straipsnyje minimą atitinkamą atliekų tvarkymo planą ar planus;</w:t>
            </w:r>
          </w:p>
          <w:p w:rsidR="00AA21D4" w:rsidRPr="00FB08E8" w:rsidRDefault="00AA21D4" w:rsidP="00AA21D4">
            <w:pPr>
              <w:tabs>
                <w:tab w:val="left" w:pos="567"/>
              </w:tabs>
              <w:jc w:val="center"/>
              <w:rPr>
                <w:color w:val="000000"/>
                <w:lang w:val="lt-LT"/>
              </w:rPr>
            </w:pPr>
            <w:r w:rsidRPr="00AA21D4">
              <w:rPr>
                <w:color w:val="000000"/>
                <w:lang w:val="lt-LT"/>
              </w:rPr>
              <w:t>&lt;...&gt;</w:t>
            </w:r>
          </w:p>
        </w:tc>
        <w:tc>
          <w:tcPr>
            <w:tcW w:w="8930" w:type="dxa"/>
          </w:tcPr>
          <w:p w:rsidR="001B5927" w:rsidRPr="00D7759A" w:rsidRDefault="001B5927" w:rsidP="001B5927">
            <w:pPr>
              <w:tabs>
                <w:tab w:val="left" w:pos="567"/>
              </w:tabs>
              <w:rPr>
                <w:b/>
                <w:bCs/>
                <w:lang w:val="lt-LT"/>
              </w:rPr>
            </w:pPr>
            <w:r w:rsidRPr="00D7759A">
              <w:rPr>
                <w:b/>
                <w:bCs/>
                <w:lang w:val="lt-LT"/>
              </w:rPr>
              <w:t>1 straipsnis. 10 straipsnio pakeitimas</w:t>
            </w:r>
          </w:p>
          <w:p w:rsidR="001B5927" w:rsidRPr="001B5927" w:rsidRDefault="001B5927" w:rsidP="001B5927">
            <w:pPr>
              <w:tabs>
                <w:tab w:val="left" w:pos="567"/>
              </w:tabs>
              <w:rPr>
                <w:lang w:val="lt-LT"/>
              </w:rPr>
            </w:pPr>
            <w:bookmarkStart w:id="0" w:name="part_03627e7420d8499a9be87555885ad26e"/>
            <w:bookmarkStart w:id="1" w:name="part_1b3ec1cf560f4d1dad1c45ee89a48c40"/>
            <w:bookmarkEnd w:id="0"/>
            <w:bookmarkEnd w:id="1"/>
            <w:r w:rsidRPr="001B5927">
              <w:rPr>
                <w:lang w:val="lt-LT"/>
              </w:rPr>
              <w:t xml:space="preserve">Pakeisti 10 straipsnio 1 dalį ir ją išdėstyti taip: </w:t>
            </w:r>
          </w:p>
          <w:p w:rsidR="001771A9" w:rsidRPr="00FB08E8" w:rsidRDefault="00D7759A" w:rsidP="000B1424">
            <w:pPr>
              <w:tabs>
                <w:tab w:val="left" w:pos="567"/>
              </w:tabs>
              <w:jc w:val="both"/>
              <w:rPr>
                <w:lang w:val="lt-LT"/>
              </w:rPr>
            </w:pPr>
            <w:r w:rsidRPr="00D7759A">
              <w:rPr>
                <w:lang w:val="lt-LT"/>
              </w:rPr>
              <w:t xml:space="preserve">„1. Atliekas naudojanti ar šalinanti įmonė turi turėti atliekų naudojimo ar šalinimo techninį reglamentą, kuris smulkiai apibrėžtų visas atliekų priėmimo, laikymo, naudojimo, šalinimo, aplinkos </w:t>
            </w:r>
            <w:proofErr w:type="spellStart"/>
            <w:r w:rsidRPr="00D7759A">
              <w:rPr>
                <w:lang w:val="lt-LT"/>
              </w:rPr>
              <w:t>stebėsenos</w:t>
            </w:r>
            <w:proofErr w:type="spellEnd"/>
            <w:r w:rsidRPr="00D7759A">
              <w:rPr>
                <w:lang w:val="lt-LT"/>
              </w:rPr>
              <w:t xml:space="preserve"> (monitoringo) ir kontrolės operacijas</w:t>
            </w:r>
            <w:r w:rsidR="000B1424">
              <w:rPr>
                <w:lang w:val="lt-LT"/>
              </w:rPr>
              <w:t>,</w:t>
            </w:r>
            <w:r w:rsidRPr="00D7759A">
              <w:rPr>
                <w:lang w:val="lt-LT"/>
              </w:rPr>
              <w:t xml:space="preserve"> </w:t>
            </w:r>
            <w:r w:rsidRPr="00D7759A">
              <w:rPr>
                <w:b/>
                <w:lang w:val="lt-LT"/>
              </w:rPr>
              <w:t xml:space="preserve">atliekų naudojimo ar šalinimo veiklos nutraukimo planą, </w:t>
            </w:r>
            <w:r w:rsidR="000B1424">
              <w:rPr>
                <w:b/>
                <w:lang w:val="lt-LT"/>
              </w:rPr>
              <w:t>nustatantį</w:t>
            </w:r>
            <w:r w:rsidRPr="00D7759A">
              <w:rPr>
                <w:b/>
                <w:lang w:val="lt-LT"/>
              </w:rPr>
              <w:t xml:space="preserve"> </w:t>
            </w:r>
            <w:r w:rsidRPr="00D7759A">
              <w:rPr>
                <w:b/>
                <w:bCs/>
                <w:lang w:val="lt-LT"/>
              </w:rPr>
              <w:t>atliekų sutvarkymo, atliekų naudojimo ar šalinimo įrenginių uždarymo ir sutvarkymo, jų priežiūros po uždarymo, užteršto grunto ir dirvožemio išvalymo ir kitos veiklos nutraukimo priemon</w:t>
            </w:r>
            <w:r w:rsidR="000B1424">
              <w:rPr>
                <w:b/>
                <w:bCs/>
                <w:lang w:val="lt-LT"/>
              </w:rPr>
              <w:t>e</w:t>
            </w:r>
            <w:r w:rsidRPr="00D7759A">
              <w:rPr>
                <w:b/>
                <w:bCs/>
                <w:lang w:val="lt-LT"/>
              </w:rPr>
              <w:t xml:space="preserve">s, </w:t>
            </w:r>
            <w:r w:rsidRPr="00D7759A">
              <w:rPr>
                <w:lang w:val="lt-LT"/>
              </w:rPr>
              <w:t>užtikrinančias aplinkos apsaugą ir visuomenės sveikatos saugą.“</w:t>
            </w:r>
          </w:p>
        </w:tc>
        <w:tc>
          <w:tcPr>
            <w:tcW w:w="1858" w:type="dxa"/>
          </w:tcPr>
          <w:p w:rsidR="001771A9" w:rsidRPr="00FB08E8" w:rsidRDefault="00B26F41" w:rsidP="00A77D04">
            <w:pPr>
              <w:pStyle w:val="Header"/>
              <w:tabs>
                <w:tab w:val="left" w:pos="567"/>
              </w:tabs>
              <w:snapToGrid w:val="0"/>
              <w:jc w:val="both"/>
              <w:rPr>
                <w:szCs w:val="24"/>
              </w:rPr>
            </w:pPr>
            <w:r w:rsidRPr="00FB08E8">
              <w:rPr>
                <w:szCs w:val="24"/>
              </w:rPr>
              <w:t>Visiškas</w:t>
            </w:r>
          </w:p>
          <w:p w:rsidR="00265920" w:rsidRPr="00FB08E8" w:rsidRDefault="00265920" w:rsidP="00A77D04">
            <w:pPr>
              <w:pStyle w:val="Header"/>
              <w:tabs>
                <w:tab w:val="left" w:pos="567"/>
              </w:tabs>
              <w:snapToGrid w:val="0"/>
              <w:jc w:val="both"/>
              <w:rPr>
                <w:szCs w:val="24"/>
              </w:rPr>
            </w:pPr>
          </w:p>
          <w:p w:rsidR="00265920" w:rsidRPr="00FB08E8" w:rsidRDefault="00265920" w:rsidP="00A77D04">
            <w:pPr>
              <w:pStyle w:val="Header"/>
              <w:tabs>
                <w:tab w:val="left" w:pos="567"/>
              </w:tabs>
              <w:snapToGrid w:val="0"/>
              <w:jc w:val="both"/>
              <w:rPr>
                <w:szCs w:val="24"/>
              </w:rPr>
            </w:pPr>
          </w:p>
        </w:tc>
      </w:tr>
      <w:tr w:rsidR="00245F51" w:rsidRPr="00FB08E8" w:rsidTr="009176F5">
        <w:tblPrEx>
          <w:tblCellMar>
            <w:top w:w="57" w:type="dxa"/>
            <w:left w:w="57" w:type="dxa"/>
            <w:bottom w:w="57" w:type="dxa"/>
            <w:right w:w="57" w:type="dxa"/>
          </w:tblCellMar>
        </w:tblPrEx>
        <w:tc>
          <w:tcPr>
            <w:tcW w:w="4395" w:type="dxa"/>
          </w:tcPr>
          <w:p w:rsidR="00AA21D4" w:rsidRDefault="00245F51" w:rsidP="00245F51">
            <w:pPr>
              <w:tabs>
                <w:tab w:val="left" w:pos="567"/>
              </w:tabs>
              <w:snapToGrid w:val="0"/>
              <w:jc w:val="both"/>
              <w:rPr>
                <w:b/>
                <w:bCs/>
                <w:color w:val="000000"/>
                <w:lang w:val="lt-LT"/>
              </w:rPr>
            </w:pPr>
            <w:r w:rsidRPr="00245F51">
              <w:rPr>
                <w:b/>
                <w:bCs/>
                <w:color w:val="000000"/>
                <w:lang w:val="lt-LT"/>
              </w:rPr>
              <w:lastRenderedPageBreak/>
              <w:t xml:space="preserve">7 </w:t>
            </w:r>
            <w:r w:rsidR="00C05A94" w:rsidRPr="00245F51">
              <w:rPr>
                <w:b/>
                <w:bCs/>
                <w:color w:val="000000"/>
                <w:lang w:val="lt-LT"/>
              </w:rPr>
              <w:t>straipsni</w:t>
            </w:r>
            <w:r w:rsidR="00C05A94">
              <w:rPr>
                <w:b/>
                <w:bCs/>
                <w:color w:val="000000"/>
                <w:lang w:val="lt-LT"/>
              </w:rPr>
              <w:t>s</w:t>
            </w:r>
          </w:p>
          <w:p w:rsidR="00AA21D4" w:rsidRPr="00AA21D4" w:rsidRDefault="00AA21D4" w:rsidP="00AA21D4">
            <w:pPr>
              <w:tabs>
                <w:tab w:val="left" w:pos="567"/>
              </w:tabs>
              <w:snapToGrid w:val="0"/>
              <w:jc w:val="both"/>
              <w:rPr>
                <w:b/>
                <w:bCs/>
                <w:color w:val="000000"/>
                <w:lang w:val="lt-LT"/>
              </w:rPr>
            </w:pPr>
            <w:r w:rsidRPr="00AA21D4">
              <w:rPr>
                <w:b/>
                <w:bCs/>
                <w:color w:val="000000"/>
                <w:lang w:val="lt-LT"/>
              </w:rPr>
              <w:t>Paraiška leidimui gauti</w:t>
            </w:r>
          </w:p>
          <w:p w:rsidR="00245F51" w:rsidRPr="00245F51" w:rsidRDefault="00245F51" w:rsidP="00245F51">
            <w:pPr>
              <w:tabs>
                <w:tab w:val="left" w:pos="567"/>
              </w:tabs>
              <w:snapToGrid w:val="0"/>
              <w:jc w:val="both"/>
              <w:rPr>
                <w:bCs/>
                <w:color w:val="000000"/>
                <w:lang w:val="lt-LT"/>
              </w:rPr>
            </w:pPr>
            <w:r w:rsidRPr="00245F51">
              <w:rPr>
                <w:bCs/>
                <w:color w:val="000000"/>
                <w:lang w:val="lt-LT"/>
              </w:rPr>
              <w:t>Valstybės narės imasi priemonių, kad paraiškoje sąvartyno leidimui gauti būtų pateikta bent ši informacija:</w:t>
            </w:r>
          </w:p>
          <w:p w:rsidR="00245F51" w:rsidRPr="00245F51" w:rsidRDefault="00245F51" w:rsidP="00E21E76">
            <w:pPr>
              <w:tabs>
                <w:tab w:val="left" w:pos="567"/>
              </w:tabs>
              <w:snapToGrid w:val="0"/>
              <w:jc w:val="center"/>
              <w:rPr>
                <w:bCs/>
                <w:color w:val="000000"/>
                <w:lang w:val="lt-LT"/>
              </w:rPr>
            </w:pPr>
            <w:r w:rsidRPr="00245F51">
              <w:rPr>
                <w:bCs/>
                <w:color w:val="000000"/>
                <w:lang w:val="lt-LT"/>
              </w:rPr>
              <w:t>&lt;...&gt;</w:t>
            </w:r>
          </w:p>
          <w:p w:rsidR="00245F51" w:rsidRPr="00245F51" w:rsidRDefault="00245F51" w:rsidP="00245F51">
            <w:pPr>
              <w:pStyle w:val="ListParagraph"/>
              <w:numPr>
                <w:ilvl w:val="0"/>
                <w:numId w:val="3"/>
              </w:numPr>
              <w:tabs>
                <w:tab w:val="left" w:pos="85"/>
                <w:tab w:val="left" w:pos="227"/>
              </w:tabs>
              <w:snapToGrid w:val="0"/>
              <w:ind w:left="0" w:firstLine="0"/>
              <w:jc w:val="both"/>
              <w:rPr>
                <w:bCs/>
                <w:color w:val="000000"/>
                <w:lang w:val="lt-LT"/>
              </w:rPr>
            </w:pPr>
            <w:r w:rsidRPr="00245F51">
              <w:rPr>
                <w:color w:val="000000"/>
                <w:lang w:val="lt-LT"/>
              </w:rPr>
              <w:t xml:space="preserve">pareiškėjo finansinė ar kita lygiavertė garantija, kaip reikalaujama šios direktyvos 8 straipsnio a punkto </w:t>
            </w:r>
            <w:proofErr w:type="spellStart"/>
            <w:r w:rsidRPr="00245F51">
              <w:rPr>
                <w:color w:val="000000"/>
                <w:lang w:val="lt-LT"/>
              </w:rPr>
              <w:t>iv</w:t>
            </w:r>
            <w:proofErr w:type="spellEnd"/>
            <w:r w:rsidRPr="00245F51">
              <w:rPr>
                <w:color w:val="000000"/>
                <w:lang w:val="lt-LT"/>
              </w:rPr>
              <w:t xml:space="preserve"> papunktyje.</w:t>
            </w:r>
          </w:p>
          <w:p w:rsidR="00245F51" w:rsidRDefault="00245F51" w:rsidP="00E21E76">
            <w:pPr>
              <w:pStyle w:val="ListParagraph"/>
              <w:tabs>
                <w:tab w:val="left" w:pos="85"/>
                <w:tab w:val="left" w:pos="227"/>
              </w:tabs>
              <w:snapToGrid w:val="0"/>
              <w:ind w:left="0"/>
              <w:jc w:val="center"/>
              <w:rPr>
                <w:bCs/>
                <w:color w:val="000000"/>
                <w:lang w:val="lt-LT"/>
              </w:rPr>
            </w:pPr>
            <w:r w:rsidRPr="00245F51">
              <w:rPr>
                <w:bCs/>
                <w:color w:val="000000"/>
                <w:lang w:val="lt-LT"/>
              </w:rPr>
              <w:t>&lt;...&gt;.</w:t>
            </w:r>
          </w:p>
          <w:p w:rsidR="00AA21D4" w:rsidRPr="00AA21D4" w:rsidRDefault="00AA21D4" w:rsidP="00AA21D4">
            <w:pPr>
              <w:tabs>
                <w:tab w:val="left" w:pos="567"/>
              </w:tabs>
              <w:snapToGrid w:val="0"/>
              <w:jc w:val="both"/>
              <w:rPr>
                <w:b/>
                <w:bCs/>
                <w:color w:val="000000"/>
                <w:lang w:val="lt-LT"/>
              </w:rPr>
            </w:pPr>
            <w:r w:rsidRPr="00AA21D4">
              <w:rPr>
                <w:b/>
                <w:bCs/>
                <w:color w:val="000000"/>
                <w:lang w:val="lt-LT"/>
              </w:rPr>
              <w:t>8 straipsnis</w:t>
            </w:r>
          </w:p>
          <w:p w:rsidR="00AA21D4" w:rsidRPr="00AA21D4" w:rsidRDefault="00AA21D4" w:rsidP="00AA21D4">
            <w:pPr>
              <w:tabs>
                <w:tab w:val="left" w:pos="567"/>
              </w:tabs>
              <w:snapToGrid w:val="0"/>
              <w:jc w:val="both"/>
              <w:rPr>
                <w:b/>
                <w:bCs/>
                <w:color w:val="000000"/>
                <w:lang w:val="lt-LT"/>
              </w:rPr>
            </w:pPr>
            <w:r w:rsidRPr="00AA21D4">
              <w:rPr>
                <w:b/>
                <w:bCs/>
                <w:color w:val="000000"/>
                <w:lang w:val="lt-LT"/>
              </w:rPr>
              <w:t>Leidimo sąlygos</w:t>
            </w:r>
          </w:p>
          <w:p w:rsidR="00AA21D4" w:rsidRPr="00AA21D4" w:rsidRDefault="00AA21D4" w:rsidP="00AA21D4">
            <w:pPr>
              <w:tabs>
                <w:tab w:val="left" w:pos="567"/>
              </w:tabs>
              <w:jc w:val="both"/>
              <w:rPr>
                <w:color w:val="000000"/>
                <w:lang w:val="lt-LT"/>
              </w:rPr>
            </w:pPr>
            <w:r w:rsidRPr="00AA21D4">
              <w:rPr>
                <w:color w:val="000000"/>
                <w:lang w:val="lt-LT"/>
              </w:rPr>
              <w:t>Valstybės narės imasi priemonių, kad:</w:t>
            </w:r>
          </w:p>
          <w:p w:rsidR="00AA21D4" w:rsidRDefault="00AA21D4" w:rsidP="00AA21D4">
            <w:pPr>
              <w:tabs>
                <w:tab w:val="left" w:pos="567"/>
              </w:tabs>
              <w:jc w:val="both"/>
              <w:rPr>
                <w:color w:val="000000"/>
                <w:lang w:val="lt-LT"/>
              </w:rPr>
            </w:pPr>
            <w:r w:rsidRPr="00AA21D4">
              <w:rPr>
                <w:color w:val="000000"/>
                <w:lang w:val="lt-LT"/>
              </w:rPr>
              <w:t>a) kompetentinga institucija neišduotų leidimo sąvartynui neįsitikinusi, kad:</w:t>
            </w:r>
          </w:p>
          <w:p w:rsidR="00AA21D4" w:rsidRPr="00AA21D4" w:rsidRDefault="00AA21D4" w:rsidP="00AA21D4">
            <w:pPr>
              <w:tabs>
                <w:tab w:val="left" w:pos="567"/>
              </w:tabs>
              <w:jc w:val="center"/>
              <w:rPr>
                <w:color w:val="000000"/>
                <w:lang w:val="lt-LT"/>
              </w:rPr>
            </w:pPr>
            <w:r w:rsidRPr="00AA21D4">
              <w:rPr>
                <w:color w:val="000000"/>
                <w:lang w:val="lt-LT"/>
              </w:rPr>
              <w:t>&lt;...&gt;</w:t>
            </w:r>
          </w:p>
          <w:p w:rsidR="00AA21D4" w:rsidRPr="00AA21D4" w:rsidRDefault="00AA21D4" w:rsidP="00AA21D4">
            <w:pPr>
              <w:tabs>
                <w:tab w:val="left" w:pos="567"/>
              </w:tabs>
              <w:jc w:val="both"/>
              <w:rPr>
                <w:color w:val="000000"/>
                <w:lang w:val="lt-LT"/>
              </w:rPr>
            </w:pPr>
            <w:proofErr w:type="spellStart"/>
            <w:r w:rsidRPr="00AA21D4">
              <w:rPr>
                <w:color w:val="000000"/>
                <w:lang w:val="lt-LT"/>
              </w:rPr>
              <w:t>iv</w:t>
            </w:r>
            <w:proofErr w:type="spellEnd"/>
            <w:r w:rsidRPr="00AA21D4">
              <w:rPr>
                <w:color w:val="000000"/>
                <w:lang w:val="lt-LT"/>
              </w:rPr>
              <w:t>) prieš pradėdamas atliekų šalinimo veiklą ir laikydamasis valstybių narių patvirtintų pakeitimų, pareiškėjas pateikia arba pateiks pakankamą finansinę ar kurią nors kitą lygiavertę garantiją, kad užtikrintų, jog bus įvykdyti pagal šios direktyvos nuostatas išduoto leidimo įpareigojimai (įskaitant sąvartyno vėlesnės priežiūros nuostatas) ir kad bus laikomasi 13 straipsnyje nustatytos uždarymo tvarkos. Toks užstatas arba jo ekvivalentas laikomas tol, kol vykdomas sąvartyno eksploatavimas ir priežiūra po uždarymo pagal 13 straipsnio d punktą. Valstybės narės savo nuožiūra gali paskelbti, kad šis punktas netaikomas inertinių atliekų sąvartynams;</w:t>
            </w:r>
          </w:p>
          <w:p w:rsidR="00AA21D4" w:rsidRPr="00AA21D4" w:rsidRDefault="00AA21D4" w:rsidP="00AA21D4">
            <w:pPr>
              <w:tabs>
                <w:tab w:val="left" w:pos="567"/>
              </w:tabs>
              <w:jc w:val="center"/>
              <w:rPr>
                <w:bCs/>
                <w:color w:val="000000"/>
                <w:lang w:val="lt-LT"/>
              </w:rPr>
            </w:pPr>
            <w:r w:rsidRPr="00AA21D4">
              <w:rPr>
                <w:bCs/>
                <w:color w:val="000000"/>
                <w:lang w:val="lt-LT"/>
              </w:rPr>
              <w:t>&lt;...&gt;.</w:t>
            </w:r>
          </w:p>
          <w:p w:rsidR="00AA21D4" w:rsidRPr="00245F51" w:rsidRDefault="00AA21D4" w:rsidP="00AA21D4">
            <w:pPr>
              <w:tabs>
                <w:tab w:val="left" w:pos="567"/>
              </w:tabs>
              <w:jc w:val="both"/>
              <w:rPr>
                <w:bCs/>
                <w:color w:val="000000"/>
                <w:lang w:val="lt-LT"/>
              </w:rPr>
            </w:pPr>
          </w:p>
        </w:tc>
        <w:tc>
          <w:tcPr>
            <w:tcW w:w="8930" w:type="dxa"/>
          </w:tcPr>
          <w:p w:rsidR="00D7759A" w:rsidRPr="00D7759A" w:rsidRDefault="00D7759A" w:rsidP="00D7759A">
            <w:pPr>
              <w:tabs>
                <w:tab w:val="left" w:pos="567"/>
              </w:tabs>
              <w:jc w:val="both"/>
              <w:rPr>
                <w:bCs/>
                <w:lang w:val="lt-LT"/>
              </w:rPr>
            </w:pPr>
            <w:r w:rsidRPr="00D7759A">
              <w:rPr>
                <w:b/>
                <w:bCs/>
                <w:lang w:val="lt-LT"/>
              </w:rPr>
              <w:lastRenderedPageBreak/>
              <w:t>2 straipsnis. 11 straipsnio pakeitimas</w:t>
            </w:r>
          </w:p>
          <w:p w:rsidR="00D7759A" w:rsidRDefault="00D7759A" w:rsidP="00D7759A">
            <w:pPr>
              <w:tabs>
                <w:tab w:val="left" w:pos="567"/>
              </w:tabs>
              <w:jc w:val="both"/>
              <w:rPr>
                <w:bCs/>
                <w:lang w:val="lt-LT"/>
              </w:rPr>
            </w:pPr>
            <w:bookmarkStart w:id="2" w:name="part_52b2b30a32fd492cbe192abe04a654b5"/>
            <w:bookmarkEnd w:id="2"/>
            <w:r w:rsidRPr="00D7759A">
              <w:rPr>
                <w:bCs/>
                <w:lang w:val="lt-LT"/>
              </w:rPr>
              <w:t>Pakeisti 11 straipsnį ir jį išdėstyti taip:</w:t>
            </w:r>
          </w:p>
          <w:p w:rsidR="00D7759A" w:rsidRPr="00D7759A" w:rsidRDefault="00D7759A" w:rsidP="00D7759A">
            <w:pPr>
              <w:suppressAutoHyphens w:val="0"/>
              <w:jc w:val="both"/>
              <w:textAlignment w:val="baseline"/>
              <w:rPr>
                <w:color w:val="000000"/>
                <w:lang w:val="lt-LT" w:eastAsia="lt-LT"/>
              </w:rPr>
            </w:pPr>
            <w:r w:rsidRPr="00D7759A">
              <w:rPr>
                <w:color w:val="000000"/>
                <w:lang w:val="lt-LT" w:eastAsia="lt-LT"/>
              </w:rPr>
              <w:t>„</w:t>
            </w:r>
            <w:r w:rsidRPr="00D7759A">
              <w:rPr>
                <w:b/>
                <w:bCs/>
                <w:color w:val="000000"/>
                <w:lang w:val="lt-LT" w:eastAsia="lt-LT"/>
              </w:rPr>
              <w:t>11 straipsnis. </w:t>
            </w:r>
            <w:r w:rsidRPr="00D7759A">
              <w:rPr>
                <w:b/>
                <w:bCs/>
                <w:strike/>
                <w:color w:val="000000"/>
                <w:lang w:val="lt-LT" w:eastAsia="lt-LT"/>
              </w:rPr>
              <w:t>Atliekų naudojimo ar šalinimo veiklos nutraukimo sąlygos</w:t>
            </w:r>
            <w:r w:rsidRPr="00D7759A">
              <w:rPr>
                <w:b/>
                <w:bCs/>
                <w:color w:val="000000"/>
                <w:szCs w:val="20"/>
                <w:lang w:val="lt-LT" w:eastAsia="en-US"/>
              </w:rPr>
              <w:t xml:space="preserve"> </w:t>
            </w:r>
            <w:r w:rsidRPr="00D7759A">
              <w:rPr>
                <w:b/>
                <w:bCs/>
                <w:color w:val="000000"/>
                <w:lang w:val="lt-LT" w:eastAsia="lt-LT"/>
              </w:rPr>
              <w:t>Atliekas naudojančių ar šalinančių įmonių prievolių įvykdymo užtikrinimas</w:t>
            </w:r>
          </w:p>
          <w:p w:rsidR="00D7759A" w:rsidRPr="00D7759A" w:rsidRDefault="00D7759A" w:rsidP="00D7759A">
            <w:pPr>
              <w:numPr>
                <w:ilvl w:val="0"/>
                <w:numId w:val="4"/>
              </w:numPr>
              <w:tabs>
                <w:tab w:val="left" w:pos="226"/>
                <w:tab w:val="left" w:pos="1077"/>
              </w:tabs>
              <w:suppressAutoHyphens w:val="0"/>
              <w:ind w:left="0" w:firstLine="0"/>
              <w:contextualSpacing/>
              <w:jc w:val="both"/>
              <w:textAlignment w:val="baseline"/>
              <w:rPr>
                <w:color w:val="000000"/>
                <w:lang w:val="lt-LT" w:eastAsia="lt-LT"/>
              </w:rPr>
            </w:pPr>
            <w:bookmarkStart w:id="3" w:name="part_59ccb86b6af146cca306394fec95226d"/>
            <w:bookmarkStart w:id="4" w:name="_Hlk18661495"/>
            <w:bookmarkEnd w:id="3"/>
            <w:r w:rsidRPr="00D7759A">
              <w:rPr>
                <w:color w:val="000000"/>
                <w:lang w:val="lt-LT" w:eastAsia="lt-LT"/>
              </w:rPr>
              <w:t xml:space="preserve">Atliekas naudojanti ar šalinanti įmonė </w:t>
            </w:r>
            <w:bookmarkEnd w:id="4"/>
            <w:r w:rsidRPr="00D7759A">
              <w:rPr>
                <w:color w:val="000000"/>
                <w:lang w:val="lt-LT" w:eastAsia="lt-LT"/>
              </w:rPr>
              <w:t xml:space="preserve">privalo nutraukti atliekų naudojimo ar šalinimo veiklą taip, kad jos nutraukimo metu ir po jos nutraukimo neatsirastų neigiamas poveikis žmonių sveikatai ir aplinkai. </w:t>
            </w:r>
            <w:r w:rsidRPr="00D7759A">
              <w:rPr>
                <w:b/>
                <w:bCs/>
                <w:color w:val="000000"/>
                <w:lang w:val="lt-LT" w:eastAsia="lt-LT"/>
              </w:rPr>
              <w:t>Įmonės bankroto ar kitu atveju, kai įmonė nori ar privalo nutraukti atliekų naudojimo ar šalinimo veiklą, įmonė</w:t>
            </w:r>
            <w:r w:rsidRPr="00D7759A">
              <w:rPr>
                <w:color w:val="000000"/>
                <w:lang w:val="lt-LT" w:eastAsia="lt-LT"/>
              </w:rPr>
              <w:t xml:space="preserve"> </w:t>
            </w:r>
            <w:r w:rsidRPr="00D7759A">
              <w:rPr>
                <w:b/>
                <w:bCs/>
                <w:color w:val="000000"/>
                <w:lang w:val="lt-LT" w:eastAsia="lt-LT"/>
              </w:rPr>
              <w:t>privalo</w:t>
            </w:r>
            <w:r w:rsidRPr="00D7759A">
              <w:rPr>
                <w:color w:val="000000"/>
                <w:lang w:val="lt-LT" w:eastAsia="lt-LT"/>
              </w:rPr>
              <w:t xml:space="preserve"> </w:t>
            </w:r>
            <w:r w:rsidRPr="00D7759A">
              <w:rPr>
                <w:b/>
                <w:bCs/>
                <w:color w:val="000000"/>
                <w:lang w:val="lt-LT" w:eastAsia="lt-LT"/>
              </w:rPr>
              <w:t>sutvarkyti atliekas, uždaryti ir sutvarkyti atliekų naudojimo ar šalinimo įrenginius, atlikti jų priežiūrą po uždarymo, išvalyti užterštą gruntą ir dirvožemį ir įgyvendinti kitas veiklos nutraukimo priemones, užtikrinančias aplinkos apsaugą ir visuomenės sveikatos saugą.</w:t>
            </w:r>
          </w:p>
          <w:p w:rsidR="00D7759A" w:rsidRPr="00D7759A" w:rsidRDefault="00D7759A" w:rsidP="00D7759A">
            <w:pPr>
              <w:numPr>
                <w:ilvl w:val="0"/>
                <w:numId w:val="4"/>
              </w:numPr>
              <w:tabs>
                <w:tab w:val="left" w:pos="226"/>
              </w:tabs>
              <w:suppressAutoHyphens w:val="0"/>
              <w:ind w:left="0" w:firstLine="0"/>
              <w:contextualSpacing/>
              <w:jc w:val="both"/>
              <w:textAlignment w:val="baseline"/>
              <w:rPr>
                <w:b/>
                <w:bCs/>
                <w:color w:val="000000"/>
                <w:lang w:val="lt-LT" w:eastAsia="lt-LT"/>
              </w:rPr>
            </w:pPr>
            <w:r w:rsidRPr="00D7759A">
              <w:rPr>
                <w:strike/>
                <w:color w:val="000000"/>
                <w:lang w:val="lt-LT" w:eastAsia="lt-LT"/>
              </w:rPr>
              <w:t>Įmonė</w:t>
            </w:r>
            <w:r w:rsidRPr="00D7759A">
              <w:rPr>
                <w:b/>
                <w:bCs/>
                <w:color w:val="000000"/>
                <w:lang w:val="lt-LT" w:eastAsia="lt-LT"/>
              </w:rPr>
              <w:t xml:space="preserve"> Įmonės</w:t>
            </w:r>
            <w:r w:rsidRPr="00D7759A">
              <w:rPr>
                <w:color w:val="000000"/>
                <w:lang w:val="lt-LT" w:eastAsia="lt-LT"/>
              </w:rPr>
              <w:t>,</w:t>
            </w:r>
            <w:r w:rsidRPr="00D7759A">
              <w:rPr>
                <w:b/>
                <w:bCs/>
                <w:color w:val="000000"/>
                <w:lang w:val="lt-LT" w:eastAsia="lt-LT"/>
              </w:rPr>
              <w:t xml:space="preserve"> </w:t>
            </w:r>
            <w:r w:rsidRPr="00D7759A">
              <w:rPr>
                <w:color w:val="000000"/>
                <w:lang w:val="lt-LT" w:eastAsia="lt-LT"/>
              </w:rPr>
              <w:t>kuri privalo turėti leidimą pagal šio Įstatymo 6 straipsnyje nustatytus reikalavimus,</w:t>
            </w:r>
            <w:r w:rsidRPr="00D7759A">
              <w:rPr>
                <w:b/>
                <w:bCs/>
                <w:color w:val="000000"/>
                <w:lang w:val="lt-LT" w:eastAsia="lt-LT"/>
              </w:rPr>
              <w:t xml:space="preserve"> </w:t>
            </w:r>
            <w:r w:rsidRPr="00D7759A">
              <w:rPr>
                <w:strike/>
                <w:color w:val="000000"/>
                <w:lang w:val="lt-LT" w:eastAsia="lt-LT"/>
              </w:rPr>
              <w:t>atliekų naudojimo ar šalinimo veiklą gali pradėti vykdyti tik turėdama aplinkos ministro nustatyta tvarka parengtą ir su Aplinkos ministerijos įgaliota institucija suderintą atliekų naudojimo ar šalinimo veiklos nutraukimo planą ir sudarytą šio straipsnio 5 dalyje nustatytus reikalavimus atitinkančią</w:t>
            </w:r>
            <w:r w:rsidRPr="00D7759A">
              <w:rPr>
                <w:rFonts w:eastAsia="SimSun"/>
                <w:kern w:val="3"/>
                <w:lang w:val="lt-LT" w:eastAsia="lt-LT" w:bidi="hi-IN"/>
              </w:rPr>
              <w:t xml:space="preserve"> </w:t>
            </w:r>
            <w:r w:rsidRPr="00D7759A">
              <w:rPr>
                <w:strike/>
                <w:color w:val="000000"/>
                <w:lang w:val="lt-LT" w:eastAsia="lt-LT"/>
              </w:rPr>
              <w:t>laidavimo draudimo sutartį ar banko garantiją</w:t>
            </w:r>
            <w:r w:rsidRPr="00D7759A">
              <w:rPr>
                <w:b/>
                <w:bCs/>
                <w:color w:val="000000"/>
                <w:lang w:val="lt-LT" w:eastAsia="lt-LT"/>
              </w:rPr>
              <w:t xml:space="preserve"> prievolių, nustatytų šio straipsnio 1 dalyje, įvykdymas užtikrinamas galiojančia laidavimo draudimo sutartimi ir (arba) banko garantija ir (arba) </w:t>
            </w:r>
            <w:r w:rsidR="000B1424">
              <w:rPr>
                <w:b/>
                <w:bCs/>
                <w:color w:val="000000"/>
                <w:lang w:val="lt-LT" w:eastAsia="lt-LT"/>
              </w:rPr>
              <w:t xml:space="preserve">maksimalioji </w:t>
            </w:r>
            <w:bookmarkStart w:id="5" w:name="_GoBack"/>
            <w:bookmarkEnd w:id="5"/>
            <w:r w:rsidRPr="00D7759A">
              <w:rPr>
                <w:b/>
                <w:bCs/>
                <w:color w:val="000000"/>
                <w:lang w:val="lt-LT" w:eastAsia="lt-LT"/>
              </w:rPr>
              <w:t xml:space="preserve">hipoteka </w:t>
            </w:r>
            <w:r w:rsidR="00BB69BE">
              <w:rPr>
                <w:b/>
                <w:bCs/>
                <w:color w:val="000000"/>
                <w:lang w:val="lt-LT" w:eastAsia="lt-LT"/>
              </w:rPr>
              <w:t xml:space="preserve">          </w:t>
            </w:r>
            <w:r w:rsidRPr="00D7759A">
              <w:rPr>
                <w:b/>
                <w:bCs/>
                <w:color w:val="000000"/>
                <w:lang w:val="lt-LT" w:eastAsia="lt-LT"/>
              </w:rPr>
              <w:t xml:space="preserve">(toliau –  užtikrinimas). </w:t>
            </w:r>
          </w:p>
          <w:p w:rsidR="00D7759A" w:rsidRPr="00D7759A" w:rsidRDefault="00D7759A" w:rsidP="00D7759A">
            <w:pPr>
              <w:numPr>
                <w:ilvl w:val="0"/>
                <w:numId w:val="4"/>
              </w:numPr>
              <w:tabs>
                <w:tab w:val="left" w:pos="226"/>
              </w:tabs>
              <w:suppressAutoHyphens w:val="0"/>
              <w:ind w:left="-57" w:firstLine="57"/>
              <w:contextualSpacing/>
              <w:jc w:val="both"/>
              <w:textAlignment w:val="baseline"/>
              <w:rPr>
                <w:strike/>
                <w:color w:val="000000"/>
                <w:lang w:val="lt-LT" w:eastAsia="lt-LT"/>
              </w:rPr>
            </w:pPr>
            <w:r w:rsidRPr="00D7759A">
              <w:rPr>
                <w:strike/>
                <w:color w:val="000000"/>
                <w:lang w:val="lt-LT" w:eastAsia="lt-LT"/>
              </w:rPr>
              <w:t>Atliekų naudojimo ar šalinimo veiklos nutraukimo plane turi būti numatyta:</w:t>
            </w:r>
          </w:p>
          <w:p w:rsidR="00D7759A" w:rsidRPr="00D7759A" w:rsidRDefault="00D7759A" w:rsidP="00D7759A">
            <w:pPr>
              <w:tabs>
                <w:tab w:val="left" w:pos="226"/>
              </w:tabs>
              <w:suppressAutoHyphens w:val="0"/>
              <w:ind w:left="-57" w:firstLine="57"/>
              <w:contextualSpacing/>
              <w:jc w:val="both"/>
              <w:textAlignment w:val="baseline"/>
              <w:rPr>
                <w:strike/>
                <w:color w:val="000000"/>
                <w:lang w:val="lt-LT" w:eastAsia="lt-LT"/>
              </w:rPr>
            </w:pPr>
            <w:r w:rsidRPr="00D7759A">
              <w:rPr>
                <w:strike/>
                <w:color w:val="000000"/>
                <w:lang w:val="lt-LT" w:eastAsia="lt-LT"/>
              </w:rPr>
              <w:t>1) didžiausias leidžiamas įmonėje laikyti atliekų (įskaitant atliekų tvarkymo metu susidariusias atliekas) kiekis, jų sutvarkymo priemonės ir išlaidos;</w:t>
            </w:r>
          </w:p>
          <w:p w:rsidR="00D7759A" w:rsidRPr="00D7759A" w:rsidRDefault="00D7759A" w:rsidP="00D7759A">
            <w:pPr>
              <w:tabs>
                <w:tab w:val="left" w:pos="226"/>
              </w:tabs>
              <w:suppressAutoHyphens w:val="0"/>
              <w:ind w:left="-57" w:firstLine="57"/>
              <w:contextualSpacing/>
              <w:jc w:val="both"/>
              <w:textAlignment w:val="baseline"/>
              <w:rPr>
                <w:strike/>
                <w:color w:val="000000"/>
                <w:lang w:val="lt-LT" w:eastAsia="lt-LT"/>
              </w:rPr>
            </w:pPr>
            <w:r w:rsidRPr="00D7759A">
              <w:rPr>
                <w:strike/>
                <w:color w:val="000000"/>
                <w:lang w:val="lt-LT" w:eastAsia="lt-LT"/>
              </w:rPr>
              <w:t>2) atliekų naudojimo ar šalinimo įrenginių uždarymo ir sutvarkymo priemonės ir išlaidos;</w:t>
            </w:r>
          </w:p>
          <w:p w:rsidR="00D7759A" w:rsidRPr="00D7759A" w:rsidRDefault="00D7759A" w:rsidP="00D7759A">
            <w:pPr>
              <w:tabs>
                <w:tab w:val="left" w:pos="226"/>
              </w:tabs>
              <w:suppressAutoHyphens w:val="0"/>
              <w:ind w:left="-57" w:firstLine="57"/>
              <w:contextualSpacing/>
              <w:jc w:val="both"/>
              <w:textAlignment w:val="baseline"/>
              <w:rPr>
                <w:strike/>
                <w:color w:val="000000"/>
                <w:lang w:val="lt-LT" w:eastAsia="lt-LT"/>
              </w:rPr>
            </w:pPr>
            <w:r w:rsidRPr="00D7759A">
              <w:rPr>
                <w:strike/>
                <w:color w:val="000000"/>
                <w:lang w:val="lt-LT" w:eastAsia="lt-LT"/>
              </w:rPr>
              <w:t>3) atliekų naudojimo ar šalinimo įrenginių priežiūros po uždarymo priemonės, trukmė ir išlaidos.</w:t>
            </w:r>
          </w:p>
          <w:p w:rsidR="00D7759A" w:rsidRPr="00D7759A" w:rsidRDefault="00D7759A" w:rsidP="00D7759A">
            <w:pPr>
              <w:suppressAutoHyphens w:val="0"/>
              <w:ind w:firstLine="226"/>
              <w:contextualSpacing/>
              <w:jc w:val="both"/>
              <w:textAlignment w:val="baseline"/>
              <w:rPr>
                <w:rFonts w:eastAsia="Calibri"/>
                <w:strike/>
                <w:kern w:val="3"/>
                <w:lang w:val="lt-LT" w:eastAsia="zh-CN" w:bidi="hi-IN"/>
              </w:rPr>
            </w:pPr>
            <w:r w:rsidRPr="00D7759A">
              <w:rPr>
                <w:b/>
                <w:color w:val="000000"/>
                <w:lang w:val="lt-LT" w:eastAsia="lt-LT"/>
              </w:rPr>
              <w:t xml:space="preserve">Šio straipsnio 2 dalyje nurodyta įmonė privalo pateikti Aplinkos ministerijos įgaliotai institucijai užtikrinimą vadovaujantis šio straipsnio 5 dalyje nurodyta tvarka. Užtikrinimas turi būti taikomas nuo atliekų </w:t>
            </w:r>
            <w:r w:rsidR="007B71A5">
              <w:rPr>
                <w:b/>
                <w:color w:val="000000"/>
                <w:lang w:val="lt-LT" w:eastAsia="lt-LT"/>
              </w:rPr>
              <w:t>tvarkymo</w:t>
            </w:r>
            <w:r w:rsidRPr="00D7759A">
              <w:rPr>
                <w:b/>
                <w:color w:val="000000"/>
                <w:lang w:val="lt-LT" w:eastAsia="lt-LT"/>
              </w:rPr>
              <w:t xml:space="preserve"> veiklos pradžios iki šio Įstatymo</w:t>
            </w:r>
            <w:r>
              <w:rPr>
                <w:b/>
                <w:color w:val="000000"/>
                <w:lang w:val="lt-LT" w:eastAsia="lt-LT"/>
              </w:rPr>
              <w:t xml:space="preserve"> </w:t>
            </w:r>
            <w:r w:rsidRPr="00D7759A">
              <w:rPr>
                <w:b/>
                <w:color w:val="000000"/>
                <w:lang w:val="lt-LT" w:eastAsia="lt-LT"/>
              </w:rPr>
              <w:t xml:space="preserve">6 straipsnyje nurodyto leidimo galiojimo panaikinimo. Įmonė, nepateikusi galiojančio užtikrinimo, ir jos vadovai ar kiti atsakingi asmenys atsako pagal Lietuvos Respublikos aplinkos apsaugos įstatymo ir Lietuvos Respublikos administracinių nusižengimų kodekso nuostatas. </w:t>
            </w:r>
            <w:r w:rsidRPr="00D7759A">
              <w:rPr>
                <w:rFonts w:eastAsia="SimSun"/>
                <w:strike/>
                <w:kern w:val="3"/>
                <w:lang w:val="lt-LT" w:eastAsia="lt-LT" w:bidi="hi-IN"/>
              </w:rPr>
              <w:t xml:space="preserve">Atliekų naudojimo ar šalinimo veiklos nutraukimo </w:t>
            </w:r>
            <w:r w:rsidRPr="00D7759A">
              <w:rPr>
                <w:rFonts w:eastAsia="SimSun"/>
                <w:strike/>
                <w:kern w:val="3"/>
                <w:lang w:val="lt-LT" w:eastAsia="lt-LT" w:bidi="hi-IN"/>
              </w:rPr>
              <w:lastRenderedPageBreak/>
              <w:t>planas nederinamas, jeigu jis neatitinka šio straipsnio 3 dalies nuostatų ir (ar) parengtas nesilaikant</w:t>
            </w:r>
            <w:r w:rsidRPr="00D7759A">
              <w:rPr>
                <w:rFonts w:eastAsia="Calibri"/>
                <w:strike/>
                <w:kern w:val="3"/>
                <w:lang w:val="lt-LT" w:eastAsia="zh-CN" w:bidi="hi-IN"/>
              </w:rPr>
              <w:t xml:space="preserve"> aplinkos ministro nustatytos tvarkos, </w:t>
            </w:r>
            <w:r w:rsidRPr="00D7759A">
              <w:rPr>
                <w:rFonts w:eastAsia="SimSun"/>
                <w:strike/>
                <w:kern w:val="3"/>
                <w:lang w:val="lt-LT" w:eastAsia="lt-LT" w:bidi="hi-IN"/>
              </w:rPr>
              <w:t>ir (ar) ne</w:t>
            </w:r>
            <w:r w:rsidRPr="00D7759A">
              <w:rPr>
                <w:rFonts w:eastAsia="Calibri"/>
                <w:strike/>
                <w:kern w:val="3"/>
                <w:lang w:val="lt-LT" w:eastAsia="zh-CN" w:bidi="hi-IN"/>
              </w:rPr>
              <w:t xml:space="preserve">pateikti visi aplinkos ministro patvirtintame apraše nurodyti dokumentai.  </w:t>
            </w:r>
          </w:p>
          <w:p w:rsidR="00245F51" w:rsidRPr="00245F51" w:rsidRDefault="00892B7D" w:rsidP="00892B7D">
            <w:pPr>
              <w:tabs>
                <w:tab w:val="left" w:pos="567"/>
              </w:tabs>
              <w:rPr>
                <w:bCs/>
                <w:lang w:val="lt-LT"/>
              </w:rPr>
            </w:pPr>
            <w:r>
              <w:rPr>
                <w:bCs/>
                <w:lang w:val="lt-LT"/>
              </w:rPr>
              <w:t xml:space="preserve">                                </w:t>
            </w:r>
            <w:r w:rsidR="008962D0">
              <w:rPr>
                <w:bCs/>
                <w:lang w:val="lt-LT"/>
              </w:rPr>
              <w:t xml:space="preserve">                                          </w:t>
            </w:r>
            <w:r w:rsidR="008962D0" w:rsidRPr="008962D0">
              <w:rPr>
                <w:bCs/>
                <w:lang w:val="lt-LT"/>
              </w:rPr>
              <w:t>&lt;...&gt;</w:t>
            </w:r>
          </w:p>
        </w:tc>
        <w:tc>
          <w:tcPr>
            <w:tcW w:w="1858" w:type="dxa"/>
          </w:tcPr>
          <w:p w:rsidR="008962D0" w:rsidRPr="008962D0" w:rsidRDefault="008962D0" w:rsidP="008962D0">
            <w:pPr>
              <w:pStyle w:val="Header"/>
            </w:pPr>
            <w:r w:rsidRPr="008962D0">
              <w:lastRenderedPageBreak/>
              <w:t>Visiškas</w:t>
            </w:r>
          </w:p>
          <w:p w:rsidR="00245F51" w:rsidRPr="00FB08E8" w:rsidRDefault="00245F51" w:rsidP="00A77D04">
            <w:pPr>
              <w:pStyle w:val="Header"/>
              <w:tabs>
                <w:tab w:val="left" w:pos="567"/>
              </w:tabs>
              <w:snapToGrid w:val="0"/>
              <w:jc w:val="both"/>
              <w:rPr>
                <w:szCs w:val="24"/>
              </w:rPr>
            </w:pPr>
          </w:p>
        </w:tc>
      </w:tr>
    </w:tbl>
    <w:p w:rsidR="001771A9" w:rsidRPr="00FB08E8" w:rsidRDefault="00B26F41" w:rsidP="00892B7D">
      <w:pPr>
        <w:tabs>
          <w:tab w:val="left" w:pos="567"/>
        </w:tabs>
        <w:jc w:val="center"/>
        <w:rPr>
          <w:lang w:val="lt-LT"/>
        </w:rPr>
      </w:pPr>
      <w:r w:rsidRPr="00FB08E8">
        <w:rPr>
          <w:lang w:val="lt-LT"/>
        </w:rPr>
        <w:lastRenderedPageBreak/>
        <w:t>______________</w:t>
      </w:r>
    </w:p>
    <w:sectPr w:rsidR="001771A9" w:rsidRPr="00FB08E8" w:rsidSect="008E36F2">
      <w:headerReference w:type="default" r:id="rId8"/>
      <w:footnotePr>
        <w:pos w:val="beneathText"/>
      </w:footnotePr>
      <w:pgSz w:w="16837" w:h="11905" w:orient="landscape"/>
      <w:pgMar w:top="1418" w:right="567"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6F2" w:rsidRDefault="008E36F2" w:rsidP="008E36F2">
      <w:r>
        <w:separator/>
      </w:r>
    </w:p>
  </w:endnote>
  <w:endnote w:type="continuationSeparator" w:id="0">
    <w:p w:rsidR="008E36F2" w:rsidRDefault="008E36F2" w:rsidP="008E3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HelveticaLT Extended">
    <w:altName w:val="Times New Roman"/>
    <w:charset w:val="00"/>
    <w:family w:val="swiss"/>
    <w:pitch w:val="variable"/>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6F2" w:rsidRDefault="008E36F2" w:rsidP="008E36F2">
      <w:r>
        <w:separator/>
      </w:r>
    </w:p>
  </w:footnote>
  <w:footnote w:type="continuationSeparator" w:id="0">
    <w:p w:rsidR="008E36F2" w:rsidRDefault="008E36F2" w:rsidP="008E36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3277455"/>
      <w:docPartObj>
        <w:docPartGallery w:val="Page Numbers (Top of Page)"/>
        <w:docPartUnique/>
      </w:docPartObj>
    </w:sdtPr>
    <w:sdtEndPr/>
    <w:sdtContent>
      <w:p w:rsidR="008E36F2" w:rsidRDefault="008E36F2">
        <w:pPr>
          <w:pStyle w:val="Header"/>
          <w:jc w:val="center"/>
        </w:pPr>
        <w:r>
          <w:fldChar w:fldCharType="begin"/>
        </w:r>
        <w:r>
          <w:instrText>PAGE   \* MERGEFORMAT</w:instrText>
        </w:r>
        <w:r>
          <w:fldChar w:fldCharType="separate"/>
        </w:r>
        <w:r w:rsidR="000B1424">
          <w:rPr>
            <w:noProof/>
          </w:rPr>
          <w:t>2</w:t>
        </w:r>
        <w:r>
          <w:fldChar w:fldCharType="end"/>
        </w:r>
      </w:p>
    </w:sdtContent>
  </w:sdt>
  <w:p w:rsidR="008E36F2" w:rsidRDefault="008E36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pStyle w:val="Heading1"/>
      <w:suff w:val="nothing"/>
      <w:lvlText w:val=""/>
      <w:lvlJc w:val="left"/>
      <w:pPr>
        <w:tabs>
          <w:tab w:val="num" w:pos="0"/>
        </w:tabs>
      </w:pPr>
    </w:lvl>
    <w:lvl w:ilvl="1">
      <w:start w:val="1"/>
      <w:numFmt w:val="none"/>
      <w:pStyle w:val="Heading2"/>
      <w:suff w:val="nothing"/>
      <w:lvlText w:val=""/>
      <w:lvlJc w:val="left"/>
      <w:pPr>
        <w:tabs>
          <w:tab w:val="num" w:pos="1701"/>
        </w:tabs>
      </w:pPr>
    </w:lvl>
    <w:lvl w:ilvl="2">
      <w:start w:val="1"/>
      <w:numFmt w:val="none"/>
      <w:pStyle w:val="Heading3"/>
      <w:suff w:val="nothing"/>
      <w:lvlText w:val=""/>
      <w:lvlJc w:val="left"/>
      <w:pPr>
        <w:tabs>
          <w:tab w:val="num" w:pos="0"/>
        </w:tabs>
      </w:pPr>
    </w:lvl>
    <w:lvl w:ilvl="3">
      <w:start w:val="1"/>
      <w:numFmt w:val="none"/>
      <w:pStyle w:val="Heading4"/>
      <w:suff w:val="nothing"/>
      <w:lvlText w:val=""/>
      <w:lvlJc w:val="left"/>
      <w:pPr>
        <w:tabs>
          <w:tab w:val="num" w:pos="2138"/>
        </w:tabs>
      </w:pPr>
    </w:lvl>
    <w:lvl w:ilvl="4">
      <w:start w:val="1"/>
      <w:numFmt w:val="decimal"/>
      <w:pStyle w:val="Heading5"/>
      <w:lvlText w:val="()%5"/>
      <w:lvlJc w:val="left"/>
      <w:pPr>
        <w:tabs>
          <w:tab w:val="num" w:pos="3827"/>
        </w:tabs>
      </w:pPr>
    </w:lvl>
    <w:lvl w:ilvl="5">
      <w:start w:val="1"/>
      <w:numFmt w:val="lowerLetter"/>
      <w:pStyle w:val="Heading6"/>
      <w:lvlText w:val="()%6"/>
      <w:lvlJc w:val="left"/>
      <w:pPr>
        <w:tabs>
          <w:tab w:val="num" w:pos="4535"/>
        </w:tabs>
      </w:pPr>
    </w:lvl>
    <w:lvl w:ilvl="6">
      <w:start w:val="1"/>
      <w:numFmt w:val="lowerRoman"/>
      <w:pStyle w:val="Heading7"/>
      <w:lvlText w:val="()%7"/>
      <w:lvlJc w:val="left"/>
      <w:pPr>
        <w:tabs>
          <w:tab w:val="num" w:pos="5243"/>
        </w:tabs>
      </w:pPr>
    </w:lvl>
    <w:lvl w:ilvl="7">
      <w:start w:val="1"/>
      <w:numFmt w:val="lowerLetter"/>
      <w:pStyle w:val="Heading8"/>
      <w:lvlText w:val="()%8"/>
      <w:lvlJc w:val="left"/>
      <w:pPr>
        <w:tabs>
          <w:tab w:val="num" w:pos="5951"/>
        </w:tabs>
      </w:pPr>
    </w:lvl>
    <w:lvl w:ilvl="8">
      <w:start w:val="1"/>
      <w:numFmt w:val="lowerRoman"/>
      <w:pStyle w:val="Heading9"/>
      <w:lvlText w:val="()%9"/>
      <w:lvlJc w:val="left"/>
      <w:pPr>
        <w:tabs>
          <w:tab w:val="num" w:pos="6659"/>
        </w:tabs>
      </w:pPr>
    </w:lvl>
  </w:abstractNum>
  <w:abstractNum w:abstractNumId="1">
    <w:nsid w:val="3C245FA3"/>
    <w:multiLevelType w:val="hybridMultilevel"/>
    <w:tmpl w:val="E8F6E982"/>
    <w:lvl w:ilvl="0" w:tplc="DA9AF9CE">
      <w:start w:val="1"/>
      <w:numFmt w:val="decimal"/>
      <w:lvlText w:val="%1."/>
      <w:lvlJc w:val="left"/>
      <w:pPr>
        <w:ind w:left="1080" w:hanging="360"/>
      </w:pPr>
      <w:rPr>
        <w:rFonts w:hint="default"/>
        <w:b w:val="0"/>
        <w:bCs w:val="0"/>
        <w:strike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3E4B7B4C"/>
    <w:multiLevelType w:val="hybridMultilevel"/>
    <w:tmpl w:val="560463F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586C7D2B"/>
    <w:multiLevelType w:val="hybridMultilevel"/>
    <w:tmpl w:val="948C3A5C"/>
    <w:lvl w:ilvl="0" w:tplc="5CE091F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59932C52"/>
    <w:multiLevelType w:val="hybridMultilevel"/>
    <w:tmpl w:val="C0C24AE6"/>
    <w:lvl w:ilvl="0" w:tplc="7A767F58">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1A9"/>
    <w:rsid w:val="000B1424"/>
    <w:rsid w:val="00110E1B"/>
    <w:rsid w:val="00167B3D"/>
    <w:rsid w:val="001771A9"/>
    <w:rsid w:val="001920F9"/>
    <w:rsid w:val="001B5927"/>
    <w:rsid w:val="002163F0"/>
    <w:rsid w:val="002207EE"/>
    <w:rsid w:val="00245F51"/>
    <w:rsid w:val="002618C6"/>
    <w:rsid w:val="00265920"/>
    <w:rsid w:val="002E0311"/>
    <w:rsid w:val="002E6551"/>
    <w:rsid w:val="00424718"/>
    <w:rsid w:val="005343D5"/>
    <w:rsid w:val="00616DDA"/>
    <w:rsid w:val="00700DDB"/>
    <w:rsid w:val="007A7A5B"/>
    <w:rsid w:val="007B71A5"/>
    <w:rsid w:val="007C363E"/>
    <w:rsid w:val="0086082C"/>
    <w:rsid w:val="00892B7D"/>
    <w:rsid w:val="008962D0"/>
    <w:rsid w:val="008A05FB"/>
    <w:rsid w:val="008A6BE2"/>
    <w:rsid w:val="008E0684"/>
    <w:rsid w:val="008E36F2"/>
    <w:rsid w:val="009027E0"/>
    <w:rsid w:val="009176F5"/>
    <w:rsid w:val="00922B9A"/>
    <w:rsid w:val="009D0859"/>
    <w:rsid w:val="00A77D04"/>
    <w:rsid w:val="00AA21D4"/>
    <w:rsid w:val="00AD65B5"/>
    <w:rsid w:val="00B26F41"/>
    <w:rsid w:val="00B40920"/>
    <w:rsid w:val="00B619B3"/>
    <w:rsid w:val="00B97916"/>
    <w:rsid w:val="00BB69BE"/>
    <w:rsid w:val="00C05A94"/>
    <w:rsid w:val="00D7759A"/>
    <w:rsid w:val="00E21E76"/>
    <w:rsid w:val="00E3585E"/>
    <w:rsid w:val="00EC0BB2"/>
    <w:rsid w:val="00F509AF"/>
    <w:rsid w:val="00F701F1"/>
    <w:rsid w:val="00FB06E3"/>
    <w:rsid w:val="00FB08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szCs w:val="24"/>
      <w:lang w:val="en-GB" w:eastAsia="ar-SA"/>
    </w:rPr>
  </w:style>
  <w:style w:type="paragraph" w:styleId="Heading1">
    <w:name w:val="heading 1"/>
    <w:basedOn w:val="Normal"/>
    <w:next w:val="Normal"/>
    <w:qFormat/>
    <w:pPr>
      <w:keepNext/>
      <w:numPr>
        <w:numId w:val="1"/>
      </w:numPr>
      <w:suppressAutoHyphens w:val="0"/>
      <w:spacing w:after="360"/>
      <w:ind w:left="2421" w:right="1701"/>
      <w:jc w:val="center"/>
      <w:outlineLvl w:val="0"/>
    </w:pPr>
    <w:rPr>
      <w:rFonts w:ascii="HelveticaLT Extended" w:hAnsi="HelveticaLT Extended"/>
      <w:b/>
      <w:caps/>
      <w:kern w:val="1"/>
      <w:szCs w:val="20"/>
      <w:lang w:val="lt-LT"/>
    </w:rPr>
  </w:style>
  <w:style w:type="paragraph" w:styleId="Heading2">
    <w:name w:val="heading 2"/>
    <w:basedOn w:val="Normal"/>
    <w:next w:val="Normal"/>
    <w:qFormat/>
    <w:pPr>
      <w:keepNext/>
      <w:numPr>
        <w:ilvl w:val="1"/>
        <w:numId w:val="1"/>
      </w:numPr>
      <w:suppressAutoHyphens w:val="0"/>
      <w:spacing w:before="240" w:after="120"/>
      <w:ind w:left="2421" w:right="1701"/>
      <w:jc w:val="center"/>
      <w:outlineLvl w:val="1"/>
    </w:pPr>
    <w:rPr>
      <w:rFonts w:ascii="TimesLT" w:hAnsi="TimesLT"/>
      <w:caps/>
      <w:szCs w:val="20"/>
      <w:lang w:val="lt-LT"/>
    </w:rPr>
  </w:style>
  <w:style w:type="paragraph" w:styleId="Heading3">
    <w:name w:val="heading 3"/>
    <w:basedOn w:val="Normal"/>
    <w:next w:val="Normal"/>
    <w:qFormat/>
    <w:pPr>
      <w:keepNext/>
      <w:numPr>
        <w:ilvl w:val="2"/>
        <w:numId w:val="1"/>
      </w:numPr>
      <w:suppressAutoHyphens w:val="0"/>
      <w:spacing w:before="240" w:after="120"/>
      <w:ind w:left="2421" w:right="1701"/>
      <w:jc w:val="center"/>
      <w:outlineLvl w:val="2"/>
    </w:pPr>
    <w:rPr>
      <w:rFonts w:ascii="TimesLT" w:hAnsi="TimesLT"/>
      <w:caps/>
      <w:sz w:val="22"/>
      <w:szCs w:val="20"/>
      <w:lang w:val="lt-LT"/>
    </w:rPr>
  </w:style>
  <w:style w:type="paragraph" w:styleId="Heading4">
    <w:name w:val="heading 4"/>
    <w:basedOn w:val="Normal"/>
    <w:next w:val="Normal"/>
    <w:qFormat/>
    <w:pPr>
      <w:keepNext/>
      <w:numPr>
        <w:ilvl w:val="3"/>
        <w:numId w:val="1"/>
      </w:numPr>
      <w:suppressAutoHyphens w:val="0"/>
      <w:spacing w:before="120" w:line="360" w:lineRule="auto"/>
      <w:ind w:left="2138" w:hanging="1418"/>
      <w:jc w:val="both"/>
      <w:outlineLvl w:val="3"/>
    </w:pPr>
    <w:rPr>
      <w:rFonts w:ascii="TimesLT" w:hAnsi="TimesLT"/>
      <w:b/>
      <w:sz w:val="22"/>
      <w:szCs w:val="20"/>
      <w:lang w:val="lt-LT"/>
    </w:rPr>
  </w:style>
  <w:style w:type="paragraph" w:styleId="Heading5">
    <w:name w:val="heading 5"/>
    <w:basedOn w:val="Normal"/>
    <w:next w:val="Normal"/>
    <w:qFormat/>
    <w:pPr>
      <w:numPr>
        <w:ilvl w:val="4"/>
        <w:numId w:val="1"/>
      </w:numPr>
      <w:suppressAutoHyphens w:val="0"/>
      <w:spacing w:before="240" w:after="60" w:line="360" w:lineRule="auto"/>
      <w:ind w:left="3827" w:hanging="708"/>
      <w:jc w:val="both"/>
      <w:outlineLvl w:val="4"/>
    </w:pPr>
    <w:rPr>
      <w:rFonts w:ascii="Arial" w:hAnsi="Arial"/>
      <w:sz w:val="22"/>
      <w:szCs w:val="20"/>
      <w:lang w:val="lt-LT"/>
    </w:rPr>
  </w:style>
  <w:style w:type="paragraph" w:styleId="Heading6">
    <w:name w:val="heading 6"/>
    <w:basedOn w:val="Normal"/>
    <w:next w:val="Normal"/>
    <w:qFormat/>
    <w:pPr>
      <w:numPr>
        <w:ilvl w:val="5"/>
        <w:numId w:val="1"/>
      </w:numPr>
      <w:suppressAutoHyphens w:val="0"/>
      <w:spacing w:before="240" w:after="60" w:line="360" w:lineRule="auto"/>
      <w:ind w:left="4535" w:hanging="708"/>
      <w:jc w:val="both"/>
      <w:outlineLvl w:val="5"/>
    </w:pPr>
    <w:rPr>
      <w:rFonts w:ascii="Arial" w:hAnsi="Arial"/>
      <w:i/>
      <w:sz w:val="22"/>
      <w:szCs w:val="20"/>
      <w:lang w:val="lt-LT"/>
    </w:rPr>
  </w:style>
  <w:style w:type="paragraph" w:styleId="Heading7">
    <w:name w:val="heading 7"/>
    <w:basedOn w:val="Normal"/>
    <w:next w:val="Normal"/>
    <w:qFormat/>
    <w:pPr>
      <w:numPr>
        <w:ilvl w:val="6"/>
        <w:numId w:val="1"/>
      </w:numPr>
      <w:suppressAutoHyphens w:val="0"/>
      <w:spacing w:before="240" w:after="60" w:line="360" w:lineRule="auto"/>
      <w:ind w:left="5243" w:hanging="708"/>
      <w:jc w:val="both"/>
      <w:outlineLvl w:val="6"/>
    </w:pPr>
    <w:rPr>
      <w:rFonts w:ascii="Arial" w:hAnsi="Arial"/>
      <w:sz w:val="20"/>
      <w:szCs w:val="20"/>
      <w:lang w:val="lt-LT"/>
    </w:rPr>
  </w:style>
  <w:style w:type="paragraph" w:styleId="Heading8">
    <w:name w:val="heading 8"/>
    <w:basedOn w:val="Normal"/>
    <w:next w:val="Normal"/>
    <w:qFormat/>
    <w:pPr>
      <w:numPr>
        <w:ilvl w:val="7"/>
        <w:numId w:val="1"/>
      </w:numPr>
      <w:suppressAutoHyphens w:val="0"/>
      <w:spacing w:before="240" w:after="60" w:line="360" w:lineRule="auto"/>
      <w:ind w:left="5951" w:hanging="708"/>
      <w:jc w:val="both"/>
      <w:outlineLvl w:val="7"/>
    </w:pPr>
    <w:rPr>
      <w:rFonts w:ascii="Arial" w:hAnsi="Arial"/>
      <w:i/>
      <w:sz w:val="20"/>
      <w:szCs w:val="20"/>
      <w:lang w:val="lt-LT"/>
    </w:rPr>
  </w:style>
  <w:style w:type="paragraph" w:styleId="Heading9">
    <w:name w:val="heading 9"/>
    <w:basedOn w:val="Normal"/>
    <w:next w:val="Normal"/>
    <w:qFormat/>
    <w:pPr>
      <w:numPr>
        <w:ilvl w:val="8"/>
        <w:numId w:val="1"/>
      </w:numPr>
      <w:suppressAutoHyphens w:val="0"/>
      <w:spacing w:before="240" w:after="60" w:line="360" w:lineRule="auto"/>
      <w:ind w:left="6659" w:hanging="708"/>
      <w:jc w:val="both"/>
      <w:outlineLvl w:val="8"/>
    </w:pPr>
    <w:rPr>
      <w:rFonts w:ascii="Arial" w:hAnsi="Arial"/>
      <w:i/>
      <w:sz w:val="18"/>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styleId="Hyperlink">
    <w:name w:val="Hyperlink"/>
    <w:rPr>
      <w:color w:val="0000FF"/>
      <w:u w:val="single"/>
    </w:rPr>
  </w:style>
  <w:style w:type="character" w:styleId="Emphasis">
    <w:name w:val="Emphasis"/>
    <w:qFormat/>
    <w:rPr>
      <w:i/>
      <w:iCs/>
    </w:rPr>
  </w:style>
  <w:style w:type="character" w:customStyle="1" w:styleId="Typewriter">
    <w:name w:val="Typewriter"/>
    <w:rPr>
      <w:rFonts w:ascii="Courier New" w:hAnsi="Courier New"/>
      <w:sz w:val="20"/>
    </w:rPr>
  </w:style>
  <w:style w:type="character" w:customStyle="1" w:styleId="WW-FootnoteCharacters">
    <w:name w:val="WW-Footnote Characters"/>
    <w:rPr>
      <w:b/>
      <w:vertAlign w:val="superscript"/>
    </w:rPr>
  </w:style>
  <w:style w:type="character" w:customStyle="1" w:styleId="FootnoteCharacters">
    <w:name w:val="Footnote Characters"/>
  </w:style>
  <w:style w:type="character" w:styleId="FootnoteReference">
    <w:name w:val="footnote reference"/>
    <w:semiHidden/>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semiHidden/>
    <w:rPr>
      <w:vertAlign w:val="superscript"/>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link w:val="HeaderChar"/>
    <w:uiPriority w:val="99"/>
    <w:pPr>
      <w:tabs>
        <w:tab w:val="center" w:pos="4153"/>
        <w:tab w:val="right" w:pos="8306"/>
      </w:tabs>
    </w:pPr>
    <w:rPr>
      <w:szCs w:val="20"/>
      <w:lang w:val="lt-LT"/>
    </w:rPr>
  </w:style>
  <w:style w:type="paragraph" w:styleId="NormalWeb">
    <w:name w:val="Normal (Web)"/>
    <w:basedOn w:val="Normal"/>
    <w:pPr>
      <w:suppressAutoHyphens w:val="0"/>
      <w:spacing w:before="280" w:after="119"/>
    </w:pPr>
    <w:rPr>
      <w:rFonts w:ascii="Arial Unicode MS" w:hAnsi="Arial Unicode MS"/>
    </w:rPr>
  </w:style>
  <w:style w:type="paragraph" w:styleId="BodyText2">
    <w:name w:val="Body Text 2"/>
    <w:basedOn w:val="Normal"/>
    <w:pPr>
      <w:jc w:val="both"/>
    </w:pPr>
    <w:rPr>
      <w:sz w:val="20"/>
      <w:lang w:val="lt-LT"/>
    </w:rPr>
  </w:style>
  <w:style w:type="paragraph" w:customStyle="1" w:styleId="istatymas">
    <w:name w:val="istatymas"/>
    <w:basedOn w:val="Normal"/>
    <w:pPr>
      <w:suppressAutoHyphens w:val="0"/>
      <w:spacing w:before="280" w:after="280"/>
    </w:pPr>
    <w:rPr>
      <w:rFonts w:ascii="Arial Unicode MS" w:hAnsi="Arial Unicode MS"/>
    </w:rPr>
  </w:style>
  <w:style w:type="paragraph" w:customStyle="1" w:styleId="WW-BodyText3">
    <w:name w:val="WW-Body Text 3"/>
    <w:basedOn w:val="Normal"/>
    <w:pPr>
      <w:jc w:val="center"/>
    </w:pPr>
    <w:rPr>
      <w:b/>
      <w:szCs w:val="20"/>
      <w:lang w:val="lt-LT"/>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rPr>
  </w:style>
  <w:style w:type="paragraph" w:customStyle="1" w:styleId="bodytext0">
    <w:name w:val="bodytext"/>
    <w:basedOn w:val="Normal"/>
    <w:pPr>
      <w:suppressAutoHyphens w:val="0"/>
      <w:spacing w:before="280" w:after="280"/>
    </w:pPr>
    <w:rPr>
      <w:lang w:val="ru-RU"/>
    </w:rPr>
  </w:style>
  <w:style w:type="paragraph" w:customStyle="1" w:styleId="x">
    <w:name w:val="x"/>
    <w:basedOn w:val="Normal"/>
    <w:pPr>
      <w:suppressAutoHyphens w:val="0"/>
      <w:spacing w:before="280" w:after="280"/>
    </w:pPr>
    <w:rPr>
      <w:lang w:val="ru-RU"/>
    </w:rPr>
  </w:style>
  <w:style w:type="paragraph" w:styleId="BodyTextIndent">
    <w:name w:val="Body Text Indent"/>
    <w:basedOn w:val="Normal"/>
    <w:pPr>
      <w:spacing w:after="120"/>
      <w:ind w:left="283"/>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customStyle="1" w:styleId="Titrearticle">
    <w:name w:val="Titre article"/>
    <w:basedOn w:val="Normal"/>
    <w:next w:val="Normal"/>
    <w:pPr>
      <w:keepNext/>
      <w:spacing w:before="360" w:after="120"/>
      <w:jc w:val="center"/>
    </w:pPr>
    <w:rPr>
      <w:i/>
    </w:r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styleId="FootnoteText">
    <w:name w:val="footnote text"/>
    <w:basedOn w:val="Normal"/>
    <w:semiHidden/>
    <w:pPr>
      <w:suppressLineNumbers/>
      <w:ind w:left="283" w:hanging="283"/>
    </w:pPr>
    <w:rPr>
      <w:sz w:val="20"/>
      <w:szCs w:val="20"/>
    </w:rPr>
  </w:style>
  <w:style w:type="paragraph" w:customStyle="1" w:styleId="Text1">
    <w:name w:val="Text 1"/>
    <w:basedOn w:val="Normal"/>
    <w:pPr>
      <w:ind w:left="850"/>
    </w:pPr>
  </w:style>
  <w:style w:type="paragraph" w:customStyle="1" w:styleId="NormalCentered">
    <w:name w:val="Normal Centered"/>
    <w:basedOn w:val="Normal"/>
    <w:pPr>
      <w:jc w:val="center"/>
    </w:pPr>
  </w:style>
  <w:style w:type="paragraph" w:customStyle="1" w:styleId="Annexetitreacte">
    <w:name w:val="Annexe titre (acte)"/>
    <w:basedOn w:val="Normal"/>
    <w:next w:val="Normal"/>
    <w:pPr>
      <w:jc w:val="center"/>
    </w:pPr>
    <w:rPr>
      <w:b/>
      <w:u w:val="single"/>
    </w:rPr>
  </w:style>
  <w:style w:type="paragraph" w:customStyle="1" w:styleId="Lignefinal">
    <w:name w:val="Ligne final"/>
    <w:basedOn w:val="Normal"/>
    <w:next w:val="Normal"/>
    <w:pPr>
      <w:pBdr>
        <w:bottom w:val="single" w:sz="4" w:space="0" w:color="000000"/>
      </w:pBdr>
      <w:spacing w:before="720" w:after="360"/>
      <w:ind w:left="3400" w:right="3400"/>
      <w:jc w:val="center"/>
    </w:pPr>
    <w:rPr>
      <w:b/>
    </w:rPr>
  </w:style>
  <w:style w:type="character" w:customStyle="1" w:styleId="WW-FootnoteCharacters111111">
    <w:name w:val="WW-Footnote Characters111111"/>
  </w:style>
  <w:style w:type="paragraph" w:styleId="BodyTextIndent2">
    <w:name w:val="Body Text Indent 2"/>
    <w:basedOn w:val="Normal"/>
    <w:pPr>
      <w:spacing w:after="120"/>
      <w:ind w:firstLine="426"/>
      <w:jc w:val="both"/>
    </w:pPr>
    <w:rPr>
      <w:lang w:val="lt-LT"/>
    </w:rPr>
  </w:style>
  <w:style w:type="paragraph" w:styleId="BodyTextIndent3">
    <w:name w:val="Body Text Indent 3"/>
    <w:basedOn w:val="Normal"/>
    <w:pPr>
      <w:autoSpaceDE w:val="0"/>
      <w:autoSpaceDN w:val="0"/>
      <w:adjustRightInd w:val="0"/>
      <w:spacing w:after="120"/>
      <w:ind w:firstLine="312"/>
      <w:jc w:val="both"/>
    </w:pPr>
  </w:style>
  <w:style w:type="paragraph" w:styleId="BodyText3">
    <w:name w:val="Body Text 3"/>
    <w:basedOn w:val="Normal"/>
    <w:pPr>
      <w:jc w:val="both"/>
    </w:pPr>
    <w:rPr>
      <w:i/>
      <w:iCs/>
    </w:rPr>
  </w:style>
  <w:style w:type="paragraph" w:customStyle="1" w:styleId="ISTATYMAS0">
    <w:name w:val="ISTATYMAS"/>
    <w:pPr>
      <w:suppressAutoHyphens/>
      <w:autoSpaceDE w:val="0"/>
      <w:jc w:val="center"/>
    </w:pPr>
    <w:rPr>
      <w:rFonts w:ascii="TimesLT" w:eastAsia="Arial" w:hAnsi="TimesLT"/>
      <w:lang w:val="en-US" w:eastAsia="ar-SA"/>
    </w:rPr>
  </w:style>
  <w:style w:type="paragraph" w:customStyle="1" w:styleId="WW-BodyText2">
    <w:name w:val="WW-Body Text 2"/>
    <w:basedOn w:val="Normal"/>
    <w:pPr>
      <w:spacing w:line="360" w:lineRule="auto"/>
      <w:jc w:val="both"/>
    </w:pPr>
    <w:rPr>
      <w:szCs w:val="20"/>
    </w:rPr>
  </w:style>
  <w:style w:type="paragraph" w:customStyle="1" w:styleId="nuo">
    <w:name w:val="?nuo"/>
    <w:pPr>
      <w:widowControl w:val="0"/>
      <w:suppressAutoHyphens/>
    </w:pPr>
    <w:rPr>
      <w:rFonts w:ascii="TimesLT" w:hAnsi="TimesLT"/>
      <w:spacing w:val="-1"/>
      <w:kern w:val="1"/>
      <w:sz w:val="24"/>
      <w:lang w:val="en-US"/>
    </w:rPr>
  </w:style>
  <w:style w:type="paragraph" w:styleId="BalloonText">
    <w:name w:val="Balloon Text"/>
    <w:basedOn w:val="Normal"/>
    <w:semiHidden/>
    <w:rsid w:val="001771A9"/>
    <w:rPr>
      <w:rFonts w:ascii="Tahoma" w:hAnsi="Tahoma" w:cs="Tahoma"/>
      <w:sz w:val="16"/>
      <w:szCs w:val="16"/>
    </w:rPr>
  </w:style>
  <w:style w:type="character" w:styleId="CommentReference">
    <w:name w:val="annotation reference"/>
    <w:semiHidden/>
    <w:rsid w:val="002E6551"/>
    <w:rPr>
      <w:sz w:val="16"/>
      <w:szCs w:val="16"/>
    </w:rPr>
  </w:style>
  <w:style w:type="paragraph" w:styleId="CommentText">
    <w:name w:val="annotation text"/>
    <w:basedOn w:val="Normal"/>
    <w:semiHidden/>
    <w:rsid w:val="002E6551"/>
    <w:rPr>
      <w:sz w:val="20"/>
      <w:szCs w:val="20"/>
    </w:rPr>
  </w:style>
  <w:style w:type="paragraph" w:styleId="CommentSubject">
    <w:name w:val="annotation subject"/>
    <w:basedOn w:val="CommentText"/>
    <w:next w:val="CommentText"/>
    <w:semiHidden/>
    <w:rsid w:val="002E6551"/>
    <w:rPr>
      <w:b/>
      <w:bCs/>
    </w:r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Normal"/>
    <w:rsid w:val="00B40920"/>
    <w:pPr>
      <w:suppressAutoHyphens w:val="0"/>
      <w:spacing w:after="160" w:line="240" w:lineRule="exact"/>
    </w:pPr>
    <w:rPr>
      <w:rFonts w:ascii="Tahoma" w:hAnsi="Tahoma"/>
      <w:sz w:val="20"/>
      <w:szCs w:val="20"/>
      <w:lang w:val="en-US" w:eastAsia="en-US"/>
    </w:rPr>
  </w:style>
  <w:style w:type="paragraph" w:styleId="ListParagraph">
    <w:name w:val="List Paragraph"/>
    <w:basedOn w:val="Normal"/>
    <w:uiPriority w:val="34"/>
    <w:qFormat/>
    <w:rsid w:val="00245F51"/>
    <w:pPr>
      <w:ind w:left="720"/>
      <w:contextualSpacing/>
    </w:pPr>
  </w:style>
  <w:style w:type="paragraph" w:styleId="Revision">
    <w:name w:val="Revision"/>
    <w:hidden/>
    <w:uiPriority w:val="99"/>
    <w:semiHidden/>
    <w:rsid w:val="00167B3D"/>
    <w:rPr>
      <w:sz w:val="24"/>
      <w:szCs w:val="24"/>
      <w:lang w:val="en-GB" w:eastAsia="ar-SA"/>
    </w:rPr>
  </w:style>
  <w:style w:type="paragraph" w:styleId="Footer">
    <w:name w:val="footer"/>
    <w:basedOn w:val="Normal"/>
    <w:link w:val="FooterChar"/>
    <w:rsid w:val="008E36F2"/>
    <w:pPr>
      <w:tabs>
        <w:tab w:val="center" w:pos="4819"/>
        <w:tab w:val="right" w:pos="9638"/>
      </w:tabs>
    </w:pPr>
  </w:style>
  <w:style w:type="character" w:customStyle="1" w:styleId="FooterChar">
    <w:name w:val="Footer Char"/>
    <w:basedOn w:val="DefaultParagraphFont"/>
    <w:link w:val="Footer"/>
    <w:rsid w:val="008E36F2"/>
    <w:rPr>
      <w:sz w:val="24"/>
      <w:szCs w:val="24"/>
      <w:lang w:val="en-GB" w:eastAsia="ar-SA"/>
    </w:rPr>
  </w:style>
  <w:style w:type="character" w:customStyle="1" w:styleId="HeaderChar">
    <w:name w:val="Header Char"/>
    <w:basedOn w:val="DefaultParagraphFont"/>
    <w:link w:val="Header"/>
    <w:uiPriority w:val="99"/>
    <w:rsid w:val="008E36F2"/>
    <w:rPr>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szCs w:val="24"/>
      <w:lang w:val="en-GB" w:eastAsia="ar-SA"/>
    </w:rPr>
  </w:style>
  <w:style w:type="paragraph" w:styleId="Heading1">
    <w:name w:val="heading 1"/>
    <w:basedOn w:val="Normal"/>
    <w:next w:val="Normal"/>
    <w:qFormat/>
    <w:pPr>
      <w:keepNext/>
      <w:numPr>
        <w:numId w:val="1"/>
      </w:numPr>
      <w:suppressAutoHyphens w:val="0"/>
      <w:spacing w:after="360"/>
      <w:ind w:left="2421" w:right="1701"/>
      <w:jc w:val="center"/>
      <w:outlineLvl w:val="0"/>
    </w:pPr>
    <w:rPr>
      <w:rFonts w:ascii="HelveticaLT Extended" w:hAnsi="HelveticaLT Extended"/>
      <w:b/>
      <w:caps/>
      <w:kern w:val="1"/>
      <w:szCs w:val="20"/>
      <w:lang w:val="lt-LT"/>
    </w:rPr>
  </w:style>
  <w:style w:type="paragraph" w:styleId="Heading2">
    <w:name w:val="heading 2"/>
    <w:basedOn w:val="Normal"/>
    <w:next w:val="Normal"/>
    <w:qFormat/>
    <w:pPr>
      <w:keepNext/>
      <w:numPr>
        <w:ilvl w:val="1"/>
        <w:numId w:val="1"/>
      </w:numPr>
      <w:suppressAutoHyphens w:val="0"/>
      <w:spacing w:before="240" w:after="120"/>
      <w:ind w:left="2421" w:right="1701"/>
      <w:jc w:val="center"/>
      <w:outlineLvl w:val="1"/>
    </w:pPr>
    <w:rPr>
      <w:rFonts w:ascii="TimesLT" w:hAnsi="TimesLT"/>
      <w:caps/>
      <w:szCs w:val="20"/>
      <w:lang w:val="lt-LT"/>
    </w:rPr>
  </w:style>
  <w:style w:type="paragraph" w:styleId="Heading3">
    <w:name w:val="heading 3"/>
    <w:basedOn w:val="Normal"/>
    <w:next w:val="Normal"/>
    <w:qFormat/>
    <w:pPr>
      <w:keepNext/>
      <w:numPr>
        <w:ilvl w:val="2"/>
        <w:numId w:val="1"/>
      </w:numPr>
      <w:suppressAutoHyphens w:val="0"/>
      <w:spacing w:before="240" w:after="120"/>
      <w:ind w:left="2421" w:right="1701"/>
      <w:jc w:val="center"/>
      <w:outlineLvl w:val="2"/>
    </w:pPr>
    <w:rPr>
      <w:rFonts w:ascii="TimesLT" w:hAnsi="TimesLT"/>
      <w:caps/>
      <w:sz w:val="22"/>
      <w:szCs w:val="20"/>
      <w:lang w:val="lt-LT"/>
    </w:rPr>
  </w:style>
  <w:style w:type="paragraph" w:styleId="Heading4">
    <w:name w:val="heading 4"/>
    <w:basedOn w:val="Normal"/>
    <w:next w:val="Normal"/>
    <w:qFormat/>
    <w:pPr>
      <w:keepNext/>
      <w:numPr>
        <w:ilvl w:val="3"/>
        <w:numId w:val="1"/>
      </w:numPr>
      <w:suppressAutoHyphens w:val="0"/>
      <w:spacing w:before="120" w:line="360" w:lineRule="auto"/>
      <w:ind w:left="2138" w:hanging="1418"/>
      <w:jc w:val="both"/>
      <w:outlineLvl w:val="3"/>
    </w:pPr>
    <w:rPr>
      <w:rFonts w:ascii="TimesLT" w:hAnsi="TimesLT"/>
      <w:b/>
      <w:sz w:val="22"/>
      <w:szCs w:val="20"/>
      <w:lang w:val="lt-LT"/>
    </w:rPr>
  </w:style>
  <w:style w:type="paragraph" w:styleId="Heading5">
    <w:name w:val="heading 5"/>
    <w:basedOn w:val="Normal"/>
    <w:next w:val="Normal"/>
    <w:qFormat/>
    <w:pPr>
      <w:numPr>
        <w:ilvl w:val="4"/>
        <w:numId w:val="1"/>
      </w:numPr>
      <w:suppressAutoHyphens w:val="0"/>
      <w:spacing w:before="240" w:after="60" w:line="360" w:lineRule="auto"/>
      <w:ind w:left="3827" w:hanging="708"/>
      <w:jc w:val="both"/>
      <w:outlineLvl w:val="4"/>
    </w:pPr>
    <w:rPr>
      <w:rFonts w:ascii="Arial" w:hAnsi="Arial"/>
      <w:sz w:val="22"/>
      <w:szCs w:val="20"/>
      <w:lang w:val="lt-LT"/>
    </w:rPr>
  </w:style>
  <w:style w:type="paragraph" w:styleId="Heading6">
    <w:name w:val="heading 6"/>
    <w:basedOn w:val="Normal"/>
    <w:next w:val="Normal"/>
    <w:qFormat/>
    <w:pPr>
      <w:numPr>
        <w:ilvl w:val="5"/>
        <w:numId w:val="1"/>
      </w:numPr>
      <w:suppressAutoHyphens w:val="0"/>
      <w:spacing w:before="240" w:after="60" w:line="360" w:lineRule="auto"/>
      <w:ind w:left="4535" w:hanging="708"/>
      <w:jc w:val="both"/>
      <w:outlineLvl w:val="5"/>
    </w:pPr>
    <w:rPr>
      <w:rFonts w:ascii="Arial" w:hAnsi="Arial"/>
      <w:i/>
      <w:sz w:val="22"/>
      <w:szCs w:val="20"/>
      <w:lang w:val="lt-LT"/>
    </w:rPr>
  </w:style>
  <w:style w:type="paragraph" w:styleId="Heading7">
    <w:name w:val="heading 7"/>
    <w:basedOn w:val="Normal"/>
    <w:next w:val="Normal"/>
    <w:qFormat/>
    <w:pPr>
      <w:numPr>
        <w:ilvl w:val="6"/>
        <w:numId w:val="1"/>
      </w:numPr>
      <w:suppressAutoHyphens w:val="0"/>
      <w:spacing w:before="240" w:after="60" w:line="360" w:lineRule="auto"/>
      <w:ind w:left="5243" w:hanging="708"/>
      <w:jc w:val="both"/>
      <w:outlineLvl w:val="6"/>
    </w:pPr>
    <w:rPr>
      <w:rFonts w:ascii="Arial" w:hAnsi="Arial"/>
      <w:sz w:val="20"/>
      <w:szCs w:val="20"/>
      <w:lang w:val="lt-LT"/>
    </w:rPr>
  </w:style>
  <w:style w:type="paragraph" w:styleId="Heading8">
    <w:name w:val="heading 8"/>
    <w:basedOn w:val="Normal"/>
    <w:next w:val="Normal"/>
    <w:qFormat/>
    <w:pPr>
      <w:numPr>
        <w:ilvl w:val="7"/>
        <w:numId w:val="1"/>
      </w:numPr>
      <w:suppressAutoHyphens w:val="0"/>
      <w:spacing w:before="240" w:after="60" w:line="360" w:lineRule="auto"/>
      <w:ind w:left="5951" w:hanging="708"/>
      <w:jc w:val="both"/>
      <w:outlineLvl w:val="7"/>
    </w:pPr>
    <w:rPr>
      <w:rFonts w:ascii="Arial" w:hAnsi="Arial"/>
      <w:i/>
      <w:sz w:val="20"/>
      <w:szCs w:val="20"/>
      <w:lang w:val="lt-LT"/>
    </w:rPr>
  </w:style>
  <w:style w:type="paragraph" w:styleId="Heading9">
    <w:name w:val="heading 9"/>
    <w:basedOn w:val="Normal"/>
    <w:next w:val="Normal"/>
    <w:qFormat/>
    <w:pPr>
      <w:numPr>
        <w:ilvl w:val="8"/>
        <w:numId w:val="1"/>
      </w:numPr>
      <w:suppressAutoHyphens w:val="0"/>
      <w:spacing w:before="240" w:after="60" w:line="360" w:lineRule="auto"/>
      <w:ind w:left="6659" w:hanging="708"/>
      <w:jc w:val="both"/>
      <w:outlineLvl w:val="8"/>
    </w:pPr>
    <w:rPr>
      <w:rFonts w:ascii="Arial" w:hAnsi="Arial"/>
      <w:i/>
      <w:sz w:val="18"/>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styleId="Hyperlink">
    <w:name w:val="Hyperlink"/>
    <w:rPr>
      <w:color w:val="0000FF"/>
      <w:u w:val="single"/>
    </w:rPr>
  </w:style>
  <w:style w:type="character" w:styleId="Emphasis">
    <w:name w:val="Emphasis"/>
    <w:qFormat/>
    <w:rPr>
      <w:i/>
      <w:iCs/>
    </w:rPr>
  </w:style>
  <w:style w:type="character" w:customStyle="1" w:styleId="Typewriter">
    <w:name w:val="Typewriter"/>
    <w:rPr>
      <w:rFonts w:ascii="Courier New" w:hAnsi="Courier New"/>
      <w:sz w:val="20"/>
    </w:rPr>
  </w:style>
  <w:style w:type="character" w:customStyle="1" w:styleId="WW-FootnoteCharacters">
    <w:name w:val="WW-Footnote Characters"/>
    <w:rPr>
      <w:b/>
      <w:vertAlign w:val="superscript"/>
    </w:rPr>
  </w:style>
  <w:style w:type="character" w:customStyle="1" w:styleId="FootnoteCharacters">
    <w:name w:val="Footnote Characters"/>
  </w:style>
  <w:style w:type="character" w:styleId="FootnoteReference">
    <w:name w:val="footnote reference"/>
    <w:semiHidden/>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semiHidden/>
    <w:rPr>
      <w:vertAlign w:val="superscript"/>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link w:val="HeaderChar"/>
    <w:uiPriority w:val="99"/>
    <w:pPr>
      <w:tabs>
        <w:tab w:val="center" w:pos="4153"/>
        <w:tab w:val="right" w:pos="8306"/>
      </w:tabs>
    </w:pPr>
    <w:rPr>
      <w:szCs w:val="20"/>
      <w:lang w:val="lt-LT"/>
    </w:rPr>
  </w:style>
  <w:style w:type="paragraph" w:styleId="NormalWeb">
    <w:name w:val="Normal (Web)"/>
    <w:basedOn w:val="Normal"/>
    <w:pPr>
      <w:suppressAutoHyphens w:val="0"/>
      <w:spacing w:before="280" w:after="119"/>
    </w:pPr>
    <w:rPr>
      <w:rFonts w:ascii="Arial Unicode MS" w:hAnsi="Arial Unicode MS"/>
    </w:rPr>
  </w:style>
  <w:style w:type="paragraph" w:styleId="BodyText2">
    <w:name w:val="Body Text 2"/>
    <w:basedOn w:val="Normal"/>
    <w:pPr>
      <w:jc w:val="both"/>
    </w:pPr>
    <w:rPr>
      <w:sz w:val="20"/>
      <w:lang w:val="lt-LT"/>
    </w:rPr>
  </w:style>
  <w:style w:type="paragraph" w:customStyle="1" w:styleId="istatymas">
    <w:name w:val="istatymas"/>
    <w:basedOn w:val="Normal"/>
    <w:pPr>
      <w:suppressAutoHyphens w:val="0"/>
      <w:spacing w:before="280" w:after="280"/>
    </w:pPr>
    <w:rPr>
      <w:rFonts w:ascii="Arial Unicode MS" w:hAnsi="Arial Unicode MS"/>
    </w:rPr>
  </w:style>
  <w:style w:type="paragraph" w:customStyle="1" w:styleId="WW-BodyText3">
    <w:name w:val="WW-Body Text 3"/>
    <w:basedOn w:val="Normal"/>
    <w:pPr>
      <w:jc w:val="center"/>
    </w:pPr>
    <w:rPr>
      <w:b/>
      <w:szCs w:val="20"/>
      <w:lang w:val="lt-LT"/>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rPr>
  </w:style>
  <w:style w:type="paragraph" w:customStyle="1" w:styleId="bodytext0">
    <w:name w:val="bodytext"/>
    <w:basedOn w:val="Normal"/>
    <w:pPr>
      <w:suppressAutoHyphens w:val="0"/>
      <w:spacing w:before="280" w:after="280"/>
    </w:pPr>
    <w:rPr>
      <w:lang w:val="ru-RU"/>
    </w:rPr>
  </w:style>
  <w:style w:type="paragraph" w:customStyle="1" w:styleId="x">
    <w:name w:val="x"/>
    <w:basedOn w:val="Normal"/>
    <w:pPr>
      <w:suppressAutoHyphens w:val="0"/>
      <w:spacing w:before="280" w:after="280"/>
    </w:pPr>
    <w:rPr>
      <w:lang w:val="ru-RU"/>
    </w:rPr>
  </w:style>
  <w:style w:type="paragraph" w:styleId="BodyTextIndent">
    <w:name w:val="Body Text Indent"/>
    <w:basedOn w:val="Normal"/>
    <w:pPr>
      <w:spacing w:after="120"/>
      <w:ind w:left="283"/>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customStyle="1" w:styleId="Titrearticle">
    <w:name w:val="Titre article"/>
    <w:basedOn w:val="Normal"/>
    <w:next w:val="Normal"/>
    <w:pPr>
      <w:keepNext/>
      <w:spacing w:before="360" w:after="120"/>
      <w:jc w:val="center"/>
    </w:pPr>
    <w:rPr>
      <w:i/>
    </w:r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styleId="FootnoteText">
    <w:name w:val="footnote text"/>
    <w:basedOn w:val="Normal"/>
    <w:semiHidden/>
    <w:pPr>
      <w:suppressLineNumbers/>
      <w:ind w:left="283" w:hanging="283"/>
    </w:pPr>
    <w:rPr>
      <w:sz w:val="20"/>
      <w:szCs w:val="20"/>
    </w:rPr>
  </w:style>
  <w:style w:type="paragraph" w:customStyle="1" w:styleId="Text1">
    <w:name w:val="Text 1"/>
    <w:basedOn w:val="Normal"/>
    <w:pPr>
      <w:ind w:left="850"/>
    </w:pPr>
  </w:style>
  <w:style w:type="paragraph" w:customStyle="1" w:styleId="NormalCentered">
    <w:name w:val="Normal Centered"/>
    <w:basedOn w:val="Normal"/>
    <w:pPr>
      <w:jc w:val="center"/>
    </w:pPr>
  </w:style>
  <w:style w:type="paragraph" w:customStyle="1" w:styleId="Annexetitreacte">
    <w:name w:val="Annexe titre (acte)"/>
    <w:basedOn w:val="Normal"/>
    <w:next w:val="Normal"/>
    <w:pPr>
      <w:jc w:val="center"/>
    </w:pPr>
    <w:rPr>
      <w:b/>
      <w:u w:val="single"/>
    </w:rPr>
  </w:style>
  <w:style w:type="paragraph" w:customStyle="1" w:styleId="Lignefinal">
    <w:name w:val="Ligne final"/>
    <w:basedOn w:val="Normal"/>
    <w:next w:val="Normal"/>
    <w:pPr>
      <w:pBdr>
        <w:bottom w:val="single" w:sz="4" w:space="0" w:color="000000"/>
      </w:pBdr>
      <w:spacing w:before="720" w:after="360"/>
      <w:ind w:left="3400" w:right="3400"/>
      <w:jc w:val="center"/>
    </w:pPr>
    <w:rPr>
      <w:b/>
    </w:rPr>
  </w:style>
  <w:style w:type="character" w:customStyle="1" w:styleId="WW-FootnoteCharacters111111">
    <w:name w:val="WW-Footnote Characters111111"/>
  </w:style>
  <w:style w:type="paragraph" w:styleId="BodyTextIndent2">
    <w:name w:val="Body Text Indent 2"/>
    <w:basedOn w:val="Normal"/>
    <w:pPr>
      <w:spacing w:after="120"/>
      <w:ind w:firstLine="426"/>
      <w:jc w:val="both"/>
    </w:pPr>
    <w:rPr>
      <w:lang w:val="lt-LT"/>
    </w:rPr>
  </w:style>
  <w:style w:type="paragraph" w:styleId="BodyTextIndent3">
    <w:name w:val="Body Text Indent 3"/>
    <w:basedOn w:val="Normal"/>
    <w:pPr>
      <w:autoSpaceDE w:val="0"/>
      <w:autoSpaceDN w:val="0"/>
      <w:adjustRightInd w:val="0"/>
      <w:spacing w:after="120"/>
      <w:ind w:firstLine="312"/>
      <w:jc w:val="both"/>
    </w:pPr>
  </w:style>
  <w:style w:type="paragraph" w:styleId="BodyText3">
    <w:name w:val="Body Text 3"/>
    <w:basedOn w:val="Normal"/>
    <w:pPr>
      <w:jc w:val="both"/>
    </w:pPr>
    <w:rPr>
      <w:i/>
      <w:iCs/>
    </w:rPr>
  </w:style>
  <w:style w:type="paragraph" w:customStyle="1" w:styleId="ISTATYMAS0">
    <w:name w:val="ISTATYMAS"/>
    <w:pPr>
      <w:suppressAutoHyphens/>
      <w:autoSpaceDE w:val="0"/>
      <w:jc w:val="center"/>
    </w:pPr>
    <w:rPr>
      <w:rFonts w:ascii="TimesLT" w:eastAsia="Arial" w:hAnsi="TimesLT"/>
      <w:lang w:val="en-US" w:eastAsia="ar-SA"/>
    </w:rPr>
  </w:style>
  <w:style w:type="paragraph" w:customStyle="1" w:styleId="WW-BodyText2">
    <w:name w:val="WW-Body Text 2"/>
    <w:basedOn w:val="Normal"/>
    <w:pPr>
      <w:spacing w:line="360" w:lineRule="auto"/>
      <w:jc w:val="both"/>
    </w:pPr>
    <w:rPr>
      <w:szCs w:val="20"/>
    </w:rPr>
  </w:style>
  <w:style w:type="paragraph" w:customStyle="1" w:styleId="nuo">
    <w:name w:val="?nuo"/>
    <w:pPr>
      <w:widowControl w:val="0"/>
      <w:suppressAutoHyphens/>
    </w:pPr>
    <w:rPr>
      <w:rFonts w:ascii="TimesLT" w:hAnsi="TimesLT"/>
      <w:spacing w:val="-1"/>
      <w:kern w:val="1"/>
      <w:sz w:val="24"/>
      <w:lang w:val="en-US"/>
    </w:rPr>
  </w:style>
  <w:style w:type="paragraph" w:styleId="BalloonText">
    <w:name w:val="Balloon Text"/>
    <w:basedOn w:val="Normal"/>
    <w:semiHidden/>
    <w:rsid w:val="001771A9"/>
    <w:rPr>
      <w:rFonts w:ascii="Tahoma" w:hAnsi="Tahoma" w:cs="Tahoma"/>
      <w:sz w:val="16"/>
      <w:szCs w:val="16"/>
    </w:rPr>
  </w:style>
  <w:style w:type="character" w:styleId="CommentReference">
    <w:name w:val="annotation reference"/>
    <w:semiHidden/>
    <w:rsid w:val="002E6551"/>
    <w:rPr>
      <w:sz w:val="16"/>
      <w:szCs w:val="16"/>
    </w:rPr>
  </w:style>
  <w:style w:type="paragraph" w:styleId="CommentText">
    <w:name w:val="annotation text"/>
    <w:basedOn w:val="Normal"/>
    <w:semiHidden/>
    <w:rsid w:val="002E6551"/>
    <w:rPr>
      <w:sz w:val="20"/>
      <w:szCs w:val="20"/>
    </w:rPr>
  </w:style>
  <w:style w:type="paragraph" w:styleId="CommentSubject">
    <w:name w:val="annotation subject"/>
    <w:basedOn w:val="CommentText"/>
    <w:next w:val="CommentText"/>
    <w:semiHidden/>
    <w:rsid w:val="002E6551"/>
    <w:rPr>
      <w:b/>
      <w:bCs/>
    </w:r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Normal"/>
    <w:rsid w:val="00B40920"/>
    <w:pPr>
      <w:suppressAutoHyphens w:val="0"/>
      <w:spacing w:after="160" w:line="240" w:lineRule="exact"/>
    </w:pPr>
    <w:rPr>
      <w:rFonts w:ascii="Tahoma" w:hAnsi="Tahoma"/>
      <w:sz w:val="20"/>
      <w:szCs w:val="20"/>
      <w:lang w:val="en-US" w:eastAsia="en-US"/>
    </w:rPr>
  </w:style>
  <w:style w:type="paragraph" w:styleId="ListParagraph">
    <w:name w:val="List Paragraph"/>
    <w:basedOn w:val="Normal"/>
    <w:uiPriority w:val="34"/>
    <w:qFormat/>
    <w:rsid w:val="00245F51"/>
    <w:pPr>
      <w:ind w:left="720"/>
      <w:contextualSpacing/>
    </w:pPr>
  </w:style>
  <w:style w:type="paragraph" w:styleId="Revision">
    <w:name w:val="Revision"/>
    <w:hidden/>
    <w:uiPriority w:val="99"/>
    <w:semiHidden/>
    <w:rsid w:val="00167B3D"/>
    <w:rPr>
      <w:sz w:val="24"/>
      <w:szCs w:val="24"/>
      <w:lang w:val="en-GB" w:eastAsia="ar-SA"/>
    </w:rPr>
  </w:style>
  <w:style w:type="paragraph" w:styleId="Footer">
    <w:name w:val="footer"/>
    <w:basedOn w:val="Normal"/>
    <w:link w:val="FooterChar"/>
    <w:rsid w:val="008E36F2"/>
    <w:pPr>
      <w:tabs>
        <w:tab w:val="center" w:pos="4819"/>
        <w:tab w:val="right" w:pos="9638"/>
      </w:tabs>
    </w:pPr>
  </w:style>
  <w:style w:type="character" w:customStyle="1" w:styleId="FooterChar">
    <w:name w:val="Footer Char"/>
    <w:basedOn w:val="DefaultParagraphFont"/>
    <w:link w:val="Footer"/>
    <w:rsid w:val="008E36F2"/>
    <w:rPr>
      <w:sz w:val="24"/>
      <w:szCs w:val="24"/>
      <w:lang w:val="en-GB" w:eastAsia="ar-SA"/>
    </w:rPr>
  </w:style>
  <w:style w:type="character" w:customStyle="1" w:styleId="HeaderChar">
    <w:name w:val="Header Char"/>
    <w:basedOn w:val="DefaultParagraphFont"/>
    <w:link w:val="Header"/>
    <w:uiPriority w:val="99"/>
    <w:rsid w:val="008E36F2"/>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90384">
      <w:bodyDiv w:val="1"/>
      <w:marLeft w:val="0"/>
      <w:marRight w:val="0"/>
      <w:marTop w:val="0"/>
      <w:marBottom w:val="0"/>
      <w:divBdr>
        <w:top w:val="none" w:sz="0" w:space="0" w:color="auto"/>
        <w:left w:val="none" w:sz="0" w:space="0" w:color="auto"/>
        <w:bottom w:val="none" w:sz="0" w:space="0" w:color="auto"/>
        <w:right w:val="none" w:sz="0" w:space="0" w:color="auto"/>
      </w:divBdr>
      <w:divsChild>
        <w:div w:id="216018998">
          <w:marLeft w:val="480"/>
          <w:marRight w:val="0"/>
          <w:marTop w:val="0"/>
          <w:marBottom w:val="0"/>
          <w:divBdr>
            <w:top w:val="none" w:sz="0" w:space="0" w:color="auto"/>
            <w:left w:val="none" w:sz="0" w:space="0" w:color="auto"/>
            <w:bottom w:val="none" w:sz="0" w:space="0" w:color="auto"/>
            <w:right w:val="none" w:sz="0" w:space="0" w:color="auto"/>
          </w:divBdr>
        </w:div>
        <w:div w:id="403382892">
          <w:marLeft w:val="480"/>
          <w:marRight w:val="0"/>
          <w:marTop w:val="0"/>
          <w:marBottom w:val="0"/>
          <w:divBdr>
            <w:top w:val="none" w:sz="0" w:space="0" w:color="auto"/>
            <w:left w:val="none" w:sz="0" w:space="0" w:color="auto"/>
            <w:bottom w:val="none" w:sz="0" w:space="0" w:color="auto"/>
            <w:right w:val="none" w:sz="0" w:space="0" w:color="auto"/>
          </w:divBdr>
        </w:div>
        <w:div w:id="179903848">
          <w:marLeft w:val="600"/>
          <w:marRight w:val="0"/>
          <w:marTop w:val="0"/>
          <w:marBottom w:val="0"/>
          <w:divBdr>
            <w:top w:val="none" w:sz="0" w:space="0" w:color="auto"/>
            <w:left w:val="none" w:sz="0" w:space="0" w:color="auto"/>
            <w:bottom w:val="none" w:sz="0" w:space="0" w:color="auto"/>
            <w:right w:val="none" w:sz="0" w:space="0" w:color="auto"/>
          </w:divBdr>
        </w:div>
        <w:div w:id="577635286">
          <w:marLeft w:val="720"/>
          <w:marRight w:val="0"/>
          <w:marTop w:val="0"/>
          <w:marBottom w:val="0"/>
          <w:divBdr>
            <w:top w:val="none" w:sz="0" w:space="0" w:color="auto"/>
            <w:left w:val="none" w:sz="0" w:space="0" w:color="auto"/>
            <w:bottom w:val="none" w:sz="0" w:space="0" w:color="auto"/>
            <w:right w:val="none" w:sz="0" w:space="0" w:color="auto"/>
          </w:divBdr>
        </w:div>
        <w:div w:id="866336746">
          <w:marLeft w:val="600"/>
          <w:marRight w:val="0"/>
          <w:marTop w:val="0"/>
          <w:marBottom w:val="0"/>
          <w:divBdr>
            <w:top w:val="none" w:sz="0" w:space="0" w:color="auto"/>
            <w:left w:val="none" w:sz="0" w:space="0" w:color="auto"/>
            <w:bottom w:val="none" w:sz="0" w:space="0" w:color="auto"/>
            <w:right w:val="none" w:sz="0" w:space="0" w:color="auto"/>
          </w:divBdr>
        </w:div>
        <w:div w:id="423651389">
          <w:marLeft w:val="480"/>
          <w:marRight w:val="0"/>
          <w:marTop w:val="0"/>
          <w:marBottom w:val="0"/>
          <w:divBdr>
            <w:top w:val="none" w:sz="0" w:space="0" w:color="auto"/>
            <w:left w:val="none" w:sz="0" w:space="0" w:color="auto"/>
            <w:bottom w:val="none" w:sz="0" w:space="0" w:color="auto"/>
            <w:right w:val="none" w:sz="0" w:space="0" w:color="auto"/>
          </w:divBdr>
        </w:div>
      </w:divsChild>
    </w:div>
    <w:div w:id="273750965">
      <w:bodyDiv w:val="1"/>
      <w:marLeft w:val="0"/>
      <w:marRight w:val="0"/>
      <w:marTop w:val="0"/>
      <w:marBottom w:val="0"/>
      <w:divBdr>
        <w:top w:val="none" w:sz="0" w:space="0" w:color="auto"/>
        <w:left w:val="none" w:sz="0" w:space="0" w:color="auto"/>
        <w:bottom w:val="none" w:sz="0" w:space="0" w:color="auto"/>
        <w:right w:val="none" w:sz="0" w:space="0" w:color="auto"/>
      </w:divBdr>
      <w:divsChild>
        <w:div w:id="618682851">
          <w:marLeft w:val="0"/>
          <w:marRight w:val="0"/>
          <w:marTop w:val="0"/>
          <w:marBottom w:val="0"/>
          <w:divBdr>
            <w:top w:val="none" w:sz="0" w:space="0" w:color="auto"/>
            <w:left w:val="none" w:sz="0" w:space="0" w:color="auto"/>
            <w:bottom w:val="none" w:sz="0" w:space="0" w:color="auto"/>
            <w:right w:val="none" w:sz="0" w:space="0" w:color="auto"/>
          </w:divBdr>
        </w:div>
        <w:div w:id="882254106">
          <w:marLeft w:val="0"/>
          <w:marRight w:val="0"/>
          <w:marTop w:val="0"/>
          <w:marBottom w:val="0"/>
          <w:divBdr>
            <w:top w:val="none" w:sz="0" w:space="0" w:color="auto"/>
            <w:left w:val="none" w:sz="0" w:space="0" w:color="auto"/>
            <w:bottom w:val="none" w:sz="0" w:space="0" w:color="auto"/>
            <w:right w:val="none" w:sz="0" w:space="0" w:color="auto"/>
          </w:divBdr>
        </w:div>
        <w:div w:id="919751572">
          <w:marLeft w:val="0"/>
          <w:marRight w:val="0"/>
          <w:marTop w:val="0"/>
          <w:marBottom w:val="0"/>
          <w:divBdr>
            <w:top w:val="none" w:sz="0" w:space="0" w:color="auto"/>
            <w:left w:val="none" w:sz="0" w:space="0" w:color="auto"/>
            <w:bottom w:val="none" w:sz="0" w:space="0" w:color="auto"/>
            <w:right w:val="none" w:sz="0" w:space="0" w:color="auto"/>
          </w:divBdr>
        </w:div>
        <w:div w:id="1787001127">
          <w:marLeft w:val="0"/>
          <w:marRight w:val="0"/>
          <w:marTop w:val="0"/>
          <w:marBottom w:val="0"/>
          <w:divBdr>
            <w:top w:val="none" w:sz="0" w:space="0" w:color="auto"/>
            <w:left w:val="none" w:sz="0" w:space="0" w:color="auto"/>
            <w:bottom w:val="none" w:sz="0" w:space="0" w:color="auto"/>
            <w:right w:val="none" w:sz="0" w:space="0" w:color="auto"/>
          </w:divBdr>
        </w:div>
        <w:div w:id="1992561340">
          <w:marLeft w:val="0"/>
          <w:marRight w:val="0"/>
          <w:marTop w:val="0"/>
          <w:marBottom w:val="0"/>
          <w:divBdr>
            <w:top w:val="none" w:sz="0" w:space="0" w:color="auto"/>
            <w:left w:val="none" w:sz="0" w:space="0" w:color="auto"/>
            <w:bottom w:val="none" w:sz="0" w:space="0" w:color="auto"/>
            <w:right w:val="none" w:sz="0" w:space="0" w:color="auto"/>
          </w:divBdr>
        </w:div>
        <w:div w:id="2000234577">
          <w:marLeft w:val="0"/>
          <w:marRight w:val="0"/>
          <w:marTop w:val="0"/>
          <w:marBottom w:val="0"/>
          <w:divBdr>
            <w:top w:val="none" w:sz="0" w:space="0" w:color="auto"/>
            <w:left w:val="none" w:sz="0" w:space="0" w:color="auto"/>
            <w:bottom w:val="none" w:sz="0" w:space="0" w:color="auto"/>
            <w:right w:val="none" w:sz="0" w:space="0" w:color="auto"/>
          </w:divBdr>
        </w:div>
      </w:divsChild>
    </w:div>
    <w:div w:id="459227687">
      <w:bodyDiv w:val="1"/>
      <w:marLeft w:val="0"/>
      <w:marRight w:val="0"/>
      <w:marTop w:val="0"/>
      <w:marBottom w:val="0"/>
      <w:divBdr>
        <w:top w:val="none" w:sz="0" w:space="0" w:color="auto"/>
        <w:left w:val="none" w:sz="0" w:space="0" w:color="auto"/>
        <w:bottom w:val="none" w:sz="0" w:space="0" w:color="auto"/>
        <w:right w:val="none" w:sz="0" w:space="0" w:color="auto"/>
      </w:divBdr>
    </w:div>
    <w:div w:id="659388405">
      <w:bodyDiv w:val="1"/>
      <w:marLeft w:val="0"/>
      <w:marRight w:val="0"/>
      <w:marTop w:val="0"/>
      <w:marBottom w:val="0"/>
      <w:divBdr>
        <w:top w:val="none" w:sz="0" w:space="0" w:color="auto"/>
        <w:left w:val="none" w:sz="0" w:space="0" w:color="auto"/>
        <w:bottom w:val="none" w:sz="0" w:space="0" w:color="auto"/>
        <w:right w:val="none" w:sz="0" w:space="0" w:color="auto"/>
      </w:divBdr>
      <w:divsChild>
        <w:div w:id="65764907">
          <w:marLeft w:val="0"/>
          <w:marRight w:val="0"/>
          <w:marTop w:val="0"/>
          <w:marBottom w:val="0"/>
          <w:divBdr>
            <w:top w:val="none" w:sz="0" w:space="0" w:color="auto"/>
            <w:left w:val="none" w:sz="0" w:space="0" w:color="auto"/>
            <w:bottom w:val="none" w:sz="0" w:space="0" w:color="auto"/>
            <w:right w:val="none" w:sz="0" w:space="0" w:color="auto"/>
          </w:divBdr>
        </w:div>
        <w:div w:id="597451110">
          <w:marLeft w:val="0"/>
          <w:marRight w:val="0"/>
          <w:marTop w:val="0"/>
          <w:marBottom w:val="0"/>
          <w:divBdr>
            <w:top w:val="none" w:sz="0" w:space="0" w:color="auto"/>
            <w:left w:val="none" w:sz="0" w:space="0" w:color="auto"/>
            <w:bottom w:val="none" w:sz="0" w:space="0" w:color="auto"/>
            <w:right w:val="none" w:sz="0" w:space="0" w:color="auto"/>
          </w:divBdr>
        </w:div>
        <w:div w:id="1933661394">
          <w:marLeft w:val="0"/>
          <w:marRight w:val="0"/>
          <w:marTop w:val="0"/>
          <w:marBottom w:val="0"/>
          <w:divBdr>
            <w:top w:val="none" w:sz="0" w:space="0" w:color="auto"/>
            <w:left w:val="none" w:sz="0" w:space="0" w:color="auto"/>
            <w:bottom w:val="none" w:sz="0" w:space="0" w:color="auto"/>
            <w:right w:val="none" w:sz="0" w:space="0" w:color="auto"/>
          </w:divBdr>
        </w:div>
      </w:divsChild>
    </w:div>
    <w:div w:id="1161656460">
      <w:bodyDiv w:val="1"/>
      <w:marLeft w:val="0"/>
      <w:marRight w:val="0"/>
      <w:marTop w:val="0"/>
      <w:marBottom w:val="0"/>
      <w:divBdr>
        <w:top w:val="none" w:sz="0" w:space="0" w:color="auto"/>
        <w:left w:val="none" w:sz="0" w:space="0" w:color="auto"/>
        <w:bottom w:val="none" w:sz="0" w:space="0" w:color="auto"/>
        <w:right w:val="none" w:sz="0" w:space="0" w:color="auto"/>
      </w:divBdr>
    </w:div>
    <w:div w:id="1177694810">
      <w:bodyDiv w:val="1"/>
      <w:marLeft w:val="0"/>
      <w:marRight w:val="0"/>
      <w:marTop w:val="0"/>
      <w:marBottom w:val="0"/>
      <w:divBdr>
        <w:top w:val="none" w:sz="0" w:space="0" w:color="auto"/>
        <w:left w:val="none" w:sz="0" w:space="0" w:color="auto"/>
        <w:bottom w:val="none" w:sz="0" w:space="0" w:color="auto"/>
        <w:right w:val="none" w:sz="0" w:space="0" w:color="auto"/>
      </w:divBdr>
      <w:divsChild>
        <w:div w:id="92017814">
          <w:marLeft w:val="0"/>
          <w:marRight w:val="0"/>
          <w:marTop w:val="0"/>
          <w:marBottom w:val="0"/>
          <w:divBdr>
            <w:top w:val="none" w:sz="0" w:space="0" w:color="auto"/>
            <w:left w:val="none" w:sz="0" w:space="0" w:color="auto"/>
            <w:bottom w:val="none" w:sz="0" w:space="0" w:color="auto"/>
            <w:right w:val="none" w:sz="0" w:space="0" w:color="auto"/>
          </w:divBdr>
        </w:div>
        <w:div w:id="1250115934">
          <w:marLeft w:val="0"/>
          <w:marRight w:val="0"/>
          <w:marTop w:val="0"/>
          <w:marBottom w:val="0"/>
          <w:divBdr>
            <w:top w:val="none" w:sz="0" w:space="0" w:color="auto"/>
            <w:left w:val="none" w:sz="0" w:space="0" w:color="auto"/>
            <w:bottom w:val="none" w:sz="0" w:space="0" w:color="auto"/>
            <w:right w:val="none" w:sz="0" w:space="0" w:color="auto"/>
          </w:divBdr>
        </w:div>
        <w:div w:id="1499465690">
          <w:marLeft w:val="0"/>
          <w:marRight w:val="0"/>
          <w:marTop w:val="0"/>
          <w:marBottom w:val="0"/>
          <w:divBdr>
            <w:top w:val="none" w:sz="0" w:space="0" w:color="auto"/>
            <w:left w:val="none" w:sz="0" w:space="0" w:color="auto"/>
            <w:bottom w:val="none" w:sz="0" w:space="0" w:color="auto"/>
            <w:right w:val="none" w:sz="0" w:space="0" w:color="auto"/>
          </w:divBdr>
        </w:div>
      </w:divsChild>
    </w:div>
    <w:div w:id="1356231366">
      <w:bodyDiv w:val="1"/>
      <w:marLeft w:val="0"/>
      <w:marRight w:val="0"/>
      <w:marTop w:val="0"/>
      <w:marBottom w:val="0"/>
      <w:divBdr>
        <w:top w:val="none" w:sz="0" w:space="0" w:color="auto"/>
        <w:left w:val="none" w:sz="0" w:space="0" w:color="auto"/>
        <w:bottom w:val="none" w:sz="0" w:space="0" w:color="auto"/>
        <w:right w:val="none" w:sz="0" w:space="0" w:color="auto"/>
      </w:divBdr>
      <w:divsChild>
        <w:div w:id="944577798">
          <w:marLeft w:val="480"/>
          <w:marRight w:val="0"/>
          <w:marTop w:val="0"/>
          <w:marBottom w:val="0"/>
          <w:divBdr>
            <w:top w:val="none" w:sz="0" w:space="0" w:color="auto"/>
            <w:left w:val="none" w:sz="0" w:space="0" w:color="auto"/>
            <w:bottom w:val="none" w:sz="0" w:space="0" w:color="auto"/>
            <w:right w:val="none" w:sz="0" w:space="0" w:color="auto"/>
          </w:divBdr>
        </w:div>
        <w:div w:id="1978215825">
          <w:marLeft w:val="480"/>
          <w:marRight w:val="0"/>
          <w:marTop w:val="0"/>
          <w:marBottom w:val="0"/>
          <w:divBdr>
            <w:top w:val="none" w:sz="0" w:space="0" w:color="auto"/>
            <w:left w:val="none" w:sz="0" w:space="0" w:color="auto"/>
            <w:bottom w:val="none" w:sz="0" w:space="0" w:color="auto"/>
            <w:right w:val="none" w:sz="0" w:space="0" w:color="auto"/>
          </w:divBdr>
        </w:div>
        <w:div w:id="456800094">
          <w:marLeft w:val="600"/>
          <w:marRight w:val="0"/>
          <w:marTop w:val="0"/>
          <w:marBottom w:val="0"/>
          <w:divBdr>
            <w:top w:val="none" w:sz="0" w:space="0" w:color="auto"/>
            <w:left w:val="none" w:sz="0" w:space="0" w:color="auto"/>
            <w:bottom w:val="none" w:sz="0" w:space="0" w:color="auto"/>
            <w:right w:val="none" w:sz="0" w:space="0" w:color="auto"/>
          </w:divBdr>
        </w:div>
        <w:div w:id="748386697">
          <w:marLeft w:val="720"/>
          <w:marRight w:val="0"/>
          <w:marTop w:val="0"/>
          <w:marBottom w:val="0"/>
          <w:divBdr>
            <w:top w:val="none" w:sz="0" w:space="0" w:color="auto"/>
            <w:left w:val="none" w:sz="0" w:space="0" w:color="auto"/>
            <w:bottom w:val="none" w:sz="0" w:space="0" w:color="auto"/>
            <w:right w:val="none" w:sz="0" w:space="0" w:color="auto"/>
          </w:divBdr>
        </w:div>
        <w:div w:id="754742386">
          <w:marLeft w:val="600"/>
          <w:marRight w:val="0"/>
          <w:marTop w:val="0"/>
          <w:marBottom w:val="0"/>
          <w:divBdr>
            <w:top w:val="none" w:sz="0" w:space="0" w:color="auto"/>
            <w:left w:val="none" w:sz="0" w:space="0" w:color="auto"/>
            <w:bottom w:val="none" w:sz="0" w:space="0" w:color="auto"/>
            <w:right w:val="none" w:sz="0" w:space="0" w:color="auto"/>
          </w:divBdr>
        </w:div>
        <w:div w:id="1421949124">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3545</Words>
  <Characters>2021</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Europos Parlamento ir Tarybos direktyva 2006/21/EB 2006 m</vt:lpstr>
    </vt:vector>
  </TitlesOfParts>
  <Company>AM</Company>
  <LinksUpToDate>false</LinksUpToDate>
  <CharactersWithSpaces>5555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2020-06-05T07:52:00Z</dcterms:created>
  <dc:creator>Aleksandr</dc:creator>
  <cp:lastModifiedBy>Jovita Surdokienė</cp:lastModifiedBy>
  <cp:lastPrinted>2020-03-03T14:43:00Z</cp:lastPrinted>
  <dcterms:modified xsi:type="dcterms:W3CDTF">2020-06-05T07:54:00Z</dcterms:modified>
  <cp:revision>3</cp:revision>
  <dc:title>Europos Parlamento ir Tarybos direktyva 2006/21/EB 2006 m</dc:title>
</cp:coreProperties>
</file>