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D8CEB" w14:textId="222EB9B6" w:rsidR="00E4691D" w:rsidRPr="00517B5E" w:rsidRDefault="0003702B" w:rsidP="005420A9">
      <w:pPr>
        <w:jc w:val="center"/>
        <w:rPr>
          <w:b/>
          <w:bCs/>
        </w:rPr>
      </w:pPr>
      <w:r>
        <w:rPr>
          <w:b/>
          <w:bCs/>
        </w:rPr>
        <w:t xml:space="preserve">DIREKTYVOS 2011/24/ES IR LIETUVOS RESPUBLIKOS VYRIAUSYBĖS NUTARIMO „DĖL LIETUVOS RESPUBLIKOS </w:t>
      </w:r>
      <w:r w:rsidR="002205E1">
        <w:rPr>
          <w:b/>
          <w:bCs/>
        </w:rPr>
        <w:t xml:space="preserve">VYRIAUSYBĖS 2011 M. RUGSĖJO 7 D. NUTARIMO NR. 1057 „DĖL ELEKTRONINĖS SVEIKATOS PASLAUGŲ IR BENDRADARBIAVIMO INFRASTRUKTŪROS INFORMACINĖS SISTEMOS NUOSTATŲ PATVIRTINIMO“ PAKEITIMO“ </w:t>
      </w:r>
      <w:r w:rsidR="006E2BFA" w:rsidRPr="00517B5E">
        <w:rPr>
          <w:b/>
          <w:caps/>
        </w:rPr>
        <w:t>PROJEKTO</w:t>
      </w:r>
      <w:r w:rsidR="007C6752" w:rsidRPr="00517B5E">
        <w:rPr>
          <w:b/>
          <w:caps/>
        </w:rPr>
        <w:t xml:space="preserve"> </w:t>
      </w:r>
      <w:r w:rsidR="00E4691D" w:rsidRPr="00517B5E">
        <w:rPr>
          <w:b/>
          <w:bCs/>
        </w:rPr>
        <w:t>ATITIKTIES LENTELĖ</w:t>
      </w:r>
    </w:p>
    <w:p w14:paraId="49F9C1EB" w14:textId="77777777" w:rsidR="000668F7" w:rsidRPr="00517B5E" w:rsidRDefault="000668F7" w:rsidP="00186F98">
      <w:pPr>
        <w:pStyle w:val="Pagrindinistekstas"/>
        <w:rPr>
          <w:b/>
          <w:bCs/>
        </w:rPr>
      </w:pPr>
    </w:p>
    <w:tbl>
      <w:tblPr>
        <w:tblW w:w="0" w:type="auto"/>
        <w:tblInd w:w="197" w:type="dxa"/>
        <w:tblLayout w:type="fixed"/>
        <w:tblCellMar>
          <w:top w:w="55" w:type="dxa"/>
          <w:left w:w="55" w:type="dxa"/>
          <w:bottom w:w="55" w:type="dxa"/>
          <w:right w:w="55" w:type="dxa"/>
        </w:tblCellMar>
        <w:tblLook w:val="0000" w:firstRow="0" w:lastRow="0" w:firstColumn="0" w:lastColumn="0" w:noHBand="0" w:noVBand="0"/>
      </w:tblPr>
      <w:tblGrid>
        <w:gridCol w:w="3628"/>
        <w:gridCol w:w="9414"/>
        <w:gridCol w:w="1842"/>
      </w:tblGrid>
      <w:tr w:rsidR="00C836FB" w:rsidRPr="00517B5E" w14:paraId="11F4DEDB" w14:textId="77777777" w:rsidTr="00BC4391">
        <w:tc>
          <w:tcPr>
            <w:tcW w:w="3628" w:type="dxa"/>
            <w:tcBorders>
              <w:top w:val="single" w:sz="4" w:space="0" w:color="auto"/>
              <w:left w:val="single" w:sz="2" w:space="0" w:color="000000"/>
              <w:bottom w:val="single" w:sz="2" w:space="0" w:color="000000"/>
              <w:right w:val="single" w:sz="2" w:space="0" w:color="000000"/>
            </w:tcBorders>
          </w:tcPr>
          <w:p w14:paraId="0D912812" w14:textId="75972DEA" w:rsidR="0003702B" w:rsidRPr="0003702B" w:rsidRDefault="00C836FB" w:rsidP="0003702B">
            <w:pPr>
              <w:pStyle w:val="Pagrindinistekstas"/>
              <w:jc w:val="both"/>
              <w:rPr>
                <w:b/>
                <w:bCs/>
              </w:rPr>
            </w:pPr>
            <w:r w:rsidRPr="0003702B">
              <w:rPr>
                <w:b/>
                <w:bCs/>
              </w:rPr>
              <w:t>201</w:t>
            </w:r>
            <w:r w:rsidR="0003702B" w:rsidRPr="0003702B">
              <w:rPr>
                <w:b/>
                <w:bCs/>
              </w:rPr>
              <w:t>1</w:t>
            </w:r>
            <w:r w:rsidRPr="0003702B">
              <w:rPr>
                <w:b/>
                <w:bCs/>
              </w:rPr>
              <w:t> m.</w:t>
            </w:r>
            <w:r w:rsidR="0003702B" w:rsidRPr="0003702B">
              <w:rPr>
                <w:b/>
                <w:bCs/>
              </w:rPr>
              <w:t xml:space="preserve"> kovo 9 </w:t>
            </w:r>
            <w:r w:rsidRPr="0003702B">
              <w:rPr>
                <w:b/>
                <w:bCs/>
              </w:rPr>
              <w:t xml:space="preserve">d. Europos </w:t>
            </w:r>
            <w:r w:rsidR="0003702B" w:rsidRPr="0003702B">
              <w:rPr>
                <w:b/>
                <w:bCs/>
              </w:rPr>
              <w:t>Parlamento ir Tarybos direktyv</w:t>
            </w:r>
            <w:r w:rsidR="00173CB8">
              <w:rPr>
                <w:b/>
                <w:bCs/>
              </w:rPr>
              <w:t>a</w:t>
            </w:r>
            <w:r w:rsidR="0003702B" w:rsidRPr="0003702B">
              <w:rPr>
                <w:b/>
                <w:bCs/>
              </w:rPr>
              <w:t xml:space="preserve"> 2011/24/ES dėl pacientų teisių į tarpvalstybines sveikatos priežiūros paslaugas įgyvendinimo </w:t>
            </w:r>
          </w:p>
        </w:tc>
        <w:tc>
          <w:tcPr>
            <w:tcW w:w="9414" w:type="dxa"/>
            <w:tcBorders>
              <w:top w:val="single" w:sz="4" w:space="0" w:color="auto"/>
              <w:left w:val="single" w:sz="2" w:space="0" w:color="000000"/>
              <w:bottom w:val="single" w:sz="2" w:space="0" w:color="000000"/>
              <w:right w:val="single" w:sz="2" w:space="0" w:color="000000"/>
            </w:tcBorders>
          </w:tcPr>
          <w:p w14:paraId="162DA208" w14:textId="062E61AD" w:rsidR="00C836FB" w:rsidRPr="0003702B" w:rsidRDefault="0003702B" w:rsidP="00291838">
            <w:pPr>
              <w:jc w:val="both"/>
              <w:rPr>
                <w:b/>
                <w:bCs/>
              </w:rPr>
            </w:pPr>
            <w:r w:rsidRPr="0003702B">
              <w:rPr>
                <w:b/>
                <w:bCs/>
              </w:rPr>
              <w:t>Lietuvos Respublikos Vyriausybės nutarimo „Dėl Lietuvos Respublikos Vyriausybės 2011</w:t>
            </w:r>
            <w:r w:rsidR="0078692C">
              <w:rPr>
                <w:b/>
                <w:bCs/>
              </w:rPr>
              <w:t> </w:t>
            </w:r>
            <w:r w:rsidRPr="0003702B">
              <w:rPr>
                <w:b/>
                <w:bCs/>
              </w:rPr>
              <w:t>m. rugsėjo 7 d. nutarimo Nr. 1057 „Dėl Elektroninės sveikatos paslaugų ir bendradarbiavimo infrastruktūros informacinės sistemos nuostatų patvirtinimo“ pakeitimo“ projekt</w:t>
            </w:r>
            <w:r w:rsidR="00173CB8">
              <w:rPr>
                <w:b/>
                <w:bCs/>
              </w:rPr>
              <w:t>as</w:t>
            </w:r>
            <w:r w:rsidRPr="0003702B">
              <w:rPr>
                <w:b/>
                <w:bCs/>
              </w:rPr>
              <w:t xml:space="preserve"> (toliau – Projektas)</w:t>
            </w:r>
          </w:p>
        </w:tc>
        <w:tc>
          <w:tcPr>
            <w:tcW w:w="1842" w:type="dxa"/>
            <w:tcBorders>
              <w:top w:val="single" w:sz="4" w:space="0" w:color="auto"/>
              <w:left w:val="single" w:sz="2" w:space="0" w:color="000000"/>
              <w:bottom w:val="single" w:sz="2" w:space="0" w:color="000000"/>
              <w:right w:val="single" w:sz="2" w:space="0" w:color="000000"/>
            </w:tcBorders>
          </w:tcPr>
          <w:p w14:paraId="6FADC686" w14:textId="77777777" w:rsidR="00C836FB" w:rsidRPr="00517B5E" w:rsidRDefault="00C836FB" w:rsidP="00004327">
            <w:pPr>
              <w:pStyle w:val="Pagrindinistekstas"/>
              <w:spacing w:before="60" w:after="40"/>
              <w:jc w:val="center"/>
              <w:rPr>
                <w:b/>
                <w:bCs/>
              </w:rPr>
            </w:pPr>
            <w:r w:rsidRPr="00517B5E">
              <w:rPr>
                <w:b/>
                <w:bCs/>
              </w:rPr>
              <w:t>ES teisės akto įgyvendinimo lygis</w:t>
            </w:r>
          </w:p>
          <w:p w14:paraId="78A5F6AA" w14:textId="77777777" w:rsidR="00C836FB" w:rsidRPr="00517B5E" w:rsidRDefault="00C836FB" w:rsidP="00004327">
            <w:pPr>
              <w:pStyle w:val="TableContents"/>
              <w:jc w:val="both"/>
              <w:rPr>
                <w:b/>
                <w:bCs/>
              </w:rPr>
            </w:pPr>
          </w:p>
        </w:tc>
      </w:tr>
      <w:tr w:rsidR="0015382B" w:rsidRPr="00517B5E" w14:paraId="5AF498B0" w14:textId="77777777" w:rsidTr="00BC4391">
        <w:tc>
          <w:tcPr>
            <w:tcW w:w="3628" w:type="dxa"/>
            <w:tcBorders>
              <w:left w:val="single" w:sz="1" w:space="0" w:color="000000"/>
              <w:bottom w:val="single" w:sz="1" w:space="0" w:color="000000"/>
            </w:tcBorders>
          </w:tcPr>
          <w:p w14:paraId="1145720E" w14:textId="49A37953" w:rsidR="0015382B" w:rsidRDefault="0015382B" w:rsidP="0015382B">
            <w:pPr>
              <w:pStyle w:val="ti-art"/>
              <w:spacing w:before="0" w:beforeAutospacing="0" w:after="0" w:afterAutospacing="0"/>
              <w:rPr>
                <w:b/>
                <w:color w:val="000000"/>
                <w:lang w:val="lt-LT"/>
              </w:rPr>
            </w:pPr>
            <w:r>
              <w:rPr>
                <w:b/>
                <w:color w:val="000000"/>
                <w:lang w:val="lt-LT"/>
              </w:rPr>
              <w:t>14 straipsnis</w:t>
            </w:r>
          </w:p>
          <w:p w14:paraId="245A919B" w14:textId="245BBC25" w:rsidR="006D28CB" w:rsidRDefault="0015382B" w:rsidP="0015382B">
            <w:pPr>
              <w:pStyle w:val="ti-art"/>
              <w:spacing w:before="0" w:beforeAutospacing="0" w:after="0" w:afterAutospacing="0"/>
              <w:rPr>
                <w:b/>
                <w:color w:val="000000"/>
                <w:lang w:val="lt-LT"/>
              </w:rPr>
            </w:pPr>
            <w:r>
              <w:rPr>
                <w:b/>
                <w:color w:val="000000"/>
                <w:lang w:val="lt-LT"/>
              </w:rPr>
              <w:t>E. sveikata</w:t>
            </w:r>
          </w:p>
          <w:p w14:paraId="20D82905" w14:textId="77777777" w:rsidR="0015382B" w:rsidRDefault="0015382B" w:rsidP="00BC4391">
            <w:pPr>
              <w:pStyle w:val="ti-art"/>
              <w:spacing w:before="0" w:beforeAutospacing="0" w:after="0" w:afterAutospacing="0"/>
              <w:rPr>
                <w:bCs/>
                <w:color w:val="000000"/>
                <w:lang w:val="lt-LT"/>
              </w:rPr>
            </w:pPr>
          </w:p>
          <w:p w14:paraId="6D24527B" w14:textId="6E4D9A5A" w:rsidR="0015382B" w:rsidRDefault="0015382B" w:rsidP="0015382B">
            <w:pPr>
              <w:pStyle w:val="ti-art"/>
              <w:spacing w:before="0" w:beforeAutospacing="0" w:after="0" w:afterAutospacing="0"/>
              <w:jc w:val="both"/>
              <w:rPr>
                <w:bCs/>
                <w:color w:val="000000"/>
                <w:lang w:val="lt-LT"/>
              </w:rPr>
            </w:pPr>
            <w:r w:rsidRPr="00044815">
              <w:rPr>
                <w:bCs/>
                <w:color w:val="000000"/>
                <w:lang w:val="lt-LT"/>
              </w:rPr>
              <w:t>1.</w:t>
            </w:r>
            <w:r>
              <w:rPr>
                <w:b/>
                <w:color w:val="000000"/>
                <w:lang w:val="lt-LT"/>
              </w:rPr>
              <w:t xml:space="preserve"> </w:t>
            </w:r>
            <w:r w:rsidRPr="0071623A">
              <w:rPr>
                <w:bCs/>
                <w:color w:val="000000"/>
                <w:lang w:val="lt-LT"/>
              </w:rPr>
              <w:t xml:space="preserve">Sąjunga remia valstybių narių bendradarbiavimą ir keitimąsi informacija savanoriškame tinkle, vienijančiame valstybių narių paskirtas už e. sveikatą atsakingas nacionalines institucijas ir tam sudaro palankias sąlygas. </w:t>
            </w:r>
          </w:p>
          <w:p w14:paraId="67C7675C" w14:textId="6D889475" w:rsidR="0015382B" w:rsidRDefault="0015382B" w:rsidP="0015382B">
            <w:pPr>
              <w:pStyle w:val="ti-art"/>
              <w:spacing w:before="0" w:beforeAutospacing="0" w:after="0" w:afterAutospacing="0"/>
              <w:jc w:val="both"/>
              <w:rPr>
                <w:bCs/>
                <w:color w:val="000000"/>
                <w:lang w:val="lt-LT"/>
              </w:rPr>
            </w:pPr>
            <w:r>
              <w:rPr>
                <w:bCs/>
                <w:color w:val="000000"/>
                <w:lang w:val="lt-LT"/>
              </w:rPr>
              <w:t>2. E. sveikatos tinklo tikslai yra:</w:t>
            </w:r>
          </w:p>
          <w:p w14:paraId="101DC3ED" w14:textId="77777777" w:rsidR="00173CB8" w:rsidRPr="000C18D4" w:rsidRDefault="00173CB8" w:rsidP="00BC4391">
            <w:pPr>
              <w:spacing w:before="75" w:after="75"/>
              <w:ind w:left="32" w:right="225"/>
              <w:jc w:val="both"/>
            </w:pPr>
            <w:r w:rsidRPr="000C18D4">
              <w:t>a) siekti užtikrinti Europos e. sveikatos sistemų ir paslaugų bei sąveikių taikomųjų programų tvarią ekonominę ir socialinę naudą, kad būtų užtikrintas aukštas patikimumo ir saugumo lygis, gerinamas priežiūros tęstinumas ir užtikrinta galimybė naudotis saugiomis ir aukštos kokybės sveikatos priežiūros paslaugomis;</w:t>
            </w:r>
          </w:p>
          <w:p w14:paraId="60F224AD" w14:textId="77777777" w:rsidR="00173CB8" w:rsidRPr="000C18D4" w:rsidRDefault="00173CB8" w:rsidP="00BC4391">
            <w:pPr>
              <w:spacing w:before="75" w:after="75"/>
              <w:ind w:left="32" w:right="225"/>
              <w:jc w:val="both"/>
            </w:pPr>
            <w:r w:rsidRPr="000C18D4">
              <w:t>b) parengti gaires dėl:</w:t>
            </w:r>
          </w:p>
          <w:p w14:paraId="4475E8EC" w14:textId="77777777" w:rsidR="00173CB8" w:rsidRPr="000C18D4" w:rsidRDefault="00173CB8" w:rsidP="00BC4391">
            <w:pPr>
              <w:spacing w:before="75" w:after="75"/>
              <w:ind w:left="32" w:right="225"/>
              <w:jc w:val="both"/>
            </w:pPr>
            <w:r w:rsidRPr="000C18D4">
              <w:t xml:space="preserve">i) neišsamaus duomenų, kurie turi </w:t>
            </w:r>
            <w:r w:rsidRPr="000C18D4">
              <w:lastRenderedPageBreak/>
              <w:t>būti įtraukiami į pacientų duomenų santraukas ir kuriais sveikatos priežiūros specialistai gali keistis, kad būtų užtikrintas priežiūros tęstinumas ir pacientų sauga kitose valstybėse, sąrašo; ir</w:t>
            </w:r>
          </w:p>
          <w:p w14:paraId="7A758B09" w14:textId="77777777" w:rsidR="00173CB8" w:rsidRPr="000C18D4" w:rsidRDefault="00173CB8" w:rsidP="00BC4391">
            <w:pPr>
              <w:spacing w:before="75" w:after="75"/>
              <w:ind w:left="32" w:right="225"/>
              <w:jc w:val="both"/>
            </w:pPr>
            <w:r w:rsidRPr="000C18D4">
              <w:t>ii) veiksmingų metodų, kuriais sudaromos sąlygos naudoti medicinos informaciją visuomenės sveikatos ir mokslinių tyrimų tikslais;</w:t>
            </w:r>
          </w:p>
          <w:p w14:paraId="2BB448D0" w14:textId="2D955138" w:rsidR="0015382B" w:rsidRPr="0071623A" w:rsidRDefault="0015382B" w:rsidP="00BC4391">
            <w:pPr>
              <w:pStyle w:val="ti-art"/>
              <w:spacing w:before="0" w:beforeAutospacing="0" w:after="0" w:afterAutospacing="0"/>
              <w:ind w:left="32"/>
              <w:jc w:val="both"/>
              <w:rPr>
                <w:bCs/>
                <w:color w:val="000000"/>
                <w:lang w:val="lt-LT"/>
              </w:rPr>
            </w:pPr>
            <w:r>
              <w:rPr>
                <w:bCs/>
                <w:color w:val="000000"/>
                <w:lang w:val="lt-LT"/>
              </w:rPr>
              <w:t xml:space="preserve">c) padėti valstybėms narėms rengti bendras identifikavimo ir autentifikavimo priemones, kad būtų sudarytis palankesnės sąlygos perduoti duomenis teikiant tarpvalstybines sveikatos priežiūros paslaugas. </w:t>
            </w:r>
          </w:p>
          <w:p w14:paraId="572750FB" w14:textId="77777777" w:rsidR="00173CB8" w:rsidRPr="000C18D4" w:rsidRDefault="00173CB8" w:rsidP="00BC4391">
            <w:pPr>
              <w:spacing w:before="75" w:after="75"/>
              <w:ind w:left="32" w:right="225"/>
              <w:jc w:val="both"/>
            </w:pPr>
            <w:r w:rsidRPr="000C18D4">
              <w:t>Tikslų, kurie nurodyti b ir c punktuose, siekiama deramai laikantis duomenų apsaugos principų, kaip nustatyta visų pirma Direktyvose 95/46/EB ir 2002/58/EB.</w:t>
            </w:r>
          </w:p>
          <w:p w14:paraId="1A5A9C9B" w14:textId="77777777" w:rsidR="00173CB8" w:rsidRPr="000C18D4" w:rsidRDefault="00173CB8" w:rsidP="00BC4391">
            <w:pPr>
              <w:spacing w:before="75" w:after="75"/>
              <w:ind w:left="32" w:right="225"/>
              <w:jc w:val="both"/>
            </w:pPr>
            <w:r w:rsidRPr="000C18D4">
              <w:t>3. Komisija, laikydamasi 16 straipsnio 2 dalyje nurodytos reguliavimo procedūros, nustato priemones, būtinas šiam tinklui įsteigti, valdyti ir skaidriai veikti.</w:t>
            </w:r>
          </w:p>
          <w:p w14:paraId="6196E92F" w14:textId="332BE649" w:rsidR="0015382B" w:rsidRPr="00517B5E" w:rsidRDefault="0015382B" w:rsidP="0015382B">
            <w:pPr>
              <w:widowControl/>
              <w:suppressAutoHyphens w:val="0"/>
              <w:spacing w:before="120"/>
              <w:jc w:val="both"/>
              <w:rPr>
                <w:color w:val="000000"/>
              </w:rPr>
            </w:pPr>
          </w:p>
        </w:tc>
        <w:tc>
          <w:tcPr>
            <w:tcW w:w="9414" w:type="dxa"/>
            <w:tcBorders>
              <w:left w:val="single" w:sz="1" w:space="0" w:color="000000"/>
              <w:bottom w:val="single" w:sz="1" w:space="0" w:color="000000"/>
            </w:tcBorders>
          </w:tcPr>
          <w:p w14:paraId="03B45FCD" w14:textId="3EF72184" w:rsidR="006D28CB" w:rsidRPr="00BC4391" w:rsidRDefault="006D28CB" w:rsidP="0015382B">
            <w:pPr>
              <w:pStyle w:val="Antrats"/>
              <w:jc w:val="both"/>
              <w:rPr>
                <w:rFonts w:eastAsia="Times New Roman"/>
                <w:b/>
                <w:color w:val="000000"/>
                <w:lang w:eastAsia="en-US"/>
              </w:rPr>
            </w:pPr>
            <w:r w:rsidRPr="00BC4391">
              <w:rPr>
                <w:rFonts w:eastAsia="Times New Roman"/>
                <w:b/>
                <w:color w:val="000000"/>
                <w:lang w:eastAsia="en-US"/>
              </w:rPr>
              <w:lastRenderedPageBreak/>
              <w:t>1.</w:t>
            </w:r>
            <w:r w:rsidR="00242AF0">
              <w:rPr>
                <w:rFonts w:eastAsia="Times New Roman"/>
                <w:b/>
                <w:color w:val="000000"/>
                <w:lang w:eastAsia="en-US"/>
              </w:rPr>
              <w:t>4</w:t>
            </w:r>
            <w:r w:rsidRPr="00BC4391">
              <w:rPr>
                <w:rFonts w:eastAsia="Times New Roman"/>
                <w:b/>
                <w:color w:val="000000"/>
                <w:lang w:eastAsia="en-US"/>
              </w:rPr>
              <w:t>. Pakeisti 4 punktą ir jį išdėstyti taip:</w:t>
            </w:r>
          </w:p>
          <w:p w14:paraId="609217E3" w14:textId="25C8D754" w:rsidR="00F43D00" w:rsidRPr="0064428C" w:rsidRDefault="00A7438F" w:rsidP="00F43D00">
            <w:pPr>
              <w:pStyle w:val="Antrats"/>
              <w:jc w:val="both"/>
              <w:rPr>
                <w:b/>
                <w:color w:val="000000"/>
              </w:rPr>
            </w:pPr>
            <w:r>
              <w:rPr>
                <w:rFonts w:eastAsia="Calibri"/>
                <w:b/>
              </w:rPr>
              <w:t>„&lt;...&gt; 4.4</w:t>
            </w:r>
            <w:r w:rsidR="006D28CB" w:rsidRPr="00BC4391">
              <w:rPr>
                <w:rFonts w:eastAsia="Calibri"/>
                <w:b/>
              </w:rPr>
              <w:t>.</w:t>
            </w:r>
            <w:r w:rsidR="006D28CB" w:rsidRPr="00DD1E4D">
              <w:rPr>
                <w:rFonts w:eastAsia="Calibri"/>
                <w:b/>
              </w:rPr>
              <w:t xml:space="preserve"> </w:t>
            </w:r>
            <w:r w:rsidR="00F43D00" w:rsidRPr="0064428C">
              <w:rPr>
                <w:b/>
                <w:color w:val="000000"/>
              </w:rPr>
              <w:t>Lietuvos nacionalinis elektroninės sveikatos kontaktų centras (toliau – LNKC) –Elektroninės sveikatos paslaugų ir bendradarbiavimo infrastruktūros informac</w:t>
            </w:r>
            <w:r w:rsidR="008F5A5B">
              <w:rPr>
                <w:b/>
                <w:color w:val="000000"/>
              </w:rPr>
              <w:t>inės sistemos platforma, skirta</w:t>
            </w:r>
            <w:r w:rsidR="00F43D00" w:rsidRPr="0064428C">
              <w:rPr>
                <w:b/>
                <w:color w:val="000000"/>
              </w:rPr>
              <w:t xml:space="preserve"> keistis elektroninės sveikatos sistemos dokumentais ir duomenimis su kitų Europos Sąjungos valstybių nacionaliniais elektroninės sveikatos kontaktų centrais ir elektroninių sveikatos paslaugų integruotam teikimui užtikrinti.</w:t>
            </w:r>
          </w:p>
          <w:p w14:paraId="7FDA6823" w14:textId="5FAB5420" w:rsidR="006D28CB" w:rsidRPr="00BC4391" w:rsidRDefault="006D28CB" w:rsidP="006D28CB">
            <w:pPr>
              <w:jc w:val="both"/>
              <w:rPr>
                <w:rFonts w:eastAsia="Calibri"/>
                <w:b/>
                <w:color w:val="000000"/>
              </w:rPr>
            </w:pPr>
          </w:p>
          <w:p w14:paraId="78D9FED2" w14:textId="39A30BD6" w:rsidR="006D28CB" w:rsidRPr="00BC4391" w:rsidRDefault="00A7438F" w:rsidP="006D28CB">
            <w:pPr>
              <w:jc w:val="both"/>
              <w:rPr>
                <w:rFonts w:eastAsia="Calibri"/>
                <w:b/>
                <w:color w:val="000000"/>
              </w:rPr>
            </w:pPr>
            <w:r>
              <w:rPr>
                <w:rFonts w:eastAsia="Calibri"/>
                <w:b/>
              </w:rPr>
              <w:t>4.5</w:t>
            </w:r>
            <w:r w:rsidR="006D28CB" w:rsidRPr="00BC4391">
              <w:rPr>
                <w:rFonts w:eastAsia="Calibri"/>
                <w:b/>
              </w:rPr>
              <w:t>.</w:t>
            </w:r>
            <w:r w:rsidR="006D28CB" w:rsidRPr="00DD1E4D">
              <w:rPr>
                <w:rFonts w:eastAsia="Calibri"/>
                <w:b/>
              </w:rPr>
              <w:t xml:space="preserve"> </w:t>
            </w:r>
            <w:r w:rsidR="00F43D00" w:rsidRPr="0064428C">
              <w:rPr>
                <w:b/>
                <w:color w:val="000000"/>
              </w:rPr>
              <w:t>Nacionalinis elektroninės sveikatos kontaktų centras – Europos Sąjungos valstybės institucija ir (ar) nacionalinė informacinės sistemos platforma, skirtos Europos Sąjungos valstybėms keistis elektroninės sveikatos sistemos dokumentais ir duomenimis.</w:t>
            </w:r>
            <w:r w:rsidR="00F43D00">
              <w:rPr>
                <w:b/>
                <w:color w:val="000000"/>
              </w:rPr>
              <w:t xml:space="preserve"> </w:t>
            </w:r>
            <w:r w:rsidR="006D28CB" w:rsidRPr="00BC4391">
              <w:rPr>
                <w:rFonts w:eastAsia="Calibri"/>
                <w:b/>
                <w:color w:val="000000"/>
              </w:rPr>
              <w:t>&lt;...&gt;“</w:t>
            </w:r>
          </w:p>
          <w:p w14:paraId="31057BD3" w14:textId="77777777" w:rsidR="00186F98" w:rsidRPr="00BC4391" w:rsidRDefault="00186F98" w:rsidP="00186F98">
            <w:pPr>
              <w:pStyle w:val="Antrats"/>
              <w:jc w:val="both"/>
              <w:rPr>
                <w:b/>
              </w:rPr>
            </w:pPr>
          </w:p>
          <w:p w14:paraId="60CDBE0C" w14:textId="74760205" w:rsidR="00186F98" w:rsidRPr="00BC4391" w:rsidRDefault="00186F98" w:rsidP="00186F98">
            <w:pPr>
              <w:pStyle w:val="Antrats"/>
              <w:jc w:val="both"/>
              <w:rPr>
                <w:b/>
              </w:rPr>
            </w:pPr>
            <w:r w:rsidRPr="00BC4391">
              <w:rPr>
                <w:b/>
              </w:rPr>
              <w:t>1.4</w:t>
            </w:r>
            <w:r w:rsidR="00242AF0">
              <w:rPr>
                <w:b/>
              </w:rPr>
              <w:t>5</w:t>
            </w:r>
            <w:r w:rsidRPr="00BC4391">
              <w:rPr>
                <w:b/>
              </w:rPr>
              <w:t>. Papildyti 26</w:t>
            </w:r>
            <w:r w:rsidRPr="00BC4391">
              <w:rPr>
                <w:b/>
                <w:vertAlign w:val="superscript"/>
              </w:rPr>
              <w:t>2</w:t>
            </w:r>
            <w:r w:rsidRPr="00BC4391">
              <w:rPr>
                <w:b/>
              </w:rPr>
              <w:t xml:space="preserve"> punktu:</w:t>
            </w:r>
            <w:bookmarkStart w:id="0" w:name="_Hlk36630633"/>
          </w:p>
          <w:p w14:paraId="54E7A89A" w14:textId="77777777" w:rsidR="00385D07" w:rsidRPr="0064428C" w:rsidRDefault="00186F98" w:rsidP="00385D07">
            <w:pPr>
              <w:pStyle w:val="Antrats"/>
              <w:jc w:val="both"/>
              <w:rPr>
                <w:bCs/>
              </w:rPr>
            </w:pPr>
            <w:r w:rsidRPr="00BC4391">
              <w:rPr>
                <w:b/>
              </w:rPr>
              <w:t>„26</w:t>
            </w:r>
            <w:r w:rsidRPr="00BC4391">
              <w:rPr>
                <w:b/>
                <w:vertAlign w:val="superscript"/>
              </w:rPr>
              <w:t>2</w:t>
            </w:r>
            <w:r w:rsidRPr="00BC4391">
              <w:rPr>
                <w:b/>
              </w:rPr>
              <w:t xml:space="preserve">. </w:t>
            </w:r>
            <w:bookmarkEnd w:id="0"/>
            <w:r w:rsidR="00385D07" w:rsidRPr="0064428C">
              <w:rPr>
                <w:b/>
                <w:bCs/>
              </w:rPr>
              <w:t xml:space="preserve">LNKC duomenų bazėje tvarkomi ir saugomi duomenys apie perduotus e.  receptus ir </w:t>
            </w:r>
            <w:r w:rsidR="00385D07" w:rsidRPr="0064428C">
              <w:rPr>
                <w:b/>
                <w:bCs/>
                <w:lang w:eastAsia="en-US"/>
              </w:rPr>
              <w:t>vaistinių preparatų išdavimo (pardavimo) dokumentus</w:t>
            </w:r>
            <w:r w:rsidR="00385D07" w:rsidRPr="0064428C">
              <w:rPr>
                <w:b/>
                <w:bCs/>
              </w:rPr>
              <w:t xml:space="preserve"> kitoms Europos Sąjungos valstybėms narėms ir gautus e. receptus ir </w:t>
            </w:r>
            <w:r w:rsidR="00385D07" w:rsidRPr="0064428C">
              <w:rPr>
                <w:b/>
                <w:bCs/>
                <w:lang w:eastAsia="en-US"/>
              </w:rPr>
              <w:t>vaistinių preparatų išdavimo (pardavimo) dokumentus</w:t>
            </w:r>
            <w:r w:rsidR="00385D07" w:rsidRPr="0064428C">
              <w:rPr>
                <w:b/>
                <w:bCs/>
              </w:rPr>
              <w:t xml:space="preserve"> iš kitų Europos Sąjungos valstybių narių, pacientų sutikimų duomenys, nuorodos į e.  receptų duomenis ESPBI IS e. receptų duomenų bazėje, pacientų elektroninės sveikatos istorijos santraukų duomenys.</w:t>
            </w:r>
            <w:r w:rsidR="00385D07" w:rsidRPr="0064428C">
              <w:rPr>
                <w:bCs/>
              </w:rPr>
              <w:t>“</w:t>
            </w:r>
          </w:p>
          <w:p w14:paraId="295EC6FB" w14:textId="77777777" w:rsidR="006D28CB" w:rsidRPr="00DD1E4D" w:rsidRDefault="006D28CB" w:rsidP="006D28CB">
            <w:pPr>
              <w:jc w:val="both"/>
              <w:rPr>
                <w:rFonts w:eastAsia="Calibri"/>
                <w:b/>
              </w:rPr>
            </w:pPr>
          </w:p>
          <w:p w14:paraId="058A8CFD" w14:textId="6F0CFA88" w:rsidR="0015382B" w:rsidRPr="00BC4391" w:rsidRDefault="0015382B" w:rsidP="0015382B">
            <w:pPr>
              <w:pStyle w:val="Antrats"/>
              <w:jc w:val="both"/>
              <w:rPr>
                <w:b/>
              </w:rPr>
            </w:pPr>
            <w:r w:rsidRPr="00BC4391">
              <w:rPr>
                <w:b/>
              </w:rPr>
              <w:t>1.</w:t>
            </w:r>
            <w:r w:rsidR="006C4739">
              <w:rPr>
                <w:b/>
              </w:rPr>
              <w:t>7</w:t>
            </w:r>
            <w:r w:rsidR="006855C9">
              <w:rPr>
                <w:b/>
              </w:rPr>
              <w:t>4</w:t>
            </w:r>
            <w:r w:rsidRPr="00BC4391">
              <w:rPr>
                <w:b/>
              </w:rPr>
              <w:t>. Papildyti 27.29 papunkčiu:</w:t>
            </w:r>
          </w:p>
          <w:p w14:paraId="2F4F848D" w14:textId="3ACEC99F" w:rsidR="0015382B" w:rsidRPr="00BC4391" w:rsidRDefault="0015382B" w:rsidP="0015382B">
            <w:pPr>
              <w:pStyle w:val="Antrats"/>
              <w:jc w:val="both"/>
              <w:rPr>
                <w:b/>
              </w:rPr>
            </w:pPr>
            <w:r w:rsidRPr="00BC4391">
              <w:rPr>
                <w:b/>
              </w:rPr>
              <w:t xml:space="preserve">„27.29. </w:t>
            </w:r>
            <w:r w:rsidR="00385D07" w:rsidRPr="0064428C">
              <w:rPr>
                <w:b/>
              </w:rPr>
              <w:t xml:space="preserve">nacionaliniai elektroninės sveikatos kontaktų centrai teikia užklausas į LNKC su Lietuvos Respublikos pacientų asmens duomenimis tam, kad LNKC patvirtintų pacientų tapatybę (žymos „Patvirtinta“, „Nepatvirtinta“), teikia į LNKC savo šalies pacientų tapatybės identifikacijos patvirtinimo žymas „Patvirtinta“, „Nepatvirtinta“, Lietuvos Respublikos pacientams išduotų (parduotų) vaistinių preparatų išdavimo (pardavimo) </w:t>
            </w:r>
            <w:r w:rsidR="00385D07" w:rsidRPr="0064428C">
              <w:rPr>
                <w:b/>
              </w:rPr>
              <w:lastRenderedPageBreak/>
              <w:t>dokumentų duomenis (įskaitant juos sudarančius duomenis ir metaduomenis), išduotų (parduotų), bet anuliuotų vaistinių preparatų išdavimo (pardavimo) dokumentų duomenis (įskaitant juos sudarančius duomenis ir metaduomenis), teikia Lietuvos Respublikos vaistinėse aptarnautų savo šalies pacientų išdavimo (pardavimo) dokumentų gavimo patvirtinimus, e. receptų sąrašus ir konkrečius receptų duomenis (įskaitant juos sudarančius duomenis ir metaduomenis), kai Lietuvos Respublikos vaistinėje apsilanko užsienio pacientai;</w:t>
            </w:r>
            <w:r w:rsidR="00385D07" w:rsidRPr="0078692C">
              <w:rPr>
                <w:b/>
              </w:rPr>
              <w:t>“.</w:t>
            </w:r>
          </w:p>
          <w:p w14:paraId="1F7DA588" w14:textId="77777777" w:rsidR="006D28CB" w:rsidRPr="00BC4391" w:rsidRDefault="006D28CB" w:rsidP="0015382B">
            <w:pPr>
              <w:pStyle w:val="Antrats"/>
              <w:jc w:val="both"/>
              <w:rPr>
                <w:b/>
              </w:rPr>
            </w:pPr>
          </w:p>
          <w:p w14:paraId="189CE95F" w14:textId="34B7CD14" w:rsidR="0015382B" w:rsidRPr="00BC4391" w:rsidRDefault="0015382B" w:rsidP="0015382B">
            <w:pPr>
              <w:tabs>
                <w:tab w:val="center" w:pos="-7800"/>
                <w:tab w:val="right" w:pos="8306"/>
              </w:tabs>
              <w:jc w:val="both"/>
              <w:rPr>
                <w:rFonts w:eastAsia="Calibri"/>
                <w:b/>
              </w:rPr>
            </w:pPr>
            <w:r w:rsidRPr="00BC4391">
              <w:rPr>
                <w:rFonts w:eastAsia="Calibri"/>
                <w:b/>
              </w:rPr>
              <w:t>1.</w:t>
            </w:r>
            <w:r w:rsidR="006C4739">
              <w:rPr>
                <w:rFonts w:eastAsia="Calibri"/>
                <w:b/>
              </w:rPr>
              <w:t>7</w:t>
            </w:r>
            <w:r w:rsidR="006855C9">
              <w:rPr>
                <w:rFonts w:eastAsia="Calibri"/>
                <w:b/>
              </w:rPr>
              <w:t>5</w:t>
            </w:r>
            <w:r w:rsidRPr="00BC4391">
              <w:rPr>
                <w:rFonts w:eastAsia="Calibri"/>
                <w:b/>
              </w:rPr>
              <w:t>. Papildyti 27.30 papunkčiu:</w:t>
            </w:r>
          </w:p>
          <w:p w14:paraId="3B035F3B" w14:textId="77777777" w:rsidR="00385D07" w:rsidRPr="0064428C" w:rsidRDefault="0015382B" w:rsidP="00385D07">
            <w:pPr>
              <w:tabs>
                <w:tab w:val="center" w:pos="-7800"/>
                <w:tab w:val="right" w:pos="8306"/>
              </w:tabs>
              <w:jc w:val="both"/>
              <w:rPr>
                <w:b/>
                <w:bCs/>
              </w:rPr>
            </w:pPr>
            <w:r w:rsidRPr="00BC4391">
              <w:rPr>
                <w:rFonts w:eastAsia="Calibri"/>
                <w:b/>
              </w:rPr>
              <w:t xml:space="preserve">„27.30. </w:t>
            </w:r>
            <w:r w:rsidR="00385D07" w:rsidRPr="0064428C">
              <w:rPr>
                <w:rFonts w:eastAsia="Calibri"/>
                <w:b/>
                <w:bCs/>
              </w:rPr>
              <w:t xml:space="preserve">LNKC teikia užklausas </w:t>
            </w:r>
            <w:r w:rsidR="00385D07" w:rsidRPr="0064428C">
              <w:rPr>
                <w:b/>
                <w:bCs/>
              </w:rPr>
              <w:t>Europos Sąjungos valstybių narių nacionaliniams elektroninės sveikatos kontaktų centrams su tos šalies pacientų asmens duomenimis ir, kai šito reikalauja paciento gyvenamosios šalies taisyklės, pacientų sutikimo patvirtinimus tam, kad kita šalis patvirtintų pacientų tapatybę (žymos „Patvirtinta“, „Nepatvirtinta“), teikia Europos Sąjungos valstybių narių nacionaliniams elektroninės sveikatos kontaktų centrams Lietuvos Respublikos pacientų tapatybės identifikacijos patvirtinimo žymas „Patvirtinta“, „Nepatvirtinta“, Europos Sąjungos valstybių pacientams išduotų (parduotų) vaistinių preparatų išdavimo (pardavimo) dokumentų duomenis (įskaitant juos sudarančius duomenis ir metaduomenis), išduotų (parduotų), bet anuliuotų vaistinių preparatų išdavimo (pardavimo) dokumentų duomenis (įskaitant juos sudarančius duomenis ir metaduomenis), teikia Europos Sąjungos valstybių vaistinėse aptarnautų Lietuvos Respublikos pacientų vaistinių preparatų išdavimo (pardavimo) dokumentų gavimo patvirtinimus, e. receptų sąrašus ir konkrečius receptų duomenis (įskaitant juos sudarančius duomenis ir metaduomenis), kai užsienio vaistinėje apsilanko Lietuvos Respublikos pacientai;“.</w:t>
            </w:r>
          </w:p>
          <w:p w14:paraId="2BA7808B" w14:textId="77777777" w:rsidR="0015382B" w:rsidRPr="00BC4391" w:rsidRDefault="0015382B" w:rsidP="008E4BFC">
            <w:pPr>
              <w:widowControl/>
              <w:tabs>
                <w:tab w:val="left" w:pos="229"/>
                <w:tab w:val="left" w:pos="512"/>
                <w:tab w:val="left" w:pos="993"/>
              </w:tabs>
              <w:suppressAutoHyphens w:val="0"/>
              <w:jc w:val="both"/>
              <w:rPr>
                <w:rFonts w:eastAsia="Times New Roman"/>
                <w:b/>
                <w:color w:val="000000"/>
                <w:lang w:eastAsia="en-US"/>
              </w:rPr>
            </w:pPr>
          </w:p>
          <w:p w14:paraId="53FB130F" w14:textId="50CEE8B7" w:rsidR="00186F98" w:rsidRPr="00BC4391" w:rsidRDefault="00186F98" w:rsidP="00BC4391">
            <w:pPr>
              <w:tabs>
                <w:tab w:val="center" w:pos="-7800"/>
                <w:tab w:val="right" w:pos="8306"/>
              </w:tabs>
              <w:jc w:val="both"/>
              <w:rPr>
                <w:b/>
              </w:rPr>
            </w:pPr>
            <w:r w:rsidRPr="00BC4391">
              <w:rPr>
                <w:b/>
                <w:lang w:eastAsia="en-US"/>
              </w:rPr>
              <w:t>1.</w:t>
            </w:r>
            <w:r w:rsidR="006C4739">
              <w:rPr>
                <w:b/>
                <w:lang w:eastAsia="en-US"/>
              </w:rPr>
              <w:t>10</w:t>
            </w:r>
            <w:r w:rsidR="006855C9">
              <w:rPr>
                <w:b/>
                <w:lang w:eastAsia="en-US"/>
              </w:rPr>
              <w:t>1</w:t>
            </w:r>
            <w:bookmarkStart w:id="1" w:name="_GoBack"/>
            <w:bookmarkEnd w:id="1"/>
            <w:r w:rsidRPr="00BC4391">
              <w:rPr>
                <w:b/>
                <w:lang w:eastAsia="en-US"/>
              </w:rPr>
              <w:t>. Papildyti 41</w:t>
            </w:r>
            <w:r w:rsidRPr="00BC4391">
              <w:rPr>
                <w:b/>
                <w:vertAlign w:val="superscript"/>
                <w:lang w:eastAsia="en-US"/>
              </w:rPr>
              <w:t>3</w:t>
            </w:r>
            <w:r w:rsidRPr="00BC4391">
              <w:rPr>
                <w:b/>
                <w:lang w:eastAsia="en-US"/>
              </w:rPr>
              <w:t xml:space="preserve"> punktu:</w:t>
            </w:r>
          </w:p>
          <w:p w14:paraId="621719FD" w14:textId="77777777" w:rsidR="00186F98" w:rsidRPr="00BC4391" w:rsidRDefault="00186F98" w:rsidP="00BC4391">
            <w:pPr>
              <w:tabs>
                <w:tab w:val="center" w:pos="-7800"/>
                <w:tab w:val="right" w:pos="8306"/>
              </w:tabs>
              <w:jc w:val="both"/>
              <w:rPr>
                <w:b/>
              </w:rPr>
            </w:pPr>
            <w:r w:rsidRPr="00BC4391">
              <w:rPr>
                <w:b/>
              </w:rPr>
              <w:t>„41</w:t>
            </w:r>
            <w:r w:rsidRPr="00BC4391">
              <w:rPr>
                <w:b/>
                <w:vertAlign w:val="superscript"/>
              </w:rPr>
              <w:t>3</w:t>
            </w:r>
            <w:r w:rsidRPr="00BC4391">
              <w:rPr>
                <w:b/>
              </w:rPr>
              <w:t>. LNKC posistemės funkcijos:</w:t>
            </w:r>
          </w:p>
          <w:p w14:paraId="3F77A3CA" w14:textId="0F1CF084" w:rsidR="007B1115" w:rsidRPr="0064428C" w:rsidRDefault="007B1115" w:rsidP="007B1115">
            <w:pPr>
              <w:tabs>
                <w:tab w:val="center" w:pos="-7800"/>
                <w:tab w:val="right" w:pos="8306"/>
              </w:tabs>
              <w:jc w:val="both"/>
              <w:rPr>
                <w:b/>
                <w:bCs/>
              </w:rPr>
            </w:pPr>
            <w:r w:rsidRPr="0064428C">
              <w:rPr>
                <w:b/>
                <w:bCs/>
              </w:rPr>
              <w:t>41</w:t>
            </w:r>
            <w:r w:rsidRPr="0064428C">
              <w:rPr>
                <w:b/>
                <w:bCs/>
                <w:vertAlign w:val="superscript"/>
              </w:rPr>
              <w:t>3</w:t>
            </w:r>
            <w:r w:rsidRPr="0064428C">
              <w:rPr>
                <w:b/>
                <w:bCs/>
              </w:rPr>
              <w:t xml:space="preserve">.1. tvarko elektroniniu būdu perduotų į Europos Sąjungos valstybių narių ir gautų iš Europos Sąjungos valstybių narių e. receptų bei vaistinių preparatų elektroninių išdavimo (pardavimo) dokumentų, jų atšaukimo ir pacientų </w:t>
            </w:r>
            <w:r w:rsidR="008F5A5B">
              <w:rPr>
                <w:b/>
                <w:bCs/>
              </w:rPr>
              <w:t>ESI</w:t>
            </w:r>
            <w:r w:rsidRPr="0064428C">
              <w:rPr>
                <w:b/>
                <w:bCs/>
              </w:rPr>
              <w:t xml:space="preserve"> santraukų dokumentų duomenis. Į duomenų mainų apimtį nepatenka e. receptų narkotiniams vaistiniams preparatams ir medicinos priemonėms bei vaistinių preparatų kainos kompensavimo duomenys;</w:t>
            </w:r>
          </w:p>
          <w:p w14:paraId="6BD35878" w14:textId="77777777" w:rsidR="007B1115" w:rsidRPr="0064428C" w:rsidRDefault="007B1115" w:rsidP="007B1115">
            <w:pPr>
              <w:tabs>
                <w:tab w:val="center" w:pos="-7800"/>
                <w:tab w:val="right" w:pos="8306"/>
              </w:tabs>
              <w:jc w:val="both"/>
              <w:rPr>
                <w:b/>
                <w:bCs/>
              </w:rPr>
            </w:pPr>
            <w:r w:rsidRPr="0064428C">
              <w:rPr>
                <w:b/>
                <w:bCs/>
              </w:rPr>
              <w:t>41</w:t>
            </w:r>
            <w:r w:rsidRPr="0064428C">
              <w:rPr>
                <w:b/>
                <w:bCs/>
                <w:vertAlign w:val="superscript"/>
              </w:rPr>
              <w:t>3</w:t>
            </w:r>
            <w:r w:rsidRPr="0064428C">
              <w:rPr>
                <w:b/>
                <w:bCs/>
              </w:rPr>
              <w:t xml:space="preserve">.2. sudaro galimybę Lietuvos Respublikos vaistinėse dirbantiems ir turintiems teisę vaistinius preparatus išduoti (parduoti) farmacijos specialistams, apsilankius Europos Sąjungos valstybių narių pacientams, iš paciento gyvenamosios valstybės nacionalinio elektroninės sveikatos kontaktų centro gauti paciento identifikavimo patvirtinimą, paciento galiojančių ir visų e. receptų sąrašus, o paciento gyvenamajai valstybei pateikti paciento </w:t>
            </w:r>
            <w:r w:rsidRPr="0064428C">
              <w:rPr>
                <w:b/>
                <w:bCs/>
              </w:rPr>
              <w:lastRenderedPageBreak/>
              <w:t xml:space="preserve">sutikimo patvirtinimą ir vaistinių preparatų elektroninius išdavimo (pardavimo) ir išduotų (parduotų), bet anuliuotų išdavimų (pardavimų) dokumentus; </w:t>
            </w:r>
          </w:p>
          <w:p w14:paraId="25F5D680" w14:textId="77777777" w:rsidR="007B1115" w:rsidRPr="0064428C" w:rsidRDefault="007B1115" w:rsidP="007B1115">
            <w:pPr>
              <w:tabs>
                <w:tab w:val="center" w:pos="-7800"/>
                <w:tab w:val="right" w:pos="8306"/>
              </w:tabs>
              <w:jc w:val="both"/>
              <w:rPr>
                <w:b/>
                <w:bCs/>
              </w:rPr>
            </w:pPr>
            <w:r w:rsidRPr="0064428C">
              <w:rPr>
                <w:b/>
                <w:bCs/>
              </w:rPr>
              <w:t>41</w:t>
            </w:r>
            <w:r w:rsidRPr="0064428C">
              <w:rPr>
                <w:b/>
                <w:bCs/>
                <w:vertAlign w:val="superscript"/>
              </w:rPr>
              <w:t>3</w:t>
            </w:r>
            <w:r w:rsidRPr="0064428C">
              <w:rPr>
                <w:b/>
                <w:bCs/>
              </w:rPr>
              <w:t>.3. sudaro galimybę Lietuvos Respublikos vaistinėse dirbantiems ir turintiems teisę vaistinius preparatus išduoti (parduoti) farmacijos specialistams, atlikus išdavimą (pardavimą) pagal Europos Sąjungos valstybėse narėse išrašytą e.  receptą, e. sveikatos farmacininkų portale matyti savo aptarnautų kitose Europos Sąjungos valstybėse narėse išrašytų e. receptų sąrašą, pasirinkto e. recepto informaciją, vaistinių preparatų išdavimo (pardavimo) dokumentų sąrašą ir pasirinkto vaistinio preparato išdavimo (pardavimo) dokumento informaciją;</w:t>
            </w:r>
          </w:p>
          <w:p w14:paraId="6332BD59" w14:textId="77777777" w:rsidR="007B1115" w:rsidRPr="0064428C" w:rsidRDefault="007B1115" w:rsidP="007B1115">
            <w:pPr>
              <w:tabs>
                <w:tab w:val="center" w:pos="-7800"/>
                <w:tab w:val="right" w:pos="8306"/>
              </w:tabs>
              <w:jc w:val="both"/>
              <w:rPr>
                <w:b/>
                <w:bCs/>
              </w:rPr>
            </w:pPr>
            <w:r w:rsidRPr="0064428C">
              <w:rPr>
                <w:b/>
                <w:bCs/>
              </w:rPr>
              <w:t>41</w:t>
            </w:r>
            <w:r w:rsidRPr="0064428C">
              <w:rPr>
                <w:b/>
                <w:bCs/>
                <w:vertAlign w:val="superscript"/>
              </w:rPr>
              <w:t>3</w:t>
            </w:r>
            <w:r w:rsidRPr="0064428C">
              <w:rPr>
                <w:b/>
                <w:bCs/>
              </w:rPr>
              <w:t>.4. teikia Lietuvos Respublikos pacientų sutikimų dėl jiems Lietuvoje išrašytų e.  receptų duomenų perdavimo Europos Sąjungos valstybių narių nacionaliniams elektroninės sveikatos kontaktų centrams, duomenis;</w:t>
            </w:r>
          </w:p>
          <w:p w14:paraId="2C96D8CC" w14:textId="77777777" w:rsidR="007B1115" w:rsidRPr="0064428C" w:rsidRDefault="007B1115" w:rsidP="007B1115">
            <w:pPr>
              <w:jc w:val="both"/>
            </w:pPr>
            <w:r w:rsidRPr="0064428C">
              <w:rPr>
                <w:b/>
                <w:bCs/>
              </w:rPr>
              <w:t>41</w:t>
            </w:r>
            <w:r w:rsidRPr="0064428C">
              <w:rPr>
                <w:b/>
                <w:bCs/>
                <w:vertAlign w:val="superscript"/>
              </w:rPr>
              <w:t>3</w:t>
            </w:r>
            <w:r w:rsidRPr="0064428C">
              <w:rPr>
                <w:b/>
                <w:bCs/>
              </w:rPr>
              <w:t>.5. užtikrina e. sveikatos duomenų mainus tarp LNKC ir kitų Europos Sąjungos valstybių narių nacionalinių kontaktų centrų.</w:t>
            </w:r>
            <w:r w:rsidRPr="0064428C">
              <w:t>“</w:t>
            </w:r>
          </w:p>
          <w:p w14:paraId="495374D5" w14:textId="20EAC70C" w:rsidR="00186F98" w:rsidRPr="00BC4391" w:rsidRDefault="00186F98" w:rsidP="00BC4391">
            <w:pPr>
              <w:jc w:val="both"/>
              <w:rPr>
                <w:b/>
              </w:rPr>
            </w:pPr>
          </w:p>
        </w:tc>
        <w:tc>
          <w:tcPr>
            <w:tcW w:w="1842" w:type="dxa"/>
            <w:tcBorders>
              <w:left w:val="single" w:sz="1" w:space="0" w:color="000000"/>
              <w:bottom w:val="single" w:sz="1" w:space="0" w:color="000000"/>
              <w:right w:val="single" w:sz="1" w:space="0" w:color="000000"/>
            </w:tcBorders>
          </w:tcPr>
          <w:p w14:paraId="21B5EA92" w14:textId="1462E4D3" w:rsidR="0015382B" w:rsidRPr="00BC4391" w:rsidRDefault="00173CB8" w:rsidP="0015382B">
            <w:pPr>
              <w:pStyle w:val="Pagrindinistekstas"/>
              <w:spacing w:before="60" w:after="40"/>
              <w:rPr>
                <w:bCs/>
                <w:i/>
                <w:iCs/>
              </w:rPr>
            </w:pPr>
            <w:r w:rsidRPr="00BC4391">
              <w:rPr>
                <w:i/>
                <w:iCs/>
              </w:rPr>
              <w:lastRenderedPageBreak/>
              <w:t>Direktyvos straipsnio perkelti ir įgyvendinti nereikia</w:t>
            </w:r>
            <w:r w:rsidR="006D28CB">
              <w:rPr>
                <w:i/>
                <w:iCs/>
              </w:rPr>
              <w:t>, nes jo nuostatos skirtos Europos Komisijai</w:t>
            </w:r>
            <w:r w:rsidRPr="00BC4391">
              <w:rPr>
                <w:i/>
                <w:iCs/>
              </w:rPr>
              <w:t>.</w:t>
            </w:r>
          </w:p>
        </w:tc>
      </w:tr>
    </w:tbl>
    <w:p w14:paraId="62A44793" w14:textId="77777777" w:rsidR="00BD4891" w:rsidRPr="00517B5E" w:rsidRDefault="00BD4891">
      <w:pPr>
        <w:pStyle w:val="Pagrindinistekstas"/>
        <w:sectPr w:rsidR="00BD4891" w:rsidRPr="00517B5E" w:rsidSect="00BC4391">
          <w:headerReference w:type="default" r:id="rId8"/>
          <w:footnotePr>
            <w:pos w:val="beneathText"/>
          </w:footnotePr>
          <w:type w:val="continuous"/>
          <w:pgSz w:w="16837" w:h="11905" w:orient="landscape"/>
          <w:pgMar w:top="1135" w:right="567" w:bottom="709" w:left="1134" w:header="567" w:footer="567" w:gutter="0"/>
          <w:cols w:space="1296"/>
          <w:titlePg/>
          <w:docGrid w:linePitch="326"/>
        </w:sectPr>
      </w:pPr>
    </w:p>
    <w:p w14:paraId="535AB874" w14:textId="77777777" w:rsidR="00AE05B0" w:rsidRPr="00517B5E" w:rsidRDefault="00AE05B0" w:rsidP="00AE05B0">
      <w:pPr>
        <w:tabs>
          <w:tab w:val="center" w:pos="0"/>
          <w:tab w:val="center" w:pos="4153"/>
          <w:tab w:val="left" w:pos="7230"/>
          <w:tab w:val="right" w:pos="8306"/>
        </w:tabs>
        <w:jc w:val="center"/>
      </w:pPr>
      <w:r w:rsidRPr="00517B5E">
        <w:t>_________________</w:t>
      </w:r>
    </w:p>
    <w:p w14:paraId="5A632E94" w14:textId="77777777" w:rsidR="00E4691D" w:rsidRPr="00517B5E" w:rsidRDefault="00E4691D">
      <w:pPr>
        <w:pStyle w:val="Pagrindinistekstas"/>
      </w:pPr>
    </w:p>
    <w:sectPr w:rsidR="00E4691D" w:rsidRPr="00517B5E" w:rsidSect="007E4235">
      <w:footnotePr>
        <w:pos w:val="beneathText"/>
      </w:footnotePr>
      <w:type w:val="continuous"/>
      <w:pgSz w:w="16837" w:h="11905" w:orient="landscape"/>
      <w:pgMar w:top="1134" w:right="1134" w:bottom="1134"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1B2EA" w14:textId="77777777" w:rsidR="004D7D8E" w:rsidRDefault="004D7D8E" w:rsidP="00327E1D">
      <w:r>
        <w:separator/>
      </w:r>
    </w:p>
  </w:endnote>
  <w:endnote w:type="continuationSeparator" w:id="0">
    <w:p w14:paraId="493C165D" w14:textId="77777777" w:rsidR="004D7D8E" w:rsidRDefault="004D7D8E" w:rsidP="0032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87D71" w14:textId="77777777" w:rsidR="004D7D8E" w:rsidRDefault="004D7D8E" w:rsidP="00327E1D">
      <w:r>
        <w:separator/>
      </w:r>
    </w:p>
  </w:footnote>
  <w:footnote w:type="continuationSeparator" w:id="0">
    <w:p w14:paraId="19F48819" w14:textId="77777777" w:rsidR="004D7D8E" w:rsidRDefault="004D7D8E" w:rsidP="00327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8D1DE" w14:textId="77777777" w:rsidR="00327E1D" w:rsidRDefault="00327E1D">
    <w:pPr>
      <w:pStyle w:val="Antrats"/>
      <w:jc w:val="center"/>
    </w:pPr>
    <w:r>
      <w:fldChar w:fldCharType="begin"/>
    </w:r>
    <w:r>
      <w:instrText xml:space="preserve"> PAGE   \* MERGEFORMAT </w:instrText>
    </w:r>
    <w:r>
      <w:fldChar w:fldCharType="separate"/>
    </w:r>
    <w:r w:rsidR="006855C9">
      <w:rPr>
        <w:noProof/>
      </w:rPr>
      <w:t>3</w:t>
    </w:r>
    <w:r>
      <w:rPr>
        <w:noProof/>
      </w:rPr>
      <w:fldChar w:fldCharType="end"/>
    </w:r>
  </w:p>
  <w:p w14:paraId="3497E0DB" w14:textId="77777777" w:rsidR="00327E1D" w:rsidRDefault="00327E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050E9D"/>
    <w:multiLevelType w:val="hybridMultilevel"/>
    <w:tmpl w:val="0B7264D0"/>
    <w:lvl w:ilvl="0" w:tplc="FD1CB56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6C59E0"/>
    <w:multiLevelType w:val="hybridMultilevel"/>
    <w:tmpl w:val="1D7453B6"/>
    <w:lvl w:ilvl="0" w:tplc="5CB8887A">
      <w:start w:val="1"/>
      <w:numFmt w:val="decimal"/>
      <w:lvlText w:val="%1."/>
      <w:lvlJc w:val="left"/>
      <w:pPr>
        <w:ind w:left="699" w:hanging="360"/>
      </w:pPr>
      <w:rPr>
        <w:rFonts w:ascii="Times New Roman" w:hAnsi="Times New Roman" w:cs="Times New Roman" w:hint="default"/>
        <w:b w:val="0"/>
        <w:bCs w:val="0"/>
        <w:sz w:val="24"/>
        <w:szCs w:val="24"/>
      </w:rPr>
    </w:lvl>
    <w:lvl w:ilvl="1" w:tplc="04090019">
      <w:start w:val="1"/>
      <w:numFmt w:val="lowerLetter"/>
      <w:lvlText w:val="%2."/>
      <w:lvlJc w:val="left"/>
      <w:pPr>
        <w:ind w:left="1419" w:hanging="360"/>
      </w:pPr>
    </w:lvl>
    <w:lvl w:ilvl="2" w:tplc="0409001B">
      <w:start w:val="1"/>
      <w:numFmt w:val="lowerRoman"/>
      <w:lvlText w:val="%3."/>
      <w:lvlJc w:val="right"/>
      <w:pPr>
        <w:ind w:left="2139" w:hanging="180"/>
      </w:pPr>
    </w:lvl>
    <w:lvl w:ilvl="3" w:tplc="0409000F">
      <w:start w:val="1"/>
      <w:numFmt w:val="decimal"/>
      <w:lvlText w:val="%4."/>
      <w:lvlJc w:val="left"/>
      <w:pPr>
        <w:ind w:left="2859" w:hanging="360"/>
      </w:pPr>
    </w:lvl>
    <w:lvl w:ilvl="4" w:tplc="04090019">
      <w:start w:val="1"/>
      <w:numFmt w:val="lowerLetter"/>
      <w:lvlText w:val="%5."/>
      <w:lvlJc w:val="left"/>
      <w:pPr>
        <w:ind w:left="3579" w:hanging="360"/>
      </w:pPr>
    </w:lvl>
    <w:lvl w:ilvl="5" w:tplc="0409001B">
      <w:start w:val="1"/>
      <w:numFmt w:val="lowerRoman"/>
      <w:lvlText w:val="%6."/>
      <w:lvlJc w:val="right"/>
      <w:pPr>
        <w:ind w:left="4299" w:hanging="180"/>
      </w:pPr>
    </w:lvl>
    <w:lvl w:ilvl="6" w:tplc="0409000F">
      <w:start w:val="1"/>
      <w:numFmt w:val="decimal"/>
      <w:lvlText w:val="%7."/>
      <w:lvlJc w:val="left"/>
      <w:pPr>
        <w:ind w:left="5019" w:hanging="360"/>
      </w:pPr>
    </w:lvl>
    <w:lvl w:ilvl="7" w:tplc="04090019">
      <w:start w:val="1"/>
      <w:numFmt w:val="lowerLetter"/>
      <w:lvlText w:val="%8."/>
      <w:lvlJc w:val="left"/>
      <w:pPr>
        <w:ind w:left="5739" w:hanging="360"/>
      </w:pPr>
    </w:lvl>
    <w:lvl w:ilvl="8" w:tplc="0409001B">
      <w:start w:val="1"/>
      <w:numFmt w:val="lowerRoman"/>
      <w:lvlText w:val="%9."/>
      <w:lvlJc w:val="right"/>
      <w:pPr>
        <w:ind w:left="6459" w:hanging="180"/>
      </w:pPr>
    </w:lvl>
  </w:abstractNum>
  <w:abstractNum w:abstractNumId="3" w15:restartNumberingAfterBreak="0">
    <w:nsid w:val="107058B9"/>
    <w:multiLevelType w:val="hybridMultilevel"/>
    <w:tmpl w:val="F774A1E0"/>
    <w:lvl w:ilvl="0" w:tplc="0D06DB12">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7F"/>
    <w:rsid w:val="00004327"/>
    <w:rsid w:val="0003702B"/>
    <w:rsid w:val="00044815"/>
    <w:rsid w:val="00050228"/>
    <w:rsid w:val="00055BE5"/>
    <w:rsid w:val="000668F7"/>
    <w:rsid w:val="000827A9"/>
    <w:rsid w:val="000947D5"/>
    <w:rsid w:val="0009498D"/>
    <w:rsid w:val="000B18B2"/>
    <w:rsid w:val="000C4B5F"/>
    <w:rsid w:val="000D2569"/>
    <w:rsid w:val="000E5D15"/>
    <w:rsid w:val="0010120B"/>
    <w:rsid w:val="001235D5"/>
    <w:rsid w:val="001457E3"/>
    <w:rsid w:val="0015382B"/>
    <w:rsid w:val="00173CB8"/>
    <w:rsid w:val="00186F98"/>
    <w:rsid w:val="00192EB1"/>
    <w:rsid w:val="001A1617"/>
    <w:rsid w:val="001A27F7"/>
    <w:rsid w:val="001A3F35"/>
    <w:rsid w:val="00204C38"/>
    <w:rsid w:val="0021645D"/>
    <w:rsid w:val="002205E1"/>
    <w:rsid w:val="00242AF0"/>
    <w:rsid w:val="002440E1"/>
    <w:rsid w:val="002454BB"/>
    <w:rsid w:val="00246AE2"/>
    <w:rsid w:val="00252120"/>
    <w:rsid w:val="00261BA0"/>
    <w:rsid w:val="00291838"/>
    <w:rsid w:val="00292B33"/>
    <w:rsid w:val="002A4515"/>
    <w:rsid w:val="002C1C7A"/>
    <w:rsid w:val="002F3C1B"/>
    <w:rsid w:val="0030723C"/>
    <w:rsid w:val="00311BCF"/>
    <w:rsid w:val="00327E1D"/>
    <w:rsid w:val="00335F7A"/>
    <w:rsid w:val="00385D07"/>
    <w:rsid w:val="003B2B7B"/>
    <w:rsid w:val="003C37D8"/>
    <w:rsid w:val="003D16D7"/>
    <w:rsid w:val="003E5E19"/>
    <w:rsid w:val="0040290D"/>
    <w:rsid w:val="00426F16"/>
    <w:rsid w:val="004804C1"/>
    <w:rsid w:val="00492F2A"/>
    <w:rsid w:val="004A2DFB"/>
    <w:rsid w:val="004B2E8F"/>
    <w:rsid w:val="004B48A8"/>
    <w:rsid w:val="004D7D8E"/>
    <w:rsid w:val="00503667"/>
    <w:rsid w:val="00517B5E"/>
    <w:rsid w:val="00535A62"/>
    <w:rsid w:val="005420A9"/>
    <w:rsid w:val="005958EB"/>
    <w:rsid w:val="005B5BCF"/>
    <w:rsid w:val="005C243C"/>
    <w:rsid w:val="006077DE"/>
    <w:rsid w:val="00610CA0"/>
    <w:rsid w:val="006855C9"/>
    <w:rsid w:val="006A2C30"/>
    <w:rsid w:val="006C03E4"/>
    <w:rsid w:val="006C4739"/>
    <w:rsid w:val="006D28CB"/>
    <w:rsid w:val="006D7510"/>
    <w:rsid w:val="006E2BFA"/>
    <w:rsid w:val="006F0233"/>
    <w:rsid w:val="006F3E61"/>
    <w:rsid w:val="0071623A"/>
    <w:rsid w:val="00752627"/>
    <w:rsid w:val="0078692C"/>
    <w:rsid w:val="0079408D"/>
    <w:rsid w:val="007B1115"/>
    <w:rsid w:val="007C6752"/>
    <w:rsid w:val="007E4235"/>
    <w:rsid w:val="007E7EB7"/>
    <w:rsid w:val="00841030"/>
    <w:rsid w:val="008763F4"/>
    <w:rsid w:val="008929C0"/>
    <w:rsid w:val="0089679F"/>
    <w:rsid w:val="008C519D"/>
    <w:rsid w:val="008C528B"/>
    <w:rsid w:val="008E4BFC"/>
    <w:rsid w:val="008F5A5B"/>
    <w:rsid w:val="00917B3B"/>
    <w:rsid w:val="00977059"/>
    <w:rsid w:val="00985621"/>
    <w:rsid w:val="00986FB5"/>
    <w:rsid w:val="00995E65"/>
    <w:rsid w:val="009A42A7"/>
    <w:rsid w:val="009A5082"/>
    <w:rsid w:val="009C659A"/>
    <w:rsid w:val="009F186A"/>
    <w:rsid w:val="009F28ED"/>
    <w:rsid w:val="009F69FB"/>
    <w:rsid w:val="00A01BDC"/>
    <w:rsid w:val="00A25EA7"/>
    <w:rsid w:val="00A7438F"/>
    <w:rsid w:val="00A92C32"/>
    <w:rsid w:val="00AB0778"/>
    <w:rsid w:val="00AB3E02"/>
    <w:rsid w:val="00AD5B59"/>
    <w:rsid w:val="00AE05B0"/>
    <w:rsid w:val="00AF29DD"/>
    <w:rsid w:val="00B1528E"/>
    <w:rsid w:val="00B214DF"/>
    <w:rsid w:val="00B3365A"/>
    <w:rsid w:val="00B40C7F"/>
    <w:rsid w:val="00B56795"/>
    <w:rsid w:val="00B6361D"/>
    <w:rsid w:val="00BC1FD6"/>
    <w:rsid w:val="00BC4391"/>
    <w:rsid w:val="00BD27FA"/>
    <w:rsid w:val="00BD4891"/>
    <w:rsid w:val="00BF30CE"/>
    <w:rsid w:val="00C12BF4"/>
    <w:rsid w:val="00C22697"/>
    <w:rsid w:val="00C30842"/>
    <w:rsid w:val="00C313EE"/>
    <w:rsid w:val="00C32ABE"/>
    <w:rsid w:val="00C63172"/>
    <w:rsid w:val="00C836FB"/>
    <w:rsid w:val="00CB3901"/>
    <w:rsid w:val="00CC02E2"/>
    <w:rsid w:val="00CF20B1"/>
    <w:rsid w:val="00D00FD0"/>
    <w:rsid w:val="00D170A4"/>
    <w:rsid w:val="00D1747A"/>
    <w:rsid w:val="00D23B29"/>
    <w:rsid w:val="00D76B07"/>
    <w:rsid w:val="00D860B1"/>
    <w:rsid w:val="00D93A6E"/>
    <w:rsid w:val="00DA11DF"/>
    <w:rsid w:val="00DD1E4D"/>
    <w:rsid w:val="00E2626A"/>
    <w:rsid w:val="00E26E95"/>
    <w:rsid w:val="00E4265A"/>
    <w:rsid w:val="00E4691D"/>
    <w:rsid w:val="00E67624"/>
    <w:rsid w:val="00E84978"/>
    <w:rsid w:val="00EA2724"/>
    <w:rsid w:val="00EA51E7"/>
    <w:rsid w:val="00EA5599"/>
    <w:rsid w:val="00F20A13"/>
    <w:rsid w:val="00F2352F"/>
    <w:rsid w:val="00F415F3"/>
    <w:rsid w:val="00F43D00"/>
    <w:rsid w:val="00F54434"/>
    <w:rsid w:val="00F9372A"/>
    <w:rsid w:val="00FA1F0D"/>
    <w:rsid w:val="00FB118F"/>
    <w:rsid w:val="00FE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49CA"/>
  <w15:docId w15:val="{63CDDACF-D283-4A3C-BE69-D7F2D0F2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Arial Unicode MS"/>
      <w:sz w:val="24"/>
      <w:szCs w:val="24"/>
      <w:lang w:val="lt-LT" w:eastAsia="lt-LT"/>
    </w:rPr>
  </w:style>
  <w:style w:type="paragraph" w:styleId="Antrat1">
    <w:name w:val="heading 1"/>
    <w:basedOn w:val="Heading"/>
    <w:next w:val="Pagrindinistekstas"/>
    <w:qFormat/>
    <w:pPr>
      <w:numPr>
        <w:numId w:val="1"/>
      </w:numPr>
      <w:outlineLvl w:val="0"/>
    </w:pPr>
    <w:rPr>
      <w:rFonts w:ascii="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uiPriority w:val="99"/>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uiPriority w:val="99"/>
    <w:pPr>
      <w:suppressLineNumbers/>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535A62"/>
    <w:pPr>
      <w:widowControl/>
      <w:suppressAutoHyphens w:val="0"/>
      <w:spacing w:after="160" w:line="240" w:lineRule="exact"/>
    </w:pPr>
    <w:rPr>
      <w:rFonts w:ascii="Tahoma" w:eastAsia="Times New Roman" w:hAnsi="Tahoma"/>
      <w:sz w:val="20"/>
      <w:szCs w:val="20"/>
      <w:lang w:val="en-US" w:eastAsia="en-US"/>
    </w:rPr>
  </w:style>
  <w:style w:type="paragraph" w:styleId="Pagrindinistekstas3">
    <w:name w:val="Body Text 3"/>
    <w:basedOn w:val="prastasis"/>
    <w:link w:val="Pagrindinistekstas3Diagrama"/>
    <w:rsid w:val="00AE05B0"/>
    <w:pPr>
      <w:widowControl/>
      <w:suppressAutoHyphens w:val="0"/>
      <w:spacing w:after="120"/>
    </w:pPr>
    <w:rPr>
      <w:rFonts w:eastAsia="Times New Roman"/>
      <w:sz w:val="16"/>
      <w:szCs w:val="16"/>
    </w:rPr>
  </w:style>
  <w:style w:type="character" w:customStyle="1" w:styleId="Pagrindinistekstas3Diagrama">
    <w:name w:val="Pagrindinis tekstas 3 Diagrama"/>
    <w:link w:val="Pagrindinistekstas3"/>
    <w:rsid w:val="00AE05B0"/>
    <w:rPr>
      <w:sz w:val="16"/>
      <w:szCs w:val="16"/>
    </w:rPr>
  </w:style>
  <w:style w:type="paragraph" w:customStyle="1" w:styleId="Normal1">
    <w:name w:val="Normal1"/>
    <w:basedOn w:val="prastasis"/>
    <w:rsid w:val="00BC1FD6"/>
    <w:pPr>
      <w:widowControl/>
      <w:suppressAutoHyphens w:val="0"/>
      <w:spacing w:before="120"/>
      <w:jc w:val="both"/>
    </w:pPr>
    <w:rPr>
      <w:rFonts w:eastAsia="Times New Roman"/>
      <w:lang w:val="en-US" w:eastAsia="en-US"/>
    </w:rPr>
  </w:style>
  <w:style w:type="paragraph" w:styleId="Debesliotekstas">
    <w:name w:val="Balloon Text"/>
    <w:basedOn w:val="prastasis"/>
    <w:link w:val="DebesliotekstasDiagrama"/>
    <w:rsid w:val="00204C38"/>
    <w:rPr>
      <w:rFonts w:ascii="Tahoma" w:hAnsi="Tahoma" w:cs="Tahoma"/>
      <w:sz w:val="16"/>
      <w:szCs w:val="16"/>
    </w:rPr>
  </w:style>
  <w:style w:type="character" w:customStyle="1" w:styleId="DebesliotekstasDiagrama">
    <w:name w:val="Debesėlio tekstas Diagrama"/>
    <w:link w:val="Debesliotekstas"/>
    <w:rsid w:val="00204C38"/>
    <w:rPr>
      <w:rFonts w:ascii="Tahoma" w:eastAsia="Arial Unicode MS" w:hAnsi="Tahoma" w:cs="Tahoma"/>
      <w:sz w:val="16"/>
      <w:szCs w:val="16"/>
      <w:lang w:val="lt-LT" w:eastAsia="lt-LT"/>
    </w:rPr>
  </w:style>
  <w:style w:type="character" w:customStyle="1" w:styleId="PagrindinistekstasDiagrama">
    <w:name w:val="Pagrindinis tekstas Diagrama"/>
    <w:link w:val="Pagrindinistekstas"/>
    <w:uiPriority w:val="99"/>
    <w:locked/>
    <w:rsid w:val="00C836FB"/>
    <w:rPr>
      <w:rFonts w:eastAsia="Arial Unicode MS"/>
      <w:sz w:val="24"/>
      <w:szCs w:val="24"/>
      <w:lang w:val="lt-LT" w:eastAsia="lt-LT"/>
    </w:rPr>
  </w:style>
  <w:style w:type="character" w:customStyle="1" w:styleId="apple-converted-space">
    <w:name w:val="apple-converted-space"/>
    <w:uiPriority w:val="99"/>
    <w:rsid w:val="00C836FB"/>
  </w:style>
  <w:style w:type="character" w:customStyle="1" w:styleId="Typewriter">
    <w:name w:val="Typewriter"/>
    <w:uiPriority w:val="99"/>
    <w:rsid w:val="00C836FB"/>
    <w:rPr>
      <w:rFonts w:ascii="Courier New" w:hAnsi="Courier New" w:cs="Courier New"/>
      <w:sz w:val="20"/>
      <w:szCs w:val="20"/>
    </w:rPr>
  </w:style>
  <w:style w:type="paragraph" w:styleId="Sraopastraipa">
    <w:name w:val="List Paragraph"/>
    <w:basedOn w:val="prastasis"/>
    <w:uiPriority w:val="99"/>
    <w:qFormat/>
    <w:rsid w:val="00C836FB"/>
    <w:pPr>
      <w:ind w:left="720"/>
    </w:pPr>
    <w:rPr>
      <w:rFonts w:eastAsia="Times New Roman"/>
      <w:lang w:eastAsia="en-US"/>
    </w:rPr>
  </w:style>
  <w:style w:type="paragraph" w:customStyle="1" w:styleId="Normal10">
    <w:name w:val="Normal1"/>
    <w:basedOn w:val="prastasis"/>
    <w:uiPriority w:val="99"/>
    <w:rsid w:val="00C836FB"/>
    <w:pPr>
      <w:widowControl/>
      <w:suppressAutoHyphens w:val="0"/>
      <w:spacing w:before="100" w:beforeAutospacing="1" w:after="100" w:afterAutospacing="1"/>
    </w:pPr>
    <w:rPr>
      <w:rFonts w:eastAsia="Times New Roman"/>
      <w:lang w:val="en-US" w:eastAsia="en-US"/>
    </w:rPr>
  </w:style>
  <w:style w:type="paragraph" w:customStyle="1" w:styleId="ti-art">
    <w:name w:val="ti-art"/>
    <w:basedOn w:val="prastasis"/>
    <w:uiPriority w:val="99"/>
    <w:rsid w:val="00C836FB"/>
    <w:pPr>
      <w:widowControl/>
      <w:suppressAutoHyphens w:val="0"/>
      <w:spacing w:before="100" w:beforeAutospacing="1" w:after="100" w:afterAutospacing="1"/>
    </w:pPr>
    <w:rPr>
      <w:rFonts w:eastAsia="Times New Roman"/>
      <w:lang w:val="en-US" w:eastAsia="en-US"/>
    </w:rPr>
  </w:style>
  <w:style w:type="paragraph" w:customStyle="1" w:styleId="sti-art">
    <w:name w:val="sti-art"/>
    <w:basedOn w:val="prastasis"/>
    <w:uiPriority w:val="99"/>
    <w:rsid w:val="00C836FB"/>
    <w:pPr>
      <w:widowControl/>
      <w:suppressAutoHyphens w:val="0"/>
      <w:spacing w:before="100" w:beforeAutospacing="1" w:after="100" w:afterAutospacing="1"/>
    </w:pPr>
    <w:rPr>
      <w:rFonts w:eastAsia="Times New Roman"/>
      <w:lang w:val="en-US" w:eastAsia="en-US"/>
    </w:rPr>
  </w:style>
  <w:style w:type="paragraph" w:customStyle="1" w:styleId="Normal2">
    <w:name w:val="Normal2"/>
    <w:basedOn w:val="prastasis"/>
    <w:uiPriority w:val="99"/>
    <w:rsid w:val="00BD27FA"/>
    <w:pPr>
      <w:widowControl/>
      <w:suppressAutoHyphens w:val="0"/>
      <w:spacing w:before="100" w:beforeAutospacing="1" w:after="100" w:afterAutospacing="1"/>
    </w:pPr>
    <w:rPr>
      <w:rFonts w:eastAsia="Times New Roman"/>
      <w:lang w:val="en-US" w:eastAsia="en-US"/>
    </w:rPr>
  </w:style>
  <w:style w:type="paragraph" w:customStyle="1" w:styleId="Normal4">
    <w:name w:val="Normal4"/>
    <w:basedOn w:val="prastasis"/>
    <w:uiPriority w:val="99"/>
    <w:rsid w:val="00BD27FA"/>
    <w:pPr>
      <w:widowControl/>
      <w:suppressAutoHyphens w:val="0"/>
      <w:spacing w:before="100" w:beforeAutospacing="1" w:after="100" w:afterAutospacing="1"/>
    </w:pPr>
    <w:rPr>
      <w:rFonts w:eastAsia="Times New Roman"/>
      <w:lang w:val="en-US" w:eastAsia="en-US"/>
    </w:rPr>
  </w:style>
  <w:style w:type="paragraph" w:customStyle="1" w:styleId="Normal3">
    <w:name w:val="Normal3"/>
    <w:basedOn w:val="prastasis"/>
    <w:uiPriority w:val="99"/>
    <w:rsid w:val="002440E1"/>
    <w:pPr>
      <w:widowControl/>
      <w:suppressAutoHyphens w:val="0"/>
      <w:spacing w:before="100" w:beforeAutospacing="1" w:after="100" w:afterAutospacing="1"/>
    </w:pPr>
    <w:rPr>
      <w:rFonts w:eastAsia="Times New Roman"/>
      <w:lang w:val="en-US" w:eastAsia="en-US"/>
    </w:rPr>
  </w:style>
  <w:style w:type="character" w:styleId="Komentaronuoroda">
    <w:name w:val="annotation reference"/>
    <w:rsid w:val="00917B3B"/>
    <w:rPr>
      <w:sz w:val="16"/>
      <w:szCs w:val="16"/>
    </w:rPr>
  </w:style>
  <w:style w:type="paragraph" w:styleId="Komentarotekstas">
    <w:name w:val="annotation text"/>
    <w:basedOn w:val="prastasis"/>
    <w:link w:val="KomentarotekstasDiagrama"/>
    <w:rsid w:val="00917B3B"/>
    <w:pPr>
      <w:widowControl/>
      <w:suppressAutoHyphens w:val="0"/>
    </w:pPr>
    <w:rPr>
      <w:rFonts w:eastAsia="Times New Roman"/>
      <w:sz w:val="20"/>
      <w:szCs w:val="20"/>
      <w:lang w:eastAsia="x-none"/>
    </w:rPr>
  </w:style>
  <w:style w:type="character" w:customStyle="1" w:styleId="KomentarotekstasDiagrama">
    <w:name w:val="Komentaro tekstas Diagrama"/>
    <w:link w:val="Komentarotekstas"/>
    <w:rsid w:val="00917B3B"/>
    <w:rPr>
      <w:lang w:val="lt-LT" w:eastAsia="x-none"/>
    </w:rPr>
  </w:style>
  <w:style w:type="paragraph" w:styleId="Antrats">
    <w:name w:val="header"/>
    <w:basedOn w:val="prastasis"/>
    <w:link w:val="AntratsDiagrama"/>
    <w:uiPriority w:val="99"/>
    <w:rsid w:val="00327E1D"/>
    <w:pPr>
      <w:tabs>
        <w:tab w:val="center" w:pos="4986"/>
        <w:tab w:val="right" w:pos="9972"/>
      </w:tabs>
    </w:pPr>
  </w:style>
  <w:style w:type="character" w:customStyle="1" w:styleId="AntratsDiagrama">
    <w:name w:val="Antraštės Diagrama"/>
    <w:link w:val="Antrats"/>
    <w:uiPriority w:val="99"/>
    <w:qFormat/>
    <w:rsid w:val="00327E1D"/>
    <w:rPr>
      <w:rFonts w:eastAsia="Arial Unicode MS"/>
      <w:sz w:val="24"/>
      <w:szCs w:val="24"/>
      <w:lang w:val="lt-LT" w:eastAsia="lt-LT"/>
    </w:rPr>
  </w:style>
  <w:style w:type="paragraph" w:styleId="Porat">
    <w:name w:val="footer"/>
    <w:basedOn w:val="prastasis"/>
    <w:link w:val="PoratDiagrama"/>
    <w:rsid w:val="00327E1D"/>
    <w:pPr>
      <w:tabs>
        <w:tab w:val="center" w:pos="4986"/>
        <w:tab w:val="right" w:pos="9972"/>
      </w:tabs>
    </w:pPr>
  </w:style>
  <w:style w:type="character" w:customStyle="1" w:styleId="PoratDiagrama">
    <w:name w:val="Poraštė Diagrama"/>
    <w:link w:val="Porat"/>
    <w:rsid w:val="00327E1D"/>
    <w:rPr>
      <w:rFonts w:eastAsia="Arial Unicode MS"/>
      <w:sz w:val="24"/>
      <w:szCs w:val="24"/>
      <w:lang w:val="lt-LT" w:eastAsia="lt-LT"/>
    </w:rPr>
  </w:style>
  <w:style w:type="paragraph" w:styleId="Komentarotema">
    <w:name w:val="annotation subject"/>
    <w:basedOn w:val="Komentarotekstas"/>
    <w:next w:val="Komentarotekstas"/>
    <w:link w:val="KomentarotemaDiagrama"/>
    <w:semiHidden/>
    <w:unhideWhenUsed/>
    <w:rsid w:val="00A01BDC"/>
    <w:pPr>
      <w:widowControl w:val="0"/>
      <w:suppressAutoHyphens/>
    </w:pPr>
    <w:rPr>
      <w:rFonts w:eastAsia="Arial Unicode MS"/>
      <w:b/>
      <w:bCs/>
      <w:lang w:eastAsia="lt-LT"/>
    </w:rPr>
  </w:style>
  <w:style w:type="character" w:customStyle="1" w:styleId="KomentarotemaDiagrama">
    <w:name w:val="Komentaro tema Diagrama"/>
    <w:basedOn w:val="KomentarotekstasDiagrama"/>
    <w:link w:val="Komentarotema"/>
    <w:semiHidden/>
    <w:rsid w:val="00A01BDC"/>
    <w:rPr>
      <w:rFonts w:eastAsia="Arial Unicode MS"/>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67395">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71CD8-6661-414E-9E49-BCC385E5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4962</Words>
  <Characters>2829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IR LIETUVOS RESPUBLIKOS NACIONALINIO TEISĖS AKTO PROJEKTO ATITIKTIES LENTELĖ</vt:lpstr>
      <vt:lpstr>REGLAMENTO IR LIETUVOS RESPUBLIKOS NACIONALINIO TEISĖS AKTO PROJEKTO ATITIKTIES LENTELĖ</vt:lpstr>
    </vt:vector>
  </TitlesOfParts>
  <Company>LRV kanceliarija</Company>
  <LinksUpToDate>false</LinksUpToDate>
  <CharactersWithSpaces>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IR LIETUVOS RESPUBLIKOS NACIONALINIO TEISĖS AKTO PROJEKTO ATITIKTIES LENTELĖ</dc:title>
  <dc:creator>iepa</dc:creator>
  <cp:lastModifiedBy>user</cp:lastModifiedBy>
  <cp:revision>16</cp:revision>
  <cp:lastPrinted>2019-06-05T11:09:00Z</cp:lastPrinted>
  <dcterms:created xsi:type="dcterms:W3CDTF">2020-05-20T11:54:00Z</dcterms:created>
  <dcterms:modified xsi:type="dcterms:W3CDTF">2020-07-12T18:03:00Z</dcterms:modified>
</cp:coreProperties>
</file>