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601" w:rsidRPr="007E474F" w:rsidRDefault="00F4531D">
      <w:pPr>
        <w:pStyle w:val="Antrat"/>
        <w:rPr>
          <w:sz w:val="24"/>
        </w:rPr>
      </w:pPr>
      <w:r w:rsidRPr="007E474F">
        <w:rPr>
          <w:noProof/>
          <w:lang w:eastAsia="lt-LT"/>
        </w:rPr>
        <w:drawing>
          <wp:inline distT="0" distB="0" distL="0" distR="0" wp14:anchorId="3D7C35F9" wp14:editId="612F5B69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601" w:rsidRPr="007E474F" w:rsidRDefault="00641601">
      <w:pPr>
        <w:pStyle w:val="Antrat"/>
        <w:rPr>
          <w:sz w:val="24"/>
        </w:rPr>
      </w:pPr>
    </w:p>
    <w:p w:rsidR="00641601" w:rsidRPr="007E474F" w:rsidRDefault="00F4531D">
      <w:pPr>
        <w:pStyle w:val="Antrat"/>
        <w:rPr>
          <w:sz w:val="24"/>
        </w:rPr>
      </w:pPr>
      <w:r w:rsidRPr="007E474F">
        <w:rPr>
          <w:sz w:val="24"/>
        </w:rPr>
        <w:t>LIETUVOS RESPUBLIKOS VIDAUS REIKALŲ MINISTERIJA</w:t>
      </w:r>
    </w:p>
    <w:p w:rsidR="00641601" w:rsidRPr="007E474F" w:rsidRDefault="00641601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641601" w:rsidRPr="007E474F">
        <w:trPr>
          <w:trHeight w:val="669"/>
          <w:jc w:val="center"/>
        </w:trPr>
        <w:tc>
          <w:tcPr>
            <w:tcW w:w="9492" w:type="dxa"/>
          </w:tcPr>
          <w:p w:rsidR="00641601" w:rsidRPr="007E474F" w:rsidRDefault="00F4531D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7E474F">
              <w:rPr>
                <w:sz w:val="20"/>
              </w:rPr>
              <w:t>Biudžetinė įstaiga,  Šventaragio g. 2,  LT-01510  Vilnius,</w:t>
            </w:r>
          </w:p>
          <w:p w:rsidR="00641601" w:rsidRPr="007E474F" w:rsidRDefault="00F4531D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7E474F"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7E474F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7E474F">
              <w:rPr>
                <w:sz w:val="20"/>
              </w:rPr>
              <w:t xml:space="preserve"> </w:t>
            </w:r>
          </w:p>
          <w:p w:rsidR="00641601" w:rsidRPr="007E474F" w:rsidRDefault="00F4531D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7E474F"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641601" w:rsidRDefault="00641601"/>
    <w:p w:rsidR="007E474F" w:rsidRPr="007E474F" w:rsidRDefault="007E474F"/>
    <w:p w:rsidR="004375AE" w:rsidRDefault="004375AE">
      <w:r>
        <w:t>Lietuvos Respublikos Vyriausybei                                                                              Nr.</w:t>
      </w:r>
    </w:p>
    <w:p w:rsidR="004375AE" w:rsidRDefault="004375AE"/>
    <w:p w:rsidR="004375AE" w:rsidRDefault="004375AE">
      <w:r>
        <w:t>Kopija</w:t>
      </w:r>
    </w:p>
    <w:p w:rsidR="00641601" w:rsidRPr="007E474F" w:rsidRDefault="004375AE">
      <w:r>
        <w:t>Lietuvos Respublikos finansų ministerijai</w:t>
      </w:r>
      <w:r w:rsidR="008D223F">
        <w:t xml:space="preserve"> </w:t>
      </w:r>
    </w:p>
    <w:tbl>
      <w:tblPr>
        <w:tblW w:w="9149" w:type="dxa"/>
        <w:tblLayout w:type="fixed"/>
        <w:tblLook w:val="0000" w:firstRow="0" w:lastRow="0" w:firstColumn="0" w:lastColumn="0" w:noHBand="0" w:noVBand="0"/>
      </w:tblPr>
      <w:tblGrid>
        <w:gridCol w:w="4517"/>
        <w:gridCol w:w="489"/>
        <w:gridCol w:w="582"/>
        <w:gridCol w:w="1516"/>
        <w:gridCol w:w="2045"/>
      </w:tblGrid>
      <w:tr w:rsidR="00641601" w:rsidRPr="007E474F" w:rsidTr="006D1CF9">
        <w:trPr>
          <w:trHeight w:val="117"/>
        </w:trPr>
        <w:tc>
          <w:tcPr>
            <w:tcW w:w="4517" w:type="dxa"/>
          </w:tcPr>
          <w:p w:rsidR="00A04AA4" w:rsidRPr="007E474F" w:rsidRDefault="00A04AA4" w:rsidP="007E474F">
            <w:pPr>
              <w:pStyle w:val="Antrats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489" w:type="dxa"/>
          </w:tcPr>
          <w:p w:rsidR="00641601" w:rsidRPr="007E474F" w:rsidRDefault="00641601"/>
        </w:tc>
        <w:tc>
          <w:tcPr>
            <w:tcW w:w="582" w:type="dxa"/>
          </w:tcPr>
          <w:p w:rsidR="00641601" w:rsidRPr="007E474F" w:rsidRDefault="00641601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516" w:type="dxa"/>
          </w:tcPr>
          <w:p w:rsidR="00641601" w:rsidRPr="007E474F" w:rsidRDefault="00641601">
            <w:pPr>
              <w:jc w:val="center"/>
            </w:pPr>
          </w:p>
        </w:tc>
        <w:tc>
          <w:tcPr>
            <w:tcW w:w="2045" w:type="dxa"/>
          </w:tcPr>
          <w:p w:rsidR="00641601" w:rsidRPr="007E474F" w:rsidRDefault="00641601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</w:tr>
      <w:tr w:rsidR="00641601" w:rsidRPr="007E474F" w:rsidTr="006D1CF9">
        <w:trPr>
          <w:trHeight w:val="151"/>
        </w:trPr>
        <w:tc>
          <w:tcPr>
            <w:tcW w:w="4517" w:type="dxa"/>
          </w:tcPr>
          <w:p w:rsidR="00641601" w:rsidRPr="007E474F" w:rsidRDefault="00641601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489" w:type="dxa"/>
          </w:tcPr>
          <w:p w:rsidR="00641601" w:rsidRPr="007E474F" w:rsidRDefault="00641601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582" w:type="dxa"/>
          </w:tcPr>
          <w:p w:rsidR="00641601" w:rsidRPr="007E474F" w:rsidRDefault="00641601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516" w:type="dxa"/>
          </w:tcPr>
          <w:p w:rsidR="00641601" w:rsidRPr="007E474F" w:rsidRDefault="00641601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2045" w:type="dxa"/>
          </w:tcPr>
          <w:p w:rsidR="00641601" w:rsidRPr="007E474F" w:rsidRDefault="00641601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</w:tr>
    </w:tbl>
    <w:p w:rsidR="00FB56AF" w:rsidRPr="007E474F" w:rsidRDefault="00173389" w:rsidP="008D223F">
      <w:pPr>
        <w:pStyle w:val="Antrats"/>
        <w:jc w:val="both"/>
        <w:rPr>
          <w:b/>
        </w:rPr>
      </w:pPr>
      <w:r w:rsidRPr="007E474F">
        <w:rPr>
          <w:b/>
        </w:rPr>
        <w:t xml:space="preserve">DĖL </w:t>
      </w:r>
      <w:r w:rsidRPr="0064455A">
        <w:rPr>
          <w:b/>
        </w:rPr>
        <w:t>LIETUVOS RESPUBLIKOS ĮSTATYMO „DĖL UŽSIENIEČIŲ TEISINĖS PADĖTIES“ NR. IX-2206 PAKEITIMO ĮSTATYMO PROJEKTO</w:t>
      </w:r>
      <w:r w:rsidRPr="007E474F">
        <w:rPr>
          <w:b/>
        </w:rPr>
        <w:t xml:space="preserve"> </w:t>
      </w:r>
    </w:p>
    <w:p w:rsidR="00071589" w:rsidRPr="007E474F" w:rsidRDefault="00071589" w:rsidP="003B52B5">
      <w:pPr>
        <w:pStyle w:val="Antrats"/>
        <w:tabs>
          <w:tab w:val="clear" w:pos="4153"/>
          <w:tab w:val="clear" w:pos="8306"/>
        </w:tabs>
        <w:spacing w:line="276" w:lineRule="auto"/>
        <w:jc w:val="both"/>
      </w:pPr>
    </w:p>
    <w:p w:rsidR="00173389" w:rsidRPr="007E474F" w:rsidRDefault="007E474F" w:rsidP="003B52B5">
      <w:pPr>
        <w:pStyle w:val="Antrats"/>
        <w:spacing w:line="276" w:lineRule="auto"/>
        <w:ind w:firstLine="709"/>
        <w:jc w:val="both"/>
        <w:rPr>
          <w:szCs w:val="24"/>
        </w:rPr>
      </w:pPr>
      <w:r>
        <w:t>Lietuvos Respublikos v</w:t>
      </w:r>
      <w:r w:rsidR="00173389" w:rsidRPr="007E474F">
        <w:t>idaus reikalų ministerija t</w:t>
      </w:r>
      <w:r w:rsidR="00B77E77" w:rsidRPr="007E474F">
        <w:rPr>
          <w:szCs w:val="24"/>
        </w:rPr>
        <w:t xml:space="preserve">eikia Lietuvos Respublikos įstatymo „Dėl užsieniečių teisinės padėties“ Nr. IX-2206 </w:t>
      </w:r>
      <w:r w:rsidR="00B77E77" w:rsidRPr="007E474F">
        <w:rPr>
          <w:color w:val="000000"/>
          <w:szCs w:val="24"/>
          <w:lang w:eastAsia="lt-LT"/>
        </w:rPr>
        <w:t xml:space="preserve">pakeitimo </w:t>
      </w:r>
      <w:r w:rsidR="00B77E77" w:rsidRPr="007E474F">
        <w:rPr>
          <w:szCs w:val="24"/>
        </w:rPr>
        <w:t>įstatymo projektą (toliau – Įstatymo projektas).</w:t>
      </w:r>
      <w:r w:rsidR="008E2E1E" w:rsidRPr="007E474F">
        <w:rPr>
          <w:szCs w:val="24"/>
        </w:rPr>
        <w:t xml:space="preserve"> </w:t>
      </w:r>
    </w:p>
    <w:p w:rsidR="00320CB9" w:rsidRPr="007E474F" w:rsidRDefault="00B77E77" w:rsidP="003B52B5">
      <w:pPr>
        <w:pStyle w:val="Antrats"/>
        <w:spacing w:line="276" w:lineRule="auto"/>
        <w:ind w:firstLine="709"/>
        <w:jc w:val="both"/>
        <w:rPr>
          <w:szCs w:val="24"/>
        </w:rPr>
      </w:pPr>
      <w:r w:rsidRPr="007E474F">
        <w:rPr>
          <w:szCs w:val="24"/>
        </w:rPr>
        <w:t xml:space="preserve">Įstatymo projektas parengtas </w:t>
      </w:r>
      <w:r w:rsidR="00320CB9" w:rsidRPr="007E474F">
        <w:rPr>
          <w:szCs w:val="24"/>
        </w:rPr>
        <w:t>siekiant:</w:t>
      </w:r>
    </w:p>
    <w:p w:rsidR="00320CB9" w:rsidRPr="007E474F" w:rsidRDefault="00320CB9" w:rsidP="003B52B5">
      <w:pPr>
        <w:pStyle w:val="Antrats"/>
        <w:spacing w:line="276" w:lineRule="auto"/>
        <w:ind w:firstLine="709"/>
        <w:jc w:val="both"/>
        <w:rPr>
          <w:szCs w:val="24"/>
        </w:rPr>
      </w:pPr>
      <w:r w:rsidRPr="007E474F">
        <w:rPr>
          <w:szCs w:val="24"/>
          <w:lang w:eastAsia="lt-LT"/>
        </w:rPr>
        <w:t xml:space="preserve">1) </w:t>
      </w:r>
      <w:r w:rsidR="00536B1E" w:rsidRPr="007E474F">
        <w:rPr>
          <w:szCs w:val="24"/>
          <w:lang w:eastAsia="lt-LT"/>
        </w:rPr>
        <w:t xml:space="preserve">tobulinti </w:t>
      </w:r>
      <w:r w:rsidRPr="007E474F">
        <w:rPr>
          <w:szCs w:val="24"/>
          <w:lang w:eastAsia="lt-LT"/>
        </w:rPr>
        <w:t>prašymų suteikti prieglobstį nagrinėjimo mechanizmą, apriboti piktnaudžiavimo prieglobsčio sistema galimybes visuose prašymo suteikti prieglobstį nagrinėjimo etapuose</w:t>
      </w:r>
      <w:r w:rsidRPr="007E474F">
        <w:rPr>
          <w:szCs w:val="24"/>
        </w:rPr>
        <w:t>;</w:t>
      </w:r>
    </w:p>
    <w:p w:rsidR="00320CB9" w:rsidRPr="007E474F" w:rsidRDefault="00D90E00" w:rsidP="003B52B5">
      <w:pPr>
        <w:pStyle w:val="Antrats"/>
        <w:spacing w:line="276" w:lineRule="auto"/>
        <w:ind w:firstLine="709"/>
        <w:jc w:val="both"/>
        <w:rPr>
          <w:szCs w:val="24"/>
        </w:rPr>
      </w:pPr>
      <w:r w:rsidRPr="007E474F">
        <w:rPr>
          <w:szCs w:val="24"/>
        </w:rPr>
        <w:t xml:space="preserve">2) </w:t>
      </w:r>
      <w:r w:rsidR="00536B1E" w:rsidRPr="007E474F">
        <w:rPr>
          <w:szCs w:val="24"/>
        </w:rPr>
        <w:t xml:space="preserve">tobulinti esamą reglamentavimą dėl užsieniečių atvykimo darbo ar kitos teisėtos veiklos tikslais </w:t>
      </w:r>
      <w:r w:rsidRPr="007E474F">
        <w:rPr>
          <w:szCs w:val="24"/>
        </w:rPr>
        <w:t xml:space="preserve">atsižvelgiant į </w:t>
      </w:r>
      <w:r w:rsidR="00F939CD" w:rsidRPr="007E474F">
        <w:rPr>
          <w:szCs w:val="24"/>
        </w:rPr>
        <w:t xml:space="preserve">Lietuvos Respublikos Seimo Migracijos komisijos 2019 m. spalio 9 d. priimtame sprendime Nr. 139-P-8 pateiktus </w:t>
      </w:r>
      <w:r w:rsidR="007E474F">
        <w:rPr>
          <w:szCs w:val="24"/>
        </w:rPr>
        <w:t>pa</w:t>
      </w:r>
      <w:r w:rsidR="00F939CD" w:rsidRPr="007E474F">
        <w:rPr>
          <w:szCs w:val="24"/>
        </w:rPr>
        <w:t>siūlymus</w:t>
      </w:r>
      <w:r w:rsidR="00536B1E" w:rsidRPr="007E474F">
        <w:rPr>
          <w:szCs w:val="24"/>
        </w:rPr>
        <w:t xml:space="preserve"> dėl procedūrų tobulinimo</w:t>
      </w:r>
      <w:r w:rsidRPr="007E474F">
        <w:rPr>
          <w:szCs w:val="24"/>
        </w:rPr>
        <w:t>;</w:t>
      </w:r>
    </w:p>
    <w:p w:rsidR="00071589" w:rsidRDefault="00F939CD" w:rsidP="003B52B5">
      <w:pPr>
        <w:pStyle w:val="Antrats"/>
        <w:spacing w:line="276" w:lineRule="auto"/>
        <w:ind w:firstLine="709"/>
        <w:jc w:val="both"/>
        <w:rPr>
          <w:szCs w:val="24"/>
        </w:rPr>
      </w:pPr>
      <w:r w:rsidRPr="007E474F">
        <w:rPr>
          <w:szCs w:val="24"/>
        </w:rPr>
        <w:t>3)</w:t>
      </w:r>
      <w:r w:rsidR="006A6D30" w:rsidRPr="007E474F">
        <w:rPr>
          <w:szCs w:val="24"/>
        </w:rPr>
        <w:t xml:space="preserve"> </w:t>
      </w:r>
      <w:r w:rsidR="00536B1E" w:rsidRPr="007E474F">
        <w:rPr>
          <w:szCs w:val="24"/>
        </w:rPr>
        <w:t xml:space="preserve">tikslinti </w:t>
      </w:r>
      <w:r w:rsidR="006A6D30" w:rsidRPr="007E474F">
        <w:rPr>
          <w:szCs w:val="24"/>
        </w:rPr>
        <w:t>Lietuvos Respublikos</w:t>
      </w:r>
      <w:r w:rsidR="00EA72FE" w:rsidRPr="007E474F">
        <w:rPr>
          <w:szCs w:val="24"/>
        </w:rPr>
        <w:t xml:space="preserve"> </w:t>
      </w:r>
      <w:r w:rsidR="006A6D30" w:rsidRPr="007E474F">
        <w:rPr>
          <w:szCs w:val="24"/>
        </w:rPr>
        <w:t xml:space="preserve">įstatymo „Dėl užsieniečių teisinės padėties“ </w:t>
      </w:r>
      <w:r w:rsidR="00536B1E" w:rsidRPr="007E474F">
        <w:rPr>
          <w:szCs w:val="24"/>
        </w:rPr>
        <w:t xml:space="preserve">(toliau – Įstatymas) </w:t>
      </w:r>
      <w:r w:rsidR="006A6D30" w:rsidRPr="007E474F">
        <w:rPr>
          <w:szCs w:val="24"/>
        </w:rPr>
        <w:t xml:space="preserve">nuostatas, reglamentuojančias </w:t>
      </w:r>
      <w:r w:rsidRPr="007E474F">
        <w:rPr>
          <w:szCs w:val="24"/>
        </w:rPr>
        <w:t xml:space="preserve">Europos Sąjungos </w:t>
      </w:r>
      <w:r w:rsidR="00EA72FE" w:rsidRPr="007E474F">
        <w:rPr>
          <w:szCs w:val="24"/>
        </w:rPr>
        <w:t xml:space="preserve">valstybių narių </w:t>
      </w:r>
      <w:r w:rsidRPr="007E474F">
        <w:rPr>
          <w:szCs w:val="24"/>
        </w:rPr>
        <w:t xml:space="preserve">piliečių </w:t>
      </w:r>
      <w:r w:rsidR="006A6D30" w:rsidRPr="007E474F">
        <w:rPr>
          <w:szCs w:val="24"/>
        </w:rPr>
        <w:t xml:space="preserve">teisinę padėtį Lietuvos Respublikoje atsižvelgiant į Europos Sąjungos </w:t>
      </w:r>
      <w:r w:rsidR="00071589">
        <w:rPr>
          <w:szCs w:val="24"/>
        </w:rPr>
        <w:t>T</w:t>
      </w:r>
      <w:r w:rsidR="006A6D30" w:rsidRPr="007E474F">
        <w:rPr>
          <w:szCs w:val="24"/>
        </w:rPr>
        <w:t xml:space="preserve">eisingumo </w:t>
      </w:r>
      <w:r w:rsidR="00071589">
        <w:rPr>
          <w:szCs w:val="24"/>
        </w:rPr>
        <w:t>T</w:t>
      </w:r>
      <w:r w:rsidR="006A6D30" w:rsidRPr="007E474F">
        <w:rPr>
          <w:szCs w:val="24"/>
        </w:rPr>
        <w:t>eismo priimtus sprendimus bylose C</w:t>
      </w:r>
      <w:r w:rsidR="007E474F">
        <w:rPr>
          <w:szCs w:val="24"/>
        </w:rPr>
        <w:t>-</w:t>
      </w:r>
      <w:r w:rsidR="006A6D30" w:rsidRPr="007E474F">
        <w:rPr>
          <w:szCs w:val="24"/>
        </w:rPr>
        <w:t>544/18 ir C</w:t>
      </w:r>
      <w:r w:rsidR="007E474F">
        <w:rPr>
          <w:szCs w:val="24"/>
        </w:rPr>
        <w:t>-</w:t>
      </w:r>
      <w:r w:rsidR="006A6D30" w:rsidRPr="007E474F">
        <w:rPr>
          <w:szCs w:val="24"/>
        </w:rPr>
        <w:t xml:space="preserve">32/19. </w:t>
      </w:r>
    </w:p>
    <w:p w:rsidR="00B77E77" w:rsidRPr="007E474F" w:rsidRDefault="00B77E77" w:rsidP="003B52B5">
      <w:pPr>
        <w:pStyle w:val="Antrats"/>
        <w:spacing w:line="276" w:lineRule="auto"/>
        <w:ind w:firstLine="709"/>
        <w:jc w:val="both"/>
        <w:rPr>
          <w:szCs w:val="24"/>
        </w:rPr>
      </w:pPr>
      <w:r w:rsidRPr="007E474F">
        <w:rPr>
          <w:szCs w:val="24"/>
        </w:rPr>
        <w:t>Įstatymo projekto numatomo teisinio reguliavimo tikslai, priemonės, pasekmės nurodyti aiškinamajame rašte.</w:t>
      </w:r>
    </w:p>
    <w:p w:rsidR="00B77E77" w:rsidRPr="007E474F" w:rsidRDefault="00B77E77" w:rsidP="003B52B5">
      <w:pPr>
        <w:pStyle w:val="Antrats"/>
        <w:spacing w:line="276" w:lineRule="auto"/>
        <w:ind w:firstLine="709"/>
        <w:jc w:val="both"/>
        <w:rPr>
          <w:szCs w:val="24"/>
        </w:rPr>
      </w:pPr>
      <w:r w:rsidRPr="007E474F">
        <w:rPr>
          <w:szCs w:val="24"/>
        </w:rPr>
        <w:t xml:space="preserve">Įstatymo projektas neprieštarauja Lietuvos Respublikos Vyriausybės programos nuostatoms. </w:t>
      </w:r>
    </w:p>
    <w:p w:rsidR="004375AE" w:rsidRDefault="004375AE" w:rsidP="003B52B5">
      <w:pPr>
        <w:pStyle w:val="Antrats"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Įstatymo projektas </w:t>
      </w:r>
      <w:r w:rsidR="00823DF2">
        <w:rPr>
          <w:szCs w:val="24"/>
        </w:rPr>
        <w:t xml:space="preserve">teiktas derinti </w:t>
      </w:r>
      <w:r w:rsidR="008D223F">
        <w:t>Lietuvos Respublikos s</w:t>
      </w:r>
      <w:r w:rsidRPr="006B0353">
        <w:rPr>
          <w:szCs w:val="24"/>
        </w:rPr>
        <w:t xml:space="preserve">ocialinės apsaugos ir darbo ministerijai, </w:t>
      </w:r>
      <w:r w:rsidR="008D223F">
        <w:t>Lietuvos Respublikos t</w:t>
      </w:r>
      <w:r w:rsidRPr="006B0353">
        <w:rPr>
          <w:szCs w:val="24"/>
        </w:rPr>
        <w:t xml:space="preserve">eisingumo ministerijai, </w:t>
      </w:r>
      <w:r w:rsidR="008D223F">
        <w:t>Lietuvos Respublikos u</w:t>
      </w:r>
      <w:r w:rsidRPr="006B0353">
        <w:rPr>
          <w:szCs w:val="24"/>
        </w:rPr>
        <w:t xml:space="preserve">žsienio reikalų ministerijai, </w:t>
      </w:r>
      <w:r w:rsidR="008D223F">
        <w:t>Lietuvos Respublikos e</w:t>
      </w:r>
      <w:r w:rsidRPr="006B0353">
        <w:rPr>
          <w:szCs w:val="24"/>
        </w:rPr>
        <w:t xml:space="preserve">konomikos ir inovacijų ministerijai, </w:t>
      </w:r>
      <w:r w:rsidR="008D223F">
        <w:t>Lietuvos Respublikos š</w:t>
      </w:r>
      <w:r w:rsidR="00430772">
        <w:rPr>
          <w:szCs w:val="24"/>
        </w:rPr>
        <w:t xml:space="preserve">vietimo, mokslo ir sporto ministerijai, </w:t>
      </w:r>
      <w:r w:rsidR="008D223F">
        <w:t>Lietuvos Respublikos f</w:t>
      </w:r>
      <w:r w:rsidRPr="006B0353">
        <w:rPr>
          <w:szCs w:val="24"/>
        </w:rPr>
        <w:t xml:space="preserve">inansų ministerijai, </w:t>
      </w:r>
      <w:r w:rsidR="008D223F">
        <w:t>Lietuvos Respublikos v</w:t>
      </w:r>
      <w:r w:rsidRPr="006B0353">
        <w:rPr>
          <w:szCs w:val="24"/>
        </w:rPr>
        <w:t xml:space="preserve">alstybės saugumo departamentui, </w:t>
      </w:r>
      <w:r w:rsidR="008D223F">
        <w:t>Lietuvos Respublikos v</w:t>
      </w:r>
      <w:r w:rsidRPr="006B0353">
        <w:rPr>
          <w:szCs w:val="24"/>
        </w:rPr>
        <w:t>alstybinei darbo inspekcijai prie Socialinės apsaugos ir darbo ministerijos, Valstybinio socialinio draudimo fondo valdybai prie Socialinės apsaugos ir darbo ministerijos</w:t>
      </w:r>
      <w:r w:rsidR="00430772">
        <w:rPr>
          <w:szCs w:val="24"/>
        </w:rPr>
        <w:t xml:space="preserve">, Užimtumo tarnybai prie </w:t>
      </w:r>
      <w:r w:rsidR="008D223F">
        <w:t>Lietuvos Respublikos s</w:t>
      </w:r>
      <w:r w:rsidR="00430772" w:rsidRPr="006B0353">
        <w:rPr>
          <w:szCs w:val="24"/>
        </w:rPr>
        <w:t>ocialinės apsaugos ir darbo ministerijos</w:t>
      </w:r>
      <w:r w:rsidR="00430772">
        <w:rPr>
          <w:szCs w:val="24"/>
        </w:rPr>
        <w:t xml:space="preserve"> ir Valstybinei mokesčių inspekcijai prie</w:t>
      </w:r>
      <w:r w:rsidR="008D223F" w:rsidRPr="008D223F">
        <w:t xml:space="preserve"> </w:t>
      </w:r>
      <w:r w:rsidR="008D223F">
        <w:t>Lietuvos Respublikos</w:t>
      </w:r>
      <w:r w:rsidR="00430772">
        <w:rPr>
          <w:szCs w:val="24"/>
        </w:rPr>
        <w:t xml:space="preserve"> </w:t>
      </w:r>
      <w:r w:rsidR="008D223F">
        <w:rPr>
          <w:szCs w:val="24"/>
        </w:rPr>
        <w:t>f</w:t>
      </w:r>
      <w:r w:rsidR="00430772">
        <w:rPr>
          <w:szCs w:val="24"/>
        </w:rPr>
        <w:t xml:space="preserve">inansų </w:t>
      </w:r>
      <w:r w:rsidR="00430772">
        <w:rPr>
          <w:szCs w:val="24"/>
        </w:rPr>
        <w:lastRenderedPageBreak/>
        <w:t>ministerijos</w:t>
      </w:r>
      <w:r w:rsidRPr="006B0353">
        <w:rPr>
          <w:szCs w:val="24"/>
        </w:rPr>
        <w:t>.</w:t>
      </w:r>
      <w:r w:rsidR="00430772">
        <w:rPr>
          <w:szCs w:val="24"/>
        </w:rPr>
        <w:t xml:space="preserve"> Įstatymo projektas ir aiškinamasis raštas patikslinti pagal minėtų institucijų pastabas ir pasiūlymus bei suderinti darbo tvarka,</w:t>
      </w:r>
      <w:r w:rsidR="00B51519">
        <w:rPr>
          <w:szCs w:val="24"/>
        </w:rPr>
        <w:t xml:space="preserve"> todėl derinimo pažymoje dėstomi argumentai tik dėl tų pastabų ir pasiūlymų, kurių nepavyko suderinti.</w:t>
      </w:r>
    </w:p>
    <w:p w:rsidR="00B51519" w:rsidRDefault="00B51519" w:rsidP="003B52B5">
      <w:pPr>
        <w:pStyle w:val="Antrats"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Taip pat gautos Jungtinių Tautų vyriausiojo pabėgėlių komisaro valdybos rekomendacijos, kurios įvertintos tikslinant Įstatymo projektą</w:t>
      </w:r>
      <w:r w:rsidR="00C8106E">
        <w:rPr>
          <w:szCs w:val="24"/>
        </w:rPr>
        <w:t xml:space="preserve"> (patikslintas Įstatymo 71 straipsnio 1 dalies 4 punktas, papildytas Įstatymo 125 straipsnis)</w:t>
      </w:r>
      <w:r>
        <w:rPr>
          <w:szCs w:val="24"/>
        </w:rPr>
        <w:t>.</w:t>
      </w:r>
    </w:p>
    <w:p w:rsidR="00092106" w:rsidRDefault="00092106" w:rsidP="003B52B5">
      <w:pPr>
        <w:pStyle w:val="Antrats"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S</w:t>
      </w:r>
      <w:r w:rsidR="00B51519">
        <w:rPr>
          <w:szCs w:val="24"/>
        </w:rPr>
        <w:t xml:space="preserve">iunčiant </w:t>
      </w:r>
      <w:r>
        <w:rPr>
          <w:szCs w:val="24"/>
        </w:rPr>
        <w:t xml:space="preserve">suinteresuotoms institucijoms </w:t>
      </w:r>
      <w:r w:rsidR="00B51519">
        <w:rPr>
          <w:szCs w:val="24"/>
        </w:rPr>
        <w:t xml:space="preserve">derinti Įstatymo projektą jo įgyvendinimui lėšų poreikio nebuvo, </w:t>
      </w:r>
      <w:r>
        <w:rPr>
          <w:szCs w:val="24"/>
        </w:rPr>
        <w:t>tačiau</w:t>
      </w:r>
      <w:r w:rsidR="00B51519">
        <w:rPr>
          <w:szCs w:val="24"/>
        </w:rPr>
        <w:t xml:space="preserve"> po derinimo su suinteresuotomis institucijomis iš jų gauti pasiūlymai papildyti Įstatymo projekto aiškinamąjį raštą papildomu lėšų poreikiu įgyvendinant Įstatymo nuostatas, </w:t>
      </w:r>
      <w:r>
        <w:rPr>
          <w:szCs w:val="24"/>
        </w:rPr>
        <w:t xml:space="preserve">todėl </w:t>
      </w:r>
      <w:r w:rsidR="00B51519">
        <w:rPr>
          <w:szCs w:val="24"/>
        </w:rPr>
        <w:t>patikslintas Įstatymo projektas pakartotinai siunčiamas derinti Finansų ministerijai.</w:t>
      </w:r>
      <w:r>
        <w:rPr>
          <w:szCs w:val="24"/>
        </w:rPr>
        <w:t xml:space="preserve"> </w:t>
      </w:r>
      <w:r w:rsidRPr="001F55FE">
        <w:rPr>
          <w:b/>
          <w:szCs w:val="24"/>
        </w:rPr>
        <w:t>Prašome Finansų ministerijos pateikti išvadą</w:t>
      </w:r>
      <w:r>
        <w:rPr>
          <w:szCs w:val="24"/>
        </w:rPr>
        <w:t xml:space="preserve"> dėl lėšų poreikio per Lietuvos Respublikos Vyriausybės darbo reglamento, patvirtinto Lietuvos Respublikos Vyriausybės 1994 m. rugpjūčio 11 d. nutarimu Nr. 728, 27 punkte nurodytą terminą.</w:t>
      </w:r>
    </w:p>
    <w:p w:rsidR="00092106" w:rsidRDefault="00092106" w:rsidP="003B52B5">
      <w:pPr>
        <w:spacing w:line="276" w:lineRule="auto"/>
        <w:ind w:right="-2" w:firstLine="709"/>
        <w:jc w:val="both"/>
      </w:pPr>
      <w:r>
        <w:rPr>
          <w:color w:val="000000"/>
          <w:lang w:eastAsia="lt-LT"/>
        </w:rPr>
        <w:t>Atsižvelg</w:t>
      </w:r>
      <w:r w:rsidR="003B52B5">
        <w:rPr>
          <w:color w:val="000000"/>
          <w:lang w:eastAsia="lt-LT"/>
        </w:rPr>
        <w:t>dami</w:t>
      </w:r>
      <w:r>
        <w:rPr>
          <w:color w:val="000000"/>
          <w:lang w:eastAsia="lt-LT"/>
        </w:rPr>
        <w:t xml:space="preserve"> į tai, kad </w:t>
      </w:r>
      <w:bookmarkStart w:id="0" w:name="pn1_50"/>
      <w:bookmarkEnd w:id="0"/>
      <w:r>
        <w:rPr>
          <w:color w:val="000000"/>
          <w:lang w:eastAsia="lt-LT"/>
        </w:rPr>
        <w:t>Į</w:t>
      </w:r>
      <w:r>
        <w:t xml:space="preserve">statymo projektu tobulinamos imigracijos ir prieglobsčio procedūros, kuriomis siekiama optimizuoti migracijos valdymo procesus ir užkirsti kelią piktnaudžiauti migracijos ir prieglobsčio procedūromis, prašome Vyriausybės svarstyti Įstatymo projektą </w:t>
      </w:r>
      <w:r w:rsidRPr="00092106">
        <w:rPr>
          <w:b/>
        </w:rPr>
        <w:t>skubos tvarka</w:t>
      </w:r>
      <w:r>
        <w:t>.</w:t>
      </w:r>
    </w:p>
    <w:p w:rsidR="00B77E77" w:rsidRPr="007E474F" w:rsidRDefault="00B77E77" w:rsidP="003B52B5">
      <w:pPr>
        <w:pStyle w:val="Antrats"/>
        <w:tabs>
          <w:tab w:val="clear" w:pos="4153"/>
          <w:tab w:val="clear" w:pos="8306"/>
        </w:tabs>
        <w:spacing w:line="276" w:lineRule="auto"/>
        <w:ind w:firstLine="709"/>
        <w:jc w:val="both"/>
        <w:rPr>
          <w:szCs w:val="24"/>
        </w:rPr>
      </w:pPr>
      <w:r w:rsidRPr="007E474F">
        <w:rPr>
          <w:szCs w:val="24"/>
        </w:rPr>
        <w:t xml:space="preserve">Įstatymo projektas paskelbtas </w:t>
      </w:r>
      <w:r w:rsidR="00071589">
        <w:rPr>
          <w:szCs w:val="24"/>
        </w:rPr>
        <w:t xml:space="preserve">Lietuvos Respublikos Seimo kanceliarijos </w:t>
      </w:r>
      <w:r w:rsidRPr="007E474F">
        <w:rPr>
          <w:szCs w:val="24"/>
        </w:rPr>
        <w:t>Teisės aktų informacinėje sistemoje (TAIS), kur su j</w:t>
      </w:r>
      <w:r w:rsidR="00071589">
        <w:rPr>
          <w:szCs w:val="24"/>
        </w:rPr>
        <w:t>uo</w:t>
      </w:r>
      <w:r w:rsidRPr="007E474F">
        <w:rPr>
          <w:szCs w:val="24"/>
        </w:rPr>
        <w:t xml:space="preserve"> gali susipažinti suinteresuotos institucijos ir visuomenė. Kitų konsultavimosi su visuomene būdų nenumatoma.</w:t>
      </w:r>
    </w:p>
    <w:p w:rsidR="00173389" w:rsidRPr="007E474F" w:rsidRDefault="00173389" w:rsidP="003B52B5">
      <w:pPr>
        <w:pStyle w:val="Antrats"/>
        <w:spacing w:line="276" w:lineRule="auto"/>
        <w:ind w:firstLine="709"/>
        <w:jc w:val="both"/>
        <w:rPr>
          <w:szCs w:val="24"/>
          <w:lang w:eastAsia="lt-LT"/>
        </w:rPr>
      </w:pPr>
      <w:r w:rsidRPr="007E474F">
        <w:rPr>
          <w:szCs w:val="24"/>
          <w:lang w:eastAsia="lt-LT"/>
        </w:rPr>
        <w:t xml:space="preserve">Įstatymo projektą parengė </w:t>
      </w:r>
      <w:r w:rsidR="008D223F">
        <w:rPr>
          <w:szCs w:val="24"/>
          <w:lang w:eastAsia="lt-LT"/>
        </w:rPr>
        <w:t>V</w:t>
      </w:r>
      <w:r w:rsidRPr="007E474F">
        <w:rPr>
          <w:szCs w:val="24"/>
          <w:lang w:eastAsia="lt-LT"/>
        </w:rPr>
        <w:t>idaus reikalų ministerijos Migracijos politikos grupės (vadovė Aušra Grikevičienė, tel. (8 5) 271 7078)</w:t>
      </w:r>
      <w:r w:rsidR="006F6238">
        <w:rPr>
          <w:szCs w:val="24"/>
          <w:lang w:eastAsia="lt-LT"/>
        </w:rPr>
        <w:t xml:space="preserve"> </w:t>
      </w:r>
      <w:r w:rsidR="006F6238">
        <w:rPr>
          <w:lang w:eastAsia="lt-LT"/>
        </w:rPr>
        <w:t>vyresnysis patarėjas Gintaras Valiulis (tel. (8 5) 271 7070),</w:t>
      </w:r>
      <w:r w:rsidRPr="007E474F">
        <w:rPr>
          <w:szCs w:val="24"/>
          <w:lang w:eastAsia="lt-LT"/>
        </w:rPr>
        <w:t xml:space="preserve"> patarėj</w:t>
      </w:r>
      <w:r w:rsidR="006F6238">
        <w:rPr>
          <w:szCs w:val="24"/>
          <w:lang w:eastAsia="lt-LT"/>
        </w:rPr>
        <w:t>a</w:t>
      </w:r>
      <w:r w:rsidRPr="007E474F">
        <w:rPr>
          <w:szCs w:val="24"/>
          <w:lang w:eastAsia="lt-LT"/>
        </w:rPr>
        <w:t xml:space="preserve"> Danutė Petrauskienė </w:t>
      </w:r>
      <w:r w:rsidR="007E474F">
        <w:rPr>
          <w:szCs w:val="24"/>
          <w:lang w:eastAsia="lt-LT"/>
        </w:rPr>
        <w:t>(</w:t>
      </w:r>
      <w:r w:rsidRPr="007E474F">
        <w:rPr>
          <w:szCs w:val="24"/>
          <w:lang w:eastAsia="lt-LT"/>
        </w:rPr>
        <w:t>tel. (8 5) 271 8467</w:t>
      </w:r>
      <w:r w:rsidR="007E474F">
        <w:rPr>
          <w:szCs w:val="24"/>
          <w:lang w:eastAsia="lt-LT"/>
        </w:rPr>
        <w:t>)</w:t>
      </w:r>
      <w:r w:rsidR="007E474F" w:rsidRPr="007E474F">
        <w:rPr>
          <w:szCs w:val="24"/>
          <w:lang w:eastAsia="lt-LT"/>
        </w:rPr>
        <w:t xml:space="preserve"> </w:t>
      </w:r>
      <w:r w:rsidRPr="007E474F">
        <w:rPr>
          <w:szCs w:val="24"/>
          <w:lang w:eastAsia="lt-LT"/>
        </w:rPr>
        <w:t xml:space="preserve">ir </w:t>
      </w:r>
      <w:r w:rsidR="006F6238">
        <w:rPr>
          <w:szCs w:val="24"/>
          <w:lang w:eastAsia="lt-LT"/>
        </w:rPr>
        <w:t xml:space="preserve">patarėja </w:t>
      </w:r>
      <w:r w:rsidRPr="007E474F">
        <w:rPr>
          <w:szCs w:val="24"/>
          <w:lang w:eastAsia="lt-LT"/>
        </w:rPr>
        <w:t xml:space="preserve">Rūta Jasulaitienė </w:t>
      </w:r>
      <w:r w:rsidR="007E474F">
        <w:rPr>
          <w:szCs w:val="24"/>
          <w:lang w:eastAsia="lt-LT"/>
        </w:rPr>
        <w:t>(</w:t>
      </w:r>
      <w:r w:rsidRPr="007E474F">
        <w:rPr>
          <w:szCs w:val="24"/>
          <w:lang w:eastAsia="lt-LT"/>
        </w:rPr>
        <w:t>tel. (8 5) 271 8897</w:t>
      </w:r>
      <w:r w:rsidR="007E474F">
        <w:rPr>
          <w:szCs w:val="24"/>
          <w:lang w:eastAsia="lt-LT"/>
        </w:rPr>
        <w:t>)</w:t>
      </w:r>
      <w:r w:rsidRPr="007E474F">
        <w:rPr>
          <w:szCs w:val="24"/>
          <w:lang w:eastAsia="lt-LT"/>
        </w:rPr>
        <w:t>.</w:t>
      </w:r>
    </w:p>
    <w:p w:rsidR="00B77E77" w:rsidRPr="007E474F" w:rsidRDefault="00B77E77" w:rsidP="00173389">
      <w:pPr>
        <w:spacing w:line="276" w:lineRule="auto"/>
        <w:ind w:firstLine="851"/>
        <w:jc w:val="both"/>
        <w:rPr>
          <w:szCs w:val="24"/>
        </w:rPr>
      </w:pPr>
      <w:r w:rsidRPr="007E474F">
        <w:rPr>
          <w:szCs w:val="24"/>
        </w:rPr>
        <w:t>PRIDEDAMA:</w:t>
      </w:r>
    </w:p>
    <w:p w:rsidR="00B77E77" w:rsidRPr="00645968" w:rsidRDefault="00B77E77" w:rsidP="00173389">
      <w:pPr>
        <w:pStyle w:val="Antrats"/>
        <w:tabs>
          <w:tab w:val="clear" w:pos="4153"/>
          <w:tab w:val="left" w:pos="993"/>
        </w:tabs>
        <w:spacing w:line="276" w:lineRule="auto"/>
        <w:ind w:left="851"/>
        <w:jc w:val="both"/>
        <w:rPr>
          <w:szCs w:val="24"/>
        </w:rPr>
      </w:pPr>
      <w:r w:rsidRPr="00645968">
        <w:rPr>
          <w:szCs w:val="24"/>
        </w:rPr>
        <w:t xml:space="preserve">1. Įstatymo projektas ir jo lyginamasis variantas, </w:t>
      </w:r>
      <w:r w:rsidR="003B52B5" w:rsidRPr="00645968">
        <w:rPr>
          <w:szCs w:val="24"/>
        </w:rPr>
        <w:t>57</w:t>
      </w:r>
      <w:r w:rsidRPr="00645968">
        <w:rPr>
          <w:szCs w:val="24"/>
        </w:rPr>
        <w:t xml:space="preserve"> lapai.</w:t>
      </w:r>
    </w:p>
    <w:p w:rsidR="00B77E77" w:rsidRPr="00645968" w:rsidRDefault="00B77E77" w:rsidP="00173389">
      <w:pPr>
        <w:pStyle w:val="Antrats"/>
        <w:tabs>
          <w:tab w:val="clear" w:pos="4153"/>
          <w:tab w:val="left" w:pos="993"/>
        </w:tabs>
        <w:spacing w:line="276" w:lineRule="auto"/>
        <w:ind w:left="851"/>
        <w:jc w:val="both"/>
        <w:rPr>
          <w:szCs w:val="24"/>
        </w:rPr>
      </w:pPr>
      <w:r w:rsidRPr="00645968">
        <w:rPr>
          <w:szCs w:val="24"/>
        </w:rPr>
        <w:t xml:space="preserve">2. Aiškinamasis raštas, </w:t>
      </w:r>
      <w:r w:rsidR="00645012" w:rsidRPr="00645968">
        <w:rPr>
          <w:szCs w:val="24"/>
        </w:rPr>
        <w:t>2</w:t>
      </w:r>
      <w:r w:rsidR="003B52B5" w:rsidRPr="00645968">
        <w:rPr>
          <w:szCs w:val="24"/>
        </w:rPr>
        <w:t>7</w:t>
      </w:r>
      <w:r w:rsidRPr="00645968">
        <w:rPr>
          <w:szCs w:val="24"/>
        </w:rPr>
        <w:t xml:space="preserve"> lapai. </w:t>
      </w:r>
    </w:p>
    <w:p w:rsidR="00B77E77" w:rsidRPr="00645968" w:rsidRDefault="00B77E77" w:rsidP="00173389">
      <w:pPr>
        <w:spacing w:line="276" w:lineRule="auto"/>
        <w:ind w:left="131" w:firstLine="720"/>
        <w:rPr>
          <w:szCs w:val="24"/>
        </w:rPr>
      </w:pPr>
      <w:r w:rsidRPr="00645968">
        <w:rPr>
          <w:szCs w:val="24"/>
        </w:rPr>
        <w:t>3. Atitikties lentelė</w:t>
      </w:r>
      <w:r w:rsidR="006A6D30" w:rsidRPr="00645968">
        <w:rPr>
          <w:szCs w:val="24"/>
        </w:rPr>
        <w:t>s</w:t>
      </w:r>
      <w:r w:rsidRPr="00645968">
        <w:rPr>
          <w:szCs w:val="24"/>
        </w:rPr>
        <w:t xml:space="preserve">, </w:t>
      </w:r>
      <w:r w:rsidR="00645012" w:rsidRPr="00645968">
        <w:rPr>
          <w:szCs w:val="24"/>
        </w:rPr>
        <w:t>1</w:t>
      </w:r>
      <w:r w:rsidR="003B52B5" w:rsidRPr="00645968">
        <w:rPr>
          <w:szCs w:val="24"/>
        </w:rPr>
        <w:t>16</w:t>
      </w:r>
      <w:r w:rsidRPr="00645968">
        <w:rPr>
          <w:szCs w:val="24"/>
        </w:rPr>
        <w:t xml:space="preserve"> lap</w:t>
      </w:r>
      <w:r w:rsidR="00645012" w:rsidRPr="00645968">
        <w:rPr>
          <w:szCs w:val="24"/>
        </w:rPr>
        <w:t>ų</w:t>
      </w:r>
      <w:r w:rsidRPr="00645968">
        <w:rPr>
          <w:szCs w:val="24"/>
        </w:rPr>
        <w:t>.</w:t>
      </w:r>
    </w:p>
    <w:p w:rsidR="00102F21" w:rsidRPr="00645968" w:rsidRDefault="00B77E77" w:rsidP="00173389">
      <w:pPr>
        <w:pStyle w:val="Antrats"/>
        <w:tabs>
          <w:tab w:val="clear" w:pos="4153"/>
          <w:tab w:val="left" w:pos="993"/>
        </w:tabs>
        <w:spacing w:line="276" w:lineRule="auto"/>
        <w:ind w:firstLine="851"/>
        <w:jc w:val="both"/>
        <w:rPr>
          <w:szCs w:val="24"/>
        </w:rPr>
      </w:pPr>
      <w:r w:rsidRPr="00645968">
        <w:rPr>
          <w:szCs w:val="24"/>
        </w:rPr>
        <w:t xml:space="preserve">4. Lietuvos Respublikos Vyriausybės nutarimo projektas, 1 lapas. </w:t>
      </w:r>
    </w:p>
    <w:p w:rsidR="00B77E77" w:rsidRPr="00645968" w:rsidRDefault="00102F21" w:rsidP="00173389">
      <w:pPr>
        <w:pStyle w:val="Antrats"/>
        <w:tabs>
          <w:tab w:val="clear" w:pos="4153"/>
          <w:tab w:val="left" w:pos="993"/>
        </w:tabs>
        <w:spacing w:line="276" w:lineRule="auto"/>
        <w:ind w:firstLine="851"/>
        <w:jc w:val="both"/>
        <w:rPr>
          <w:szCs w:val="24"/>
        </w:rPr>
      </w:pPr>
      <w:r w:rsidRPr="00645968">
        <w:rPr>
          <w:szCs w:val="24"/>
        </w:rPr>
        <w:t>5. Suinteresuotų institucijų išvadų kopijos</w:t>
      </w:r>
      <w:r w:rsidR="00F85529">
        <w:rPr>
          <w:szCs w:val="24"/>
        </w:rPr>
        <w:t>,</w:t>
      </w:r>
      <w:r w:rsidRPr="00645968">
        <w:rPr>
          <w:szCs w:val="24"/>
        </w:rPr>
        <w:t xml:space="preserve"> </w:t>
      </w:r>
      <w:r w:rsidR="00645968" w:rsidRPr="00645968">
        <w:rPr>
          <w:szCs w:val="24"/>
        </w:rPr>
        <w:t xml:space="preserve">19 </w:t>
      </w:r>
      <w:r w:rsidRPr="00645968">
        <w:rPr>
          <w:szCs w:val="24"/>
        </w:rPr>
        <w:t>lap</w:t>
      </w:r>
      <w:r w:rsidR="00645968" w:rsidRPr="00645968">
        <w:rPr>
          <w:szCs w:val="24"/>
        </w:rPr>
        <w:t>ų</w:t>
      </w:r>
      <w:r w:rsidRPr="00645968">
        <w:rPr>
          <w:szCs w:val="24"/>
        </w:rPr>
        <w:t>.</w:t>
      </w:r>
      <w:r w:rsidR="00B77E77" w:rsidRPr="00645968">
        <w:rPr>
          <w:szCs w:val="24"/>
        </w:rPr>
        <w:t xml:space="preserve"> </w:t>
      </w:r>
    </w:p>
    <w:p w:rsidR="00102F21" w:rsidRPr="00645968" w:rsidRDefault="00102F21" w:rsidP="00173389">
      <w:pPr>
        <w:pStyle w:val="Antrats"/>
        <w:tabs>
          <w:tab w:val="clear" w:pos="4153"/>
          <w:tab w:val="left" w:pos="993"/>
        </w:tabs>
        <w:spacing w:line="276" w:lineRule="auto"/>
        <w:ind w:firstLine="851"/>
        <w:jc w:val="both"/>
        <w:rPr>
          <w:szCs w:val="24"/>
        </w:rPr>
      </w:pPr>
      <w:r w:rsidRPr="00645968">
        <w:rPr>
          <w:szCs w:val="24"/>
        </w:rPr>
        <w:t>6. Jungtinių Tautų vyriausiojo pabėgėlių komisaro valdybos rekomendacijos, 16 lapų.</w:t>
      </w:r>
    </w:p>
    <w:p w:rsidR="00AF6424" w:rsidRPr="00645968" w:rsidRDefault="00AF6424" w:rsidP="00173389">
      <w:pPr>
        <w:pStyle w:val="Antrats"/>
        <w:tabs>
          <w:tab w:val="clear" w:pos="4153"/>
          <w:tab w:val="left" w:pos="993"/>
        </w:tabs>
        <w:spacing w:line="276" w:lineRule="auto"/>
        <w:ind w:firstLine="851"/>
        <w:jc w:val="both"/>
        <w:rPr>
          <w:szCs w:val="24"/>
        </w:rPr>
      </w:pPr>
      <w:r w:rsidRPr="00645968">
        <w:rPr>
          <w:szCs w:val="24"/>
        </w:rPr>
        <w:t>7. Derinimo pažym</w:t>
      </w:r>
      <w:r w:rsidR="009756DF" w:rsidRPr="00645968">
        <w:rPr>
          <w:szCs w:val="24"/>
        </w:rPr>
        <w:t>a</w:t>
      </w:r>
      <w:r w:rsidRPr="00645968">
        <w:rPr>
          <w:szCs w:val="24"/>
        </w:rPr>
        <w:t xml:space="preserve">, </w:t>
      </w:r>
      <w:r w:rsidR="003B52B5" w:rsidRPr="00645968">
        <w:rPr>
          <w:szCs w:val="24"/>
        </w:rPr>
        <w:t>4 lapai</w:t>
      </w:r>
      <w:r w:rsidRPr="00645968">
        <w:rPr>
          <w:szCs w:val="24"/>
        </w:rPr>
        <w:t>.</w:t>
      </w:r>
    </w:p>
    <w:p w:rsidR="008E3DCF" w:rsidRPr="007E474F" w:rsidRDefault="008E3DCF" w:rsidP="008E2E1E">
      <w:pPr>
        <w:pStyle w:val="Antrats"/>
        <w:tabs>
          <w:tab w:val="clear" w:pos="4153"/>
          <w:tab w:val="clear" w:pos="8306"/>
        </w:tabs>
        <w:jc w:val="both"/>
      </w:pPr>
    </w:p>
    <w:p w:rsidR="00641601" w:rsidRPr="007E474F" w:rsidRDefault="00641601" w:rsidP="008E2E1E">
      <w:pPr>
        <w:pStyle w:val="Antrats"/>
        <w:tabs>
          <w:tab w:val="clear" w:pos="4153"/>
          <w:tab w:val="clear" w:pos="8306"/>
        </w:tabs>
        <w:jc w:val="both"/>
      </w:pPr>
    </w:p>
    <w:p w:rsidR="00B159B4" w:rsidRPr="007E474F" w:rsidRDefault="00B159B4" w:rsidP="008E2E1E">
      <w:pPr>
        <w:pStyle w:val="Antrats"/>
        <w:tabs>
          <w:tab w:val="clear" w:pos="4153"/>
          <w:tab w:val="clear" w:pos="8306"/>
        </w:tabs>
        <w:jc w:val="both"/>
        <w:rPr>
          <w:szCs w:val="24"/>
          <w:lang w:eastAsia="lt-LT"/>
        </w:rPr>
      </w:pPr>
    </w:p>
    <w:p w:rsidR="00641601" w:rsidRPr="007E474F" w:rsidRDefault="00444135" w:rsidP="008E2E1E">
      <w:pPr>
        <w:jc w:val="both"/>
        <w:rPr>
          <w:szCs w:val="24"/>
          <w:lang w:eastAsia="lt-LT"/>
        </w:rPr>
      </w:pPr>
      <w:r w:rsidRPr="007E474F">
        <w:rPr>
          <w:szCs w:val="24"/>
          <w:lang w:eastAsia="lt-LT"/>
        </w:rPr>
        <w:t xml:space="preserve">Vidaus reikalų </w:t>
      </w:r>
      <w:r w:rsidR="004375AE">
        <w:rPr>
          <w:szCs w:val="24"/>
          <w:lang w:eastAsia="lt-LT"/>
        </w:rPr>
        <w:t>ministrė</w:t>
      </w:r>
      <w:r w:rsidRPr="007E474F">
        <w:rPr>
          <w:szCs w:val="24"/>
          <w:lang w:eastAsia="lt-LT"/>
        </w:rPr>
        <w:t xml:space="preserve">                                                                           </w:t>
      </w:r>
      <w:r w:rsidR="004375AE">
        <w:rPr>
          <w:szCs w:val="24"/>
          <w:lang w:eastAsia="lt-LT"/>
        </w:rPr>
        <w:t xml:space="preserve">            Rita Tamašunienė</w:t>
      </w:r>
    </w:p>
    <w:p w:rsidR="00641601" w:rsidRPr="007E474F" w:rsidRDefault="00641601" w:rsidP="008E2E1E">
      <w:pPr>
        <w:pStyle w:val="Antrats"/>
        <w:tabs>
          <w:tab w:val="clear" w:pos="4153"/>
          <w:tab w:val="clear" w:pos="8306"/>
        </w:tabs>
      </w:pPr>
    </w:p>
    <w:p w:rsidR="00641601" w:rsidRPr="007E474F" w:rsidRDefault="00641601" w:rsidP="008E2E1E"/>
    <w:p w:rsidR="00641601" w:rsidRPr="007E474F" w:rsidRDefault="00641601"/>
    <w:p w:rsidR="00641601" w:rsidRPr="007E474F" w:rsidRDefault="00641601"/>
    <w:p w:rsidR="00641601" w:rsidRPr="007E474F" w:rsidRDefault="00641601"/>
    <w:p w:rsidR="00AE2638" w:rsidRPr="007E474F" w:rsidRDefault="00AE2638" w:rsidP="00AE2638">
      <w:pPr>
        <w:rPr>
          <w:szCs w:val="24"/>
        </w:rPr>
      </w:pPr>
    </w:p>
    <w:p w:rsidR="00AE2638" w:rsidRPr="007E474F" w:rsidRDefault="00AE2638" w:rsidP="00AE2638">
      <w:pPr>
        <w:rPr>
          <w:szCs w:val="24"/>
        </w:rPr>
      </w:pPr>
    </w:p>
    <w:p w:rsidR="00AE2638" w:rsidRDefault="00AE2638" w:rsidP="00AE2638">
      <w:pPr>
        <w:rPr>
          <w:szCs w:val="24"/>
        </w:rPr>
      </w:pPr>
    </w:p>
    <w:p w:rsidR="007E474F" w:rsidRDefault="007E474F" w:rsidP="00AE2638">
      <w:pPr>
        <w:rPr>
          <w:szCs w:val="24"/>
        </w:rPr>
      </w:pPr>
      <w:bookmarkStart w:id="1" w:name="_GoBack"/>
      <w:bookmarkEnd w:id="1"/>
    </w:p>
    <w:p w:rsidR="007E474F" w:rsidRDefault="007E474F" w:rsidP="00AE2638">
      <w:pPr>
        <w:rPr>
          <w:szCs w:val="24"/>
        </w:rPr>
      </w:pPr>
    </w:p>
    <w:p w:rsidR="007E474F" w:rsidRDefault="007E474F" w:rsidP="00AE2638">
      <w:pPr>
        <w:rPr>
          <w:szCs w:val="24"/>
        </w:rPr>
      </w:pPr>
    </w:p>
    <w:p w:rsidR="00AE2638" w:rsidRDefault="00AE2638" w:rsidP="00AE2638">
      <w:pPr>
        <w:rPr>
          <w:szCs w:val="24"/>
        </w:rPr>
      </w:pPr>
      <w:r w:rsidRPr="007E474F">
        <w:rPr>
          <w:szCs w:val="24"/>
        </w:rPr>
        <w:t xml:space="preserve">Danutė Petrauskienė, tel. (8 5) 271 8467, el. p. </w:t>
      </w:r>
      <w:r w:rsidR="002F5436" w:rsidRPr="002F5436">
        <w:rPr>
          <w:szCs w:val="24"/>
        </w:rPr>
        <w:t>danute.petrauskiene@vrm.lt</w:t>
      </w:r>
    </w:p>
    <w:p w:rsidR="002F5436" w:rsidRPr="007E474F" w:rsidRDefault="002F5436" w:rsidP="00AE2638">
      <w:pPr>
        <w:rPr>
          <w:szCs w:val="24"/>
        </w:rPr>
      </w:pPr>
      <w:r w:rsidRPr="002F5436">
        <w:rPr>
          <w:szCs w:val="24"/>
          <w:lang w:val="en-GB"/>
        </w:rPr>
        <w:t>Rūta Jasulaitienė, tel. (8 5) 271 8897, el. p. ruta.jasulaitiene@vrm.lt</w:t>
      </w:r>
    </w:p>
    <w:sectPr w:rsidR="002F5436" w:rsidRPr="007E474F" w:rsidSect="00F85529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10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46DEFF" w16cid:durableId="21DD0CBF"/>
  <w16cid:commentId w16cid:paraId="734787D5" w16cid:durableId="21DD0BFB"/>
  <w16cid:commentId w16cid:paraId="70D2AFB2" w16cid:durableId="21DD0B45"/>
  <w16cid:commentId w16cid:paraId="2FAD8AAB" w16cid:durableId="21DD0C6F"/>
  <w16cid:commentId w16cid:paraId="5DAB36B9" w16cid:durableId="21DD0B46"/>
  <w16cid:commentId w16cid:paraId="7F3D79E6" w16cid:durableId="21DD0C4A"/>
  <w16cid:commentId w16cid:paraId="0C5F492D" w16cid:durableId="21DD0B47"/>
  <w16cid:commentId w16cid:paraId="3E870164" w16cid:durableId="21DD0B48"/>
  <w16cid:commentId w16cid:paraId="47ABC70B" w16cid:durableId="21DD0F45"/>
  <w16cid:commentId w16cid:paraId="5C4D1C16" w16cid:durableId="21DD0B49"/>
  <w16cid:commentId w16cid:paraId="11B1719D" w16cid:durableId="21DD0F99"/>
  <w16cid:commentId w16cid:paraId="153B7221" w16cid:durableId="21DD0B4A"/>
  <w16cid:commentId w16cid:paraId="23C80D62" w16cid:durableId="21DD0FF7"/>
  <w16cid:commentId w16cid:paraId="24961250" w16cid:durableId="21DD0B4B"/>
  <w16cid:commentId w16cid:paraId="7B3DA8A5" w16cid:durableId="21DD1012"/>
  <w16cid:commentId w16cid:paraId="2C4954FD" w16cid:durableId="21DD0B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9E8" w:rsidRDefault="00E479E8">
      <w:r>
        <w:separator/>
      </w:r>
    </w:p>
  </w:endnote>
  <w:endnote w:type="continuationSeparator" w:id="0">
    <w:p w:rsidR="00E479E8" w:rsidRDefault="00E4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601" w:rsidRDefault="00641601"/>
  <w:tbl>
    <w:tblPr>
      <w:tblStyle w:val="Lentelstinklelis"/>
      <w:tblW w:w="9281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641601">
      <w:trPr>
        <w:trHeight w:val="1276"/>
      </w:trPr>
      <w:tc>
        <w:tcPr>
          <w:tcW w:w="7573" w:type="dxa"/>
        </w:tcPr>
        <w:p w:rsidR="00641601" w:rsidRDefault="00641601">
          <w:pPr>
            <w:pStyle w:val="Porat"/>
          </w:pPr>
        </w:p>
      </w:tc>
      <w:tc>
        <w:tcPr>
          <w:tcW w:w="1708" w:type="dxa"/>
        </w:tcPr>
        <w:p w:rsidR="00641601" w:rsidRDefault="00F4531D">
          <w:pPr>
            <w:pStyle w:val="Porat"/>
            <w:ind w:left="-106" w:right="-203" w:hanging="2"/>
          </w:pPr>
          <w:r>
            <w:rPr>
              <w:noProof/>
              <w:lang w:eastAsia="lt-LT"/>
            </w:rPr>
            <w:drawing>
              <wp:inline distT="0" distB="0" distL="0" distR="0" wp14:anchorId="645C1B58" wp14:editId="3C91DB0E">
                <wp:extent cx="1022350" cy="771525"/>
                <wp:effectExtent l="0" t="0" r="6350" b="9525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41601" w:rsidRDefault="0064160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9E8" w:rsidRDefault="00E479E8">
      <w:r>
        <w:separator/>
      </w:r>
    </w:p>
  </w:footnote>
  <w:footnote w:type="continuationSeparator" w:id="0">
    <w:p w:rsidR="00E479E8" w:rsidRDefault="00E47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601" w:rsidRDefault="00F4531D">
    <w:pPr>
      <w:pStyle w:val="Antrats"/>
      <w:rPr>
        <w:rStyle w:val="Puslapionumeris"/>
      </w:rPr>
    </w:pPr>
    <w:r>
      <w:fldChar w:fldCharType="begin"/>
    </w:r>
    <w:r>
      <w:instrText xml:space="preserve">PAGE  </w:instrText>
    </w:r>
    <w:r>
      <w:fldChar w:fldCharType="separate"/>
    </w:r>
    <w:r>
      <w:rPr>
        <w:rStyle w:val="Puslapionumeris"/>
      </w:rPr>
      <w:t>1</w:t>
    </w:r>
    <w:r>
      <w:fldChar w:fldCharType="end"/>
    </w:r>
  </w:p>
  <w:p w:rsidR="00641601" w:rsidRDefault="00641601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601" w:rsidRDefault="00F85529">
    <w:pPr>
      <w:pStyle w:val="Antrats"/>
      <w:jc w:val="center"/>
    </w:pPr>
    <w:r>
      <w:t>2</w:t>
    </w:r>
  </w:p>
  <w:p w:rsidR="00641601" w:rsidRDefault="0064160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529" w:rsidRDefault="00F85529">
    <w:pPr>
      <w:pStyle w:val="Antrats"/>
      <w:jc w:val="center"/>
    </w:pPr>
  </w:p>
  <w:p w:rsidR="00F85529" w:rsidRDefault="00F8552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51E12"/>
    <w:multiLevelType w:val="hybridMultilevel"/>
    <w:tmpl w:val="A5A42416"/>
    <w:lvl w:ilvl="0" w:tplc="BF106398">
      <w:start w:val="1"/>
      <w:numFmt w:val="decimal"/>
      <w:lvlText w:val="%1)"/>
      <w:lvlJc w:val="left"/>
      <w:pPr>
        <w:ind w:left="5287" w:hanging="360"/>
      </w:pPr>
    </w:lvl>
    <w:lvl w:ilvl="1" w:tplc="22A0973A">
      <w:start w:val="1"/>
      <w:numFmt w:val="lowerLetter"/>
      <w:lvlText w:val="%2."/>
      <w:lvlJc w:val="left"/>
      <w:pPr>
        <w:ind w:left="6007" w:hanging="360"/>
      </w:pPr>
    </w:lvl>
    <w:lvl w:ilvl="2" w:tplc="3308048E">
      <w:start w:val="1"/>
      <w:numFmt w:val="lowerRoman"/>
      <w:lvlText w:val="%3."/>
      <w:lvlJc w:val="right"/>
      <w:pPr>
        <w:ind w:left="6727" w:hanging="180"/>
      </w:pPr>
    </w:lvl>
    <w:lvl w:ilvl="3" w:tplc="087E380A">
      <w:start w:val="1"/>
      <w:numFmt w:val="decimal"/>
      <w:lvlText w:val="%4."/>
      <w:lvlJc w:val="left"/>
      <w:pPr>
        <w:ind w:left="7447" w:hanging="360"/>
      </w:pPr>
    </w:lvl>
    <w:lvl w:ilvl="4" w:tplc="4AA63D9A">
      <w:start w:val="1"/>
      <w:numFmt w:val="lowerLetter"/>
      <w:lvlText w:val="%5."/>
      <w:lvlJc w:val="left"/>
      <w:pPr>
        <w:ind w:left="8167" w:hanging="360"/>
      </w:pPr>
    </w:lvl>
    <w:lvl w:ilvl="5" w:tplc="C84EE41C">
      <w:start w:val="1"/>
      <w:numFmt w:val="lowerRoman"/>
      <w:lvlText w:val="%6."/>
      <w:lvlJc w:val="right"/>
      <w:pPr>
        <w:ind w:left="8887" w:hanging="180"/>
      </w:pPr>
    </w:lvl>
    <w:lvl w:ilvl="6" w:tplc="C9229F90">
      <w:start w:val="1"/>
      <w:numFmt w:val="decimal"/>
      <w:lvlText w:val="%7."/>
      <w:lvlJc w:val="left"/>
      <w:pPr>
        <w:ind w:left="9607" w:hanging="360"/>
      </w:pPr>
    </w:lvl>
    <w:lvl w:ilvl="7" w:tplc="CD24636A">
      <w:start w:val="1"/>
      <w:numFmt w:val="lowerLetter"/>
      <w:lvlText w:val="%8."/>
      <w:lvlJc w:val="left"/>
      <w:pPr>
        <w:ind w:left="10327" w:hanging="360"/>
      </w:pPr>
    </w:lvl>
    <w:lvl w:ilvl="8" w:tplc="5D366900">
      <w:start w:val="1"/>
      <w:numFmt w:val="lowerRoman"/>
      <w:lvlText w:val="%9."/>
      <w:lvlJc w:val="right"/>
      <w:pPr>
        <w:ind w:left="11047" w:hanging="180"/>
      </w:pPr>
    </w:lvl>
  </w:abstractNum>
  <w:abstractNum w:abstractNumId="1" w15:restartNumberingAfterBreak="0">
    <w:nsid w:val="60637CDB"/>
    <w:multiLevelType w:val="hybridMultilevel"/>
    <w:tmpl w:val="4A643BAA"/>
    <w:lvl w:ilvl="0" w:tplc="4C7A71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41AF8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CCC7A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3814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5EE92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288DF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0C2D3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182ED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8E0C9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D7B458F"/>
    <w:multiLevelType w:val="hybridMultilevel"/>
    <w:tmpl w:val="831ADF74"/>
    <w:lvl w:ilvl="0" w:tplc="06A65B78">
      <w:start w:val="1"/>
      <w:numFmt w:val="decimal"/>
      <w:lvlText w:val="%1."/>
      <w:lvlJc w:val="left"/>
      <w:pPr>
        <w:ind w:left="1080" w:hanging="360"/>
      </w:pPr>
    </w:lvl>
    <w:lvl w:ilvl="1" w:tplc="5C5EE670">
      <w:start w:val="1"/>
      <w:numFmt w:val="lowerLetter"/>
      <w:lvlText w:val="%2."/>
      <w:lvlJc w:val="left"/>
      <w:pPr>
        <w:ind w:left="1800" w:hanging="360"/>
      </w:pPr>
    </w:lvl>
    <w:lvl w:ilvl="2" w:tplc="04B6398A">
      <w:start w:val="1"/>
      <w:numFmt w:val="lowerRoman"/>
      <w:lvlText w:val="%3."/>
      <w:lvlJc w:val="right"/>
      <w:pPr>
        <w:ind w:left="2520" w:hanging="180"/>
      </w:pPr>
    </w:lvl>
    <w:lvl w:ilvl="3" w:tplc="F42E4CCE">
      <w:start w:val="1"/>
      <w:numFmt w:val="decimal"/>
      <w:lvlText w:val="%4."/>
      <w:lvlJc w:val="left"/>
      <w:pPr>
        <w:ind w:left="3240" w:hanging="360"/>
      </w:pPr>
    </w:lvl>
    <w:lvl w:ilvl="4" w:tplc="DCD0D6B6">
      <w:start w:val="1"/>
      <w:numFmt w:val="lowerLetter"/>
      <w:lvlText w:val="%5."/>
      <w:lvlJc w:val="left"/>
      <w:pPr>
        <w:ind w:left="3960" w:hanging="360"/>
      </w:pPr>
    </w:lvl>
    <w:lvl w:ilvl="5" w:tplc="A1060D94">
      <w:start w:val="1"/>
      <w:numFmt w:val="lowerRoman"/>
      <w:lvlText w:val="%6."/>
      <w:lvlJc w:val="right"/>
      <w:pPr>
        <w:ind w:left="4680" w:hanging="180"/>
      </w:pPr>
    </w:lvl>
    <w:lvl w:ilvl="6" w:tplc="266E91D0">
      <w:start w:val="1"/>
      <w:numFmt w:val="decimal"/>
      <w:lvlText w:val="%7."/>
      <w:lvlJc w:val="left"/>
      <w:pPr>
        <w:ind w:left="5400" w:hanging="360"/>
      </w:pPr>
    </w:lvl>
    <w:lvl w:ilvl="7" w:tplc="6C462C92">
      <w:start w:val="1"/>
      <w:numFmt w:val="lowerLetter"/>
      <w:lvlText w:val="%8."/>
      <w:lvlJc w:val="left"/>
      <w:pPr>
        <w:ind w:left="6120" w:hanging="360"/>
      </w:pPr>
    </w:lvl>
    <w:lvl w:ilvl="8" w:tplc="4BD21E3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3B8E"/>
    <w:rsid w:val="00006D43"/>
    <w:rsid w:val="0003179E"/>
    <w:rsid w:val="0004399A"/>
    <w:rsid w:val="00050BDF"/>
    <w:rsid w:val="0005618E"/>
    <w:rsid w:val="00060832"/>
    <w:rsid w:val="00063BD1"/>
    <w:rsid w:val="00067590"/>
    <w:rsid w:val="00071589"/>
    <w:rsid w:val="000742EB"/>
    <w:rsid w:val="00084BC0"/>
    <w:rsid w:val="00085A86"/>
    <w:rsid w:val="00092106"/>
    <w:rsid w:val="000931F4"/>
    <w:rsid w:val="000B6FAB"/>
    <w:rsid w:val="000D4131"/>
    <w:rsid w:val="00102F21"/>
    <w:rsid w:val="00103599"/>
    <w:rsid w:val="001168BF"/>
    <w:rsid w:val="00116FE4"/>
    <w:rsid w:val="001448EF"/>
    <w:rsid w:val="001571BB"/>
    <w:rsid w:val="00173389"/>
    <w:rsid w:val="00190F17"/>
    <w:rsid w:val="0019136B"/>
    <w:rsid w:val="001B01C9"/>
    <w:rsid w:val="001B037A"/>
    <w:rsid w:val="001D6A0A"/>
    <w:rsid w:val="001E4632"/>
    <w:rsid w:val="001F5416"/>
    <w:rsid w:val="001F55FE"/>
    <w:rsid w:val="00210514"/>
    <w:rsid w:val="002174A5"/>
    <w:rsid w:val="00223B84"/>
    <w:rsid w:val="00241AF4"/>
    <w:rsid w:val="0025508D"/>
    <w:rsid w:val="0025599E"/>
    <w:rsid w:val="00256148"/>
    <w:rsid w:val="00257E52"/>
    <w:rsid w:val="00263408"/>
    <w:rsid w:val="00265030"/>
    <w:rsid w:val="002773F3"/>
    <w:rsid w:val="00280F08"/>
    <w:rsid w:val="002A1D4D"/>
    <w:rsid w:val="002A2934"/>
    <w:rsid w:val="002B0326"/>
    <w:rsid w:val="002C0DC0"/>
    <w:rsid w:val="002D2912"/>
    <w:rsid w:val="002D7177"/>
    <w:rsid w:val="002D7F44"/>
    <w:rsid w:val="002F5436"/>
    <w:rsid w:val="002F7FC8"/>
    <w:rsid w:val="0030423A"/>
    <w:rsid w:val="003079BC"/>
    <w:rsid w:val="00310969"/>
    <w:rsid w:val="00320CB9"/>
    <w:rsid w:val="00320F36"/>
    <w:rsid w:val="003214F0"/>
    <w:rsid w:val="0034652E"/>
    <w:rsid w:val="00371333"/>
    <w:rsid w:val="00392839"/>
    <w:rsid w:val="003B52B5"/>
    <w:rsid w:val="003C46B8"/>
    <w:rsid w:val="003E6C70"/>
    <w:rsid w:val="003F51DB"/>
    <w:rsid w:val="00402D81"/>
    <w:rsid w:val="00405628"/>
    <w:rsid w:val="00427746"/>
    <w:rsid w:val="00430772"/>
    <w:rsid w:val="0043497F"/>
    <w:rsid w:val="004375AE"/>
    <w:rsid w:val="00443DAF"/>
    <w:rsid w:val="00444135"/>
    <w:rsid w:val="00445EFF"/>
    <w:rsid w:val="00456374"/>
    <w:rsid w:val="0046780F"/>
    <w:rsid w:val="00472CA7"/>
    <w:rsid w:val="0047498C"/>
    <w:rsid w:val="00492308"/>
    <w:rsid w:val="00497BF0"/>
    <w:rsid w:val="004A6494"/>
    <w:rsid w:val="004B2498"/>
    <w:rsid w:val="004B38C3"/>
    <w:rsid w:val="004C2429"/>
    <w:rsid w:val="004D210F"/>
    <w:rsid w:val="004E4D56"/>
    <w:rsid w:val="004E639B"/>
    <w:rsid w:val="004F1530"/>
    <w:rsid w:val="00515F97"/>
    <w:rsid w:val="0052414F"/>
    <w:rsid w:val="005257ED"/>
    <w:rsid w:val="0052607B"/>
    <w:rsid w:val="005348C0"/>
    <w:rsid w:val="00536B1E"/>
    <w:rsid w:val="00555663"/>
    <w:rsid w:val="00561A65"/>
    <w:rsid w:val="00562B78"/>
    <w:rsid w:val="00573197"/>
    <w:rsid w:val="00574DD7"/>
    <w:rsid w:val="00582A51"/>
    <w:rsid w:val="0059435E"/>
    <w:rsid w:val="005A0D67"/>
    <w:rsid w:val="005A1DD7"/>
    <w:rsid w:val="005A346B"/>
    <w:rsid w:val="005A4144"/>
    <w:rsid w:val="005B33CB"/>
    <w:rsid w:val="005C6497"/>
    <w:rsid w:val="005D2AAC"/>
    <w:rsid w:val="005E085C"/>
    <w:rsid w:val="005F21C8"/>
    <w:rsid w:val="005F5EA9"/>
    <w:rsid w:val="00602E7C"/>
    <w:rsid w:val="00621B8F"/>
    <w:rsid w:val="0063694B"/>
    <w:rsid w:val="00641601"/>
    <w:rsid w:val="0064455A"/>
    <w:rsid w:val="00645012"/>
    <w:rsid w:val="006453B7"/>
    <w:rsid w:val="00645968"/>
    <w:rsid w:val="00645AA4"/>
    <w:rsid w:val="00690649"/>
    <w:rsid w:val="006A6D30"/>
    <w:rsid w:val="006B62A3"/>
    <w:rsid w:val="006D1CF9"/>
    <w:rsid w:val="006D1EAF"/>
    <w:rsid w:val="006D3FD8"/>
    <w:rsid w:val="006F6238"/>
    <w:rsid w:val="00704D62"/>
    <w:rsid w:val="0071059D"/>
    <w:rsid w:val="00715384"/>
    <w:rsid w:val="00723741"/>
    <w:rsid w:val="007439EF"/>
    <w:rsid w:val="00747FD9"/>
    <w:rsid w:val="00753F50"/>
    <w:rsid w:val="00756F4B"/>
    <w:rsid w:val="007976F5"/>
    <w:rsid w:val="007C00CD"/>
    <w:rsid w:val="007D070D"/>
    <w:rsid w:val="007E474F"/>
    <w:rsid w:val="007E6CD8"/>
    <w:rsid w:val="007F33A0"/>
    <w:rsid w:val="0080073C"/>
    <w:rsid w:val="008142C4"/>
    <w:rsid w:val="00821F92"/>
    <w:rsid w:val="00823DF2"/>
    <w:rsid w:val="00830FF8"/>
    <w:rsid w:val="008402CB"/>
    <w:rsid w:val="00851147"/>
    <w:rsid w:val="00862300"/>
    <w:rsid w:val="0087651F"/>
    <w:rsid w:val="00882930"/>
    <w:rsid w:val="0089094D"/>
    <w:rsid w:val="00892F7E"/>
    <w:rsid w:val="008C2329"/>
    <w:rsid w:val="008C75BB"/>
    <w:rsid w:val="008C7D76"/>
    <w:rsid w:val="008D223F"/>
    <w:rsid w:val="008E2E1E"/>
    <w:rsid w:val="008E3DCF"/>
    <w:rsid w:val="0090070A"/>
    <w:rsid w:val="00901941"/>
    <w:rsid w:val="00911428"/>
    <w:rsid w:val="009148A5"/>
    <w:rsid w:val="00931AE0"/>
    <w:rsid w:val="00931B4A"/>
    <w:rsid w:val="00935F50"/>
    <w:rsid w:val="009422B7"/>
    <w:rsid w:val="00953FD1"/>
    <w:rsid w:val="009756DF"/>
    <w:rsid w:val="00976636"/>
    <w:rsid w:val="009862F8"/>
    <w:rsid w:val="009C42D0"/>
    <w:rsid w:val="009D3BBC"/>
    <w:rsid w:val="009D478C"/>
    <w:rsid w:val="009D7E4A"/>
    <w:rsid w:val="009F6B29"/>
    <w:rsid w:val="00A01D60"/>
    <w:rsid w:val="00A04AA4"/>
    <w:rsid w:val="00A56D53"/>
    <w:rsid w:val="00A67106"/>
    <w:rsid w:val="00A7397D"/>
    <w:rsid w:val="00A76767"/>
    <w:rsid w:val="00A90883"/>
    <w:rsid w:val="00AA0E4F"/>
    <w:rsid w:val="00AA1401"/>
    <w:rsid w:val="00AB6DD7"/>
    <w:rsid w:val="00AC3E0A"/>
    <w:rsid w:val="00AE10B4"/>
    <w:rsid w:val="00AE2638"/>
    <w:rsid w:val="00AE4F42"/>
    <w:rsid w:val="00AF262B"/>
    <w:rsid w:val="00AF6424"/>
    <w:rsid w:val="00B0631B"/>
    <w:rsid w:val="00B159B4"/>
    <w:rsid w:val="00B42500"/>
    <w:rsid w:val="00B51519"/>
    <w:rsid w:val="00B66BAB"/>
    <w:rsid w:val="00B77E77"/>
    <w:rsid w:val="00B836BF"/>
    <w:rsid w:val="00B8485F"/>
    <w:rsid w:val="00B93B22"/>
    <w:rsid w:val="00B946CB"/>
    <w:rsid w:val="00BC65CD"/>
    <w:rsid w:val="00BE163F"/>
    <w:rsid w:val="00BE6E2E"/>
    <w:rsid w:val="00BE70CB"/>
    <w:rsid w:val="00BF0A25"/>
    <w:rsid w:val="00BF3164"/>
    <w:rsid w:val="00BF3D5C"/>
    <w:rsid w:val="00BF43AB"/>
    <w:rsid w:val="00C00A43"/>
    <w:rsid w:val="00C045A7"/>
    <w:rsid w:val="00C24981"/>
    <w:rsid w:val="00C25591"/>
    <w:rsid w:val="00C26517"/>
    <w:rsid w:val="00C36556"/>
    <w:rsid w:val="00C41A30"/>
    <w:rsid w:val="00C45200"/>
    <w:rsid w:val="00C468A2"/>
    <w:rsid w:val="00C529F0"/>
    <w:rsid w:val="00C8106E"/>
    <w:rsid w:val="00C85BE0"/>
    <w:rsid w:val="00C913CC"/>
    <w:rsid w:val="00CA3440"/>
    <w:rsid w:val="00CB2C23"/>
    <w:rsid w:val="00CB76DC"/>
    <w:rsid w:val="00CC0C11"/>
    <w:rsid w:val="00CF6DDD"/>
    <w:rsid w:val="00D01210"/>
    <w:rsid w:val="00D111E5"/>
    <w:rsid w:val="00D21BCC"/>
    <w:rsid w:val="00D35E2B"/>
    <w:rsid w:val="00D35FE1"/>
    <w:rsid w:val="00D3635F"/>
    <w:rsid w:val="00D65C63"/>
    <w:rsid w:val="00D66C81"/>
    <w:rsid w:val="00D66CA9"/>
    <w:rsid w:val="00D7086F"/>
    <w:rsid w:val="00D74D13"/>
    <w:rsid w:val="00D90E00"/>
    <w:rsid w:val="00D97282"/>
    <w:rsid w:val="00DB30A6"/>
    <w:rsid w:val="00DD1997"/>
    <w:rsid w:val="00DD24EC"/>
    <w:rsid w:val="00DE2E8C"/>
    <w:rsid w:val="00DE4C88"/>
    <w:rsid w:val="00DE7F3A"/>
    <w:rsid w:val="00E16B14"/>
    <w:rsid w:val="00E341E6"/>
    <w:rsid w:val="00E43017"/>
    <w:rsid w:val="00E479E8"/>
    <w:rsid w:val="00EA119B"/>
    <w:rsid w:val="00EA2087"/>
    <w:rsid w:val="00EA72FE"/>
    <w:rsid w:val="00EC0CD9"/>
    <w:rsid w:val="00ED3E82"/>
    <w:rsid w:val="00EE1595"/>
    <w:rsid w:val="00F00FF3"/>
    <w:rsid w:val="00F16714"/>
    <w:rsid w:val="00F368EF"/>
    <w:rsid w:val="00F368F8"/>
    <w:rsid w:val="00F4531D"/>
    <w:rsid w:val="00F45F68"/>
    <w:rsid w:val="00F555F8"/>
    <w:rsid w:val="00F55692"/>
    <w:rsid w:val="00F573C0"/>
    <w:rsid w:val="00F604DF"/>
    <w:rsid w:val="00F61E2F"/>
    <w:rsid w:val="00F62B78"/>
    <w:rsid w:val="00F7698C"/>
    <w:rsid w:val="00F81ABB"/>
    <w:rsid w:val="00F85529"/>
    <w:rsid w:val="00F855CE"/>
    <w:rsid w:val="00F8625D"/>
    <w:rsid w:val="00F939CD"/>
    <w:rsid w:val="00FA526E"/>
    <w:rsid w:val="00FA573A"/>
    <w:rsid w:val="00FA710B"/>
    <w:rsid w:val="00FB4AAA"/>
    <w:rsid w:val="00FB56AF"/>
    <w:rsid w:val="00FC018A"/>
    <w:rsid w:val="00FC05DE"/>
    <w:rsid w:val="00FC5E44"/>
    <w:rsid w:val="00FD05D9"/>
    <w:rsid w:val="00FE6DB6"/>
    <w:rsid w:val="00FF3247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B804D2-627D-46DA-A11E-9D40018A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99"/>
    <w:qFormat/>
    <w:rsid w:val="00AE2638"/>
    <w:pPr>
      <w:spacing w:line="240" w:lineRule="auto"/>
    </w:pPr>
    <w:rPr>
      <w:rFonts w:eastAsia="Times New Roman" w:cs="Times New Roman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uiPriority w:val="99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uiPriority w:val="99"/>
    <w:qFormat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uiPriority w:val="99"/>
  </w:style>
  <w:style w:type="character" w:styleId="Hipersaitas">
    <w:name w:val="Hyperlink"/>
    <w:basedOn w:val="Numatytasispastraiposriftas"/>
    <w:uiPriority w:val="99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uiPriority w:val="99"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rFonts w:eastAsia="Times New Roman" w:cs="Times New Roman"/>
      <w:b/>
      <w:bCs/>
      <w:sz w:val="20"/>
      <w:szCs w:val="20"/>
      <w:lang w:val="en-GB"/>
    </w:rPr>
  </w:style>
  <w:style w:type="paragraph" w:styleId="Betarp">
    <w:name w:val="No Spacing"/>
    <w:uiPriority w:val="1"/>
    <w:qFormat/>
    <w:pPr>
      <w:spacing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ntrat4Diagrama">
    <w:name w:val="Antraštė 4 Diagrama"/>
    <w:basedOn w:val="Numatytasispastraiposriftas"/>
    <w:link w:val="Antrat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vadinimas">
    <w:name w:val="Title"/>
    <w:basedOn w:val="prastasis"/>
    <w:next w:val="prastasis"/>
    <w:link w:val="PavadinimasDiagram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Pr>
      <w:i/>
      <w:iCs/>
      <w:color w:val="808080" w:themeColor="text1" w:themeTint="7F"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character" w:styleId="Rykuspabraukimas">
    <w:name w:val="Intense Emphasis"/>
    <w:basedOn w:val="Numatytasispastraiposriftas"/>
    <w:uiPriority w:val="21"/>
    <w:qFormat/>
    <w:rPr>
      <w:b/>
      <w:bCs/>
      <w:i/>
      <w:iCs/>
      <w:color w:val="4F81BD" w:themeColor="accent1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paragraph" w:styleId="Citata">
    <w:name w:val="Quote"/>
    <w:basedOn w:val="prastasis"/>
    <w:next w:val="prastasis"/>
    <w:link w:val="CitataDiagrama"/>
    <w:uiPriority w:val="29"/>
    <w:qFormat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Pr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Pr>
      <w:b/>
      <w:bCs/>
      <w:smallCaps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Numatytasispastraiposriftas"/>
    <w:uiPriority w:val="99"/>
  </w:style>
  <w:style w:type="character" w:customStyle="1" w:styleId="FooterChar">
    <w:name w:val="Footer Char"/>
    <w:basedOn w:val="Numatytasispastraiposriftas"/>
    <w:uiPriority w:val="99"/>
  </w:style>
  <w:style w:type="character" w:customStyle="1" w:styleId="Heading1Char">
    <w:name w:val="Heading 1 Char"/>
    <w:basedOn w:val="Numatytasispastraiposriftas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Numatytasispastraiposriftas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Numatytasispastraiposriftas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Numatytasispastraiposriftas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Numatytasispastraiposriftas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Numatytasispastraiposriftas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Numatytasispastraiposriftas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Numatytasispastraiposriftas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Numatytasispastraiposriftas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Numatytasispastraiposriftas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Numatytasispastraiposriftas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basedOn w:val="Numatytasispastraiposriftas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basedOn w:val="Numatytasispastraiposriftas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basedOn w:val="Numatytasispastraiposriftas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Numatytasispastraiposriftas"/>
    <w:uiPriority w:val="99"/>
    <w:semiHidden/>
    <w:rPr>
      <w:sz w:val="20"/>
      <w:szCs w:val="20"/>
    </w:rPr>
  </w:style>
  <w:style w:type="character" w:customStyle="1" w:styleId="PlainTextChar">
    <w:name w:val="Plain Text Char"/>
    <w:basedOn w:val="Numatytasispastraiposriftas"/>
    <w:uiPriority w:val="99"/>
    <w:rPr>
      <w:rFonts w:ascii="Courier New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3260</Words>
  <Characters>1859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m05493</dc:creator>
  <cp:lastModifiedBy>Danutė Petrauskienė</cp:lastModifiedBy>
  <cp:revision>3</cp:revision>
  <cp:lastPrinted>2020-02-27T14:04:00Z</cp:lastPrinted>
  <dcterms:created xsi:type="dcterms:W3CDTF">2020-06-03T13:17:00Z</dcterms:created>
  <dcterms:modified xsi:type="dcterms:W3CDTF">2020-06-04T06:19:00Z</dcterms:modified>
</cp:coreProperties>
</file>