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6A2F9" w14:textId="77777777" w:rsidR="00A17914" w:rsidRDefault="00A17914">
      <w:pPr>
        <w:tabs>
          <w:tab w:val="center" w:pos="4153"/>
          <w:tab w:val="right" w:pos="8306"/>
        </w:tabs>
        <w:spacing w:line="259" w:lineRule="auto"/>
        <w:rPr>
          <w:lang w:eastAsia="lt-LT"/>
        </w:rPr>
      </w:pPr>
    </w:p>
    <w:p w14:paraId="6986A2FA" w14:textId="77777777" w:rsidR="00A17914" w:rsidRDefault="00A17914">
      <w:pPr>
        <w:rPr>
          <w:sz w:val="14"/>
          <w:szCs w:val="14"/>
        </w:rPr>
      </w:pPr>
    </w:p>
    <w:p w14:paraId="6986A2FB" w14:textId="77777777" w:rsidR="00A17914" w:rsidRDefault="004709F5">
      <w:pPr>
        <w:tabs>
          <w:tab w:val="left" w:pos="284"/>
          <w:tab w:val="left" w:pos="426"/>
          <w:tab w:val="left" w:pos="709"/>
          <w:tab w:val="left" w:pos="993"/>
        </w:tabs>
        <w:ind w:left="7230"/>
        <w:jc w:val="right"/>
        <w:rPr>
          <w:b/>
          <w:szCs w:val="24"/>
          <w:lang w:eastAsia="lt-LT"/>
        </w:rPr>
      </w:pPr>
      <w:r>
        <w:rPr>
          <w:b/>
          <w:szCs w:val="24"/>
          <w:lang w:eastAsia="lt-LT"/>
        </w:rPr>
        <w:t>Projektas</w:t>
      </w:r>
    </w:p>
    <w:p w14:paraId="6986A2FC" w14:textId="77777777" w:rsidR="00A17914" w:rsidRDefault="00A17914">
      <w:pPr>
        <w:tabs>
          <w:tab w:val="left" w:pos="284"/>
          <w:tab w:val="left" w:pos="426"/>
          <w:tab w:val="left" w:pos="709"/>
          <w:tab w:val="left" w:pos="993"/>
        </w:tabs>
        <w:jc w:val="center"/>
        <w:rPr>
          <w:b/>
          <w:szCs w:val="24"/>
          <w:lang w:eastAsia="lt-LT"/>
        </w:rPr>
      </w:pPr>
    </w:p>
    <w:p w14:paraId="6986A2FD" w14:textId="77777777" w:rsidR="00A17914" w:rsidRDefault="004709F5">
      <w:pPr>
        <w:tabs>
          <w:tab w:val="left" w:pos="284"/>
          <w:tab w:val="left" w:pos="426"/>
          <w:tab w:val="left" w:pos="709"/>
          <w:tab w:val="left" w:pos="993"/>
        </w:tabs>
        <w:jc w:val="center"/>
        <w:rPr>
          <w:szCs w:val="24"/>
          <w:lang w:eastAsia="lt-LT"/>
        </w:rPr>
      </w:pPr>
      <w:r>
        <w:rPr>
          <w:b/>
          <w:szCs w:val="24"/>
          <w:lang w:eastAsia="lt-LT"/>
        </w:rPr>
        <w:t>LIETUVOS RESPUBLIKOS VYRIAUSYBĖ</w:t>
      </w:r>
    </w:p>
    <w:p w14:paraId="6986A2FE" w14:textId="77777777" w:rsidR="00A17914" w:rsidRDefault="00A17914">
      <w:pPr>
        <w:tabs>
          <w:tab w:val="left" w:pos="284"/>
          <w:tab w:val="left" w:pos="426"/>
          <w:tab w:val="left" w:pos="709"/>
          <w:tab w:val="left" w:pos="993"/>
        </w:tabs>
        <w:jc w:val="center"/>
        <w:rPr>
          <w:szCs w:val="24"/>
          <w:lang w:eastAsia="lt-LT"/>
        </w:rPr>
      </w:pPr>
    </w:p>
    <w:p w14:paraId="6986A2FF" w14:textId="77777777" w:rsidR="00A17914" w:rsidRDefault="004709F5">
      <w:pPr>
        <w:tabs>
          <w:tab w:val="left" w:pos="284"/>
          <w:tab w:val="left" w:pos="426"/>
          <w:tab w:val="left" w:pos="709"/>
          <w:tab w:val="left" w:pos="993"/>
        </w:tabs>
        <w:jc w:val="center"/>
        <w:rPr>
          <w:b/>
          <w:szCs w:val="24"/>
          <w:lang w:eastAsia="lt-LT"/>
        </w:rPr>
      </w:pPr>
      <w:r>
        <w:rPr>
          <w:b/>
          <w:szCs w:val="24"/>
          <w:lang w:eastAsia="lt-LT"/>
        </w:rPr>
        <w:t>NUTARIMAS</w:t>
      </w:r>
    </w:p>
    <w:p w14:paraId="6986A300" w14:textId="77777777" w:rsidR="00A17914" w:rsidRDefault="004709F5">
      <w:pPr>
        <w:tabs>
          <w:tab w:val="left" w:pos="284"/>
          <w:tab w:val="left" w:pos="426"/>
          <w:tab w:val="left" w:pos="709"/>
          <w:tab w:val="left" w:pos="993"/>
        </w:tabs>
        <w:jc w:val="center"/>
        <w:rPr>
          <w:b/>
          <w:caps/>
          <w:szCs w:val="24"/>
          <w:lang w:eastAsia="lt-LT"/>
        </w:rPr>
      </w:pPr>
      <w:r>
        <w:rPr>
          <w:b/>
          <w:caps/>
          <w:kern w:val="1"/>
          <w:szCs w:val="24"/>
        </w:rPr>
        <w:t xml:space="preserve">Dėl Profesinio mokymo lėšų skaičiavimo vienam mokiniui, kuris mokosi pagal formaliojo profesinio mokymo programą (išskyrus </w:t>
      </w:r>
      <w:r>
        <w:rPr>
          <w:b/>
          <w:caps/>
          <w:szCs w:val="24"/>
          <w:lang w:eastAsia="lt-LT"/>
        </w:rPr>
        <w:t>pataisos pareigūnų profesinio mokymo ir</w:t>
      </w:r>
      <w:r>
        <w:rPr>
          <w:b/>
          <w:caps/>
          <w:kern w:val="1"/>
          <w:szCs w:val="24"/>
        </w:rPr>
        <w:t xml:space="preserve"> vidaus reikalų profesinio mokymo įstaigų vykdomas programas), metodikos patvirtinimo</w:t>
      </w:r>
    </w:p>
    <w:p w14:paraId="6986A301" w14:textId="77777777" w:rsidR="00A17914" w:rsidRDefault="00A17914">
      <w:pPr>
        <w:tabs>
          <w:tab w:val="left" w:pos="284"/>
          <w:tab w:val="left" w:pos="426"/>
          <w:tab w:val="left" w:pos="709"/>
          <w:tab w:val="left" w:pos="993"/>
        </w:tabs>
        <w:jc w:val="center"/>
        <w:rPr>
          <w:b/>
          <w:szCs w:val="24"/>
          <w:lang w:eastAsia="lt-LT"/>
        </w:rPr>
      </w:pPr>
    </w:p>
    <w:p w14:paraId="6986A302" w14:textId="77777777" w:rsidR="00A17914" w:rsidRDefault="004709F5">
      <w:pPr>
        <w:tabs>
          <w:tab w:val="left" w:pos="284"/>
          <w:tab w:val="left" w:pos="426"/>
          <w:tab w:val="left" w:pos="709"/>
          <w:tab w:val="left" w:pos="993"/>
        </w:tabs>
        <w:jc w:val="center"/>
        <w:rPr>
          <w:lang w:eastAsia="lt-LT"/>
        </w:rPr>
      </w:pPr>
      <w:r>
        <w:rPr>
          <w:lang w:eastAsia="lt-LT"/>
        </w:rPr>
        <w:t>2019 m.                                    d.</w:t>
      </w:r>
      <w:r>
        <w:rPr>
          <w:color w:val="000000"/>
          <w:lang w:eastAsia="ar-SA"/>
        </w:rPr>
        <w:t xml:space="preserve"> Nr. </w:t>
      </w:r>
    </w:p>
    <w:p w14:paraId="6986A303" w14:textId="77777777" w:rsidR="00A17914" w:rsidRDefault="004709F5">
      <w:pPr>
        <w:tabs>
          <w:tab w:val="left" w:pos="284"/>
          <w:tab w:val="left" w:pos="426"/>
          <w:tab w:val="left" w:pos="709"/>
          <w:tab w:val="left" w:pos="993"/>
        </w:tabs>
        <w:jc w:val="center"/>
        <w:rPr>
          <w:szCs w:val="24"/>
          <w:lang w:eastAsia="lt-LT"/>
        </w:rPr>
      </w:pPr>
      <w:r>
        <w:rPr>
          <w:szCs w:val="24"/>
          <w:lang w:eastAsia="lt-LT"/>
        </w:rPr>
        <w:t>Vilnius</w:t>
      </w:r>
    </w:p>
    <w:p w14:paraId="6986A304" w14:textId="77777777" w:rsidR="00A17914" w:rsidRDefault="00A17914">
      <w:pPr>
        <w:tabs>
          <w:tab w:val="left" w:pos="284"/>
          <w:tab w:val="left" w:pos="426"/>
          <w:tab w:val="left" w:pos="709"/>
          <w:tab w:val="left" w:pos="993"/>
        </w:tabs>
        <w:ind w:left="709"/>
        <w:jc w:val="both"/>
        <w:rPr>
          <w:szCs w:val="24"/>
          <w:lang w:eastAsia="lt-LT"/>
        </w:rPr>
      </w:pPr>
    </w:p>
    <w:p w14:paraId="6986A305" w14:textId="77777777" w:rsidR="00A17914" w:rsidRDefault="004709F5">
      <w:pPr>
        <w:ind w:firstLine="720"/>
        <w:jc w:val="both"/>
        <w:rPr>
          <w:szCs w:val="24"/>
          <w:lang w:eastAsia="lt-LT"/>
        </w:rPr>
      </w:pPr>
      <w:r>
        <w:rPr>
          <w:color w:val="000000"/>
        </w:rPr>
        <w:t>Vadovaudamasi Lietuvos Respublikos profesinio mokymo įstatymo 36 straipsnio 5 dalimi, Lietuvos Respublikos Vyriausybė</w:t>
      </w:r>
      <w:r>
        <w:rPr>
          <w:color w:val="000000"/>
          <w:spacing w:val="100"/>
        </w:rPr>
        <w:t> nutari</w:t>
      </w:r>
      <w:r>
        <w:rPr>
          <w:color w:val="000000"/>
        </w:rPr>
        <w:t>a:</w:t>
      </w:r>
    </w:p>
    <w:p w14:paraId="6986A306" w14:textId="77777777" w:rsidR="00A17914" w:rsidRDefault="004709F5">
      <w:pPr>
        <w:ind w:firstLine="720"/>
        <w:jc w:val="both"/>
        <w:rPr>
          <w:szCs w:val="24"/>
          <w:lang w:eastAsia="lt-LT"/>
        </w:rPr>
      </w:pPr>
      <w:r>
        <w:rPr>
          <w:szCs w:val="24"/>
          <w:lang w:eastAsia="lt-LT"/>
        </w:rPr>
        <w:t>1. Patvirtinti Profesinio mokymo lėšų skaičiavimo vienam mokiniui, kuris mokosi pagal formaliojo profesinio mokymo programą (išskyrus pataisos pareigūnų profesinio mokymo ir vidaus reikalų profesinio mokymo įstaigų vykdomas programas), metodiką (pridedama).</w:t>
      </w:r>
    </w:p>
    <w:p w14:paraId="6986A307" w14:textId="77777777" w:rsidR="00A17914" w:rsidRDefault="00CC3DDC">
      <w:pPr>
        <w:ind w:firstLine="720"/>
        <w:jc w:val="both"/>
        <w:rPr>
          <w:color w:val="000000"/>
          <w:szCs w:val="24"/>
        </w:rPr>
      </w:pPr>
      <w:r>
        <w:rPr>
          <w:color w:val="000000"/>
          <w:szCs w:val="24"/>
        </w:rPr>
        <w:t>2</w:t>
      </w:r>
      <w:r w:rsidR="004709F5">
        <w:rPr>
          <w:color w:val="000000"/>
          <w:szCs w:val="24"/>
        </w:rPr>
        <w:t>. Rekomenduoti profesinio mokymo teikėjams vadovautis šio nutarimo 1 punktu patvirtinta metodika, nustatant kainą už mokymąsi pagal neformaliojo profesinio mokymo programas, kai šis mokymas yra finansuojamas iš Lietuvos Respublikos valstybės biudžeto, valstybės biudžeto specialiųjų tikslinių dotacijų savivaldybių biudžetams, Europos Sąjungos struktūrinių fondų ar kitų valstybės lėšų.</w:t>
      </w:r>
    </w:p>
    <w:p w14:paraId="6986A308" w14:textId="77777777" w:rsidR="00A17914" w:rsidRDefault="00CC3DDC">
      <w:pPr>
        <w:ind w:firstLine="720"/>
        <w:jc w:val="both"/>
        <w:rPr>
          <w:szCs w:val="24"/>
          <w:lang w:eastAsia="lt-LT"/>
        </w:rPr>
      </w:pPr>
      <w:r>
        <w:rPr>
          <w:szCs w:val="24"/>
          <w:lang w:eastAsia="lt-LT"/>
        </w:rPr>
        <w:t>3</w:t>
      </w:r>
      <w:r w:rsidR="004709F5">
        <w:rPr>
          <w:szCs w:val="24"/>
          <w:lang w:eastAsia="lt-LT"/>
        </w:rPr>
        <w:t xml:space="preserve">. Pripažinti netekusiu galios Lietuvos Respublikos Vyriausybės </w:t>
      </w:r>
      <w:r w:rsidR="004709F5">
        <w:t xml:space="preserve">2008 m. gruodžio 8 d. nutarimą Nr. 1320 „Dėl Profesinio mokymo lėšų skaičiavimo vienam mokiniui, kuris mokosi pagal formaliojo profesinio mokymo programą, metodikos patvirtinimo“ </w:t>
      </w:r>
      <w:r w:rsidR="004709F5">
        <w:rPr>
          <w:szCs w:val="24"/>
          <w:lang w:eastAsia="lt-LT"/>
        </w:rPr>
        <w:t>su visais pakeitimais ir papildymais.</w:t>
      </w:r>
    </w:p>
    <w:p w14:paraId="6986A309" w14:textId="77777777" w:rsidR="00A17914" w:rsidRDefault="00CC3DDC">
      <w:pPr>
        <w:ind w:firstLine="720"/>
        <w:jc w:val="both"/>
        <w:rPr>
          <w:szCs w:val="24"/>
          <w:lang w:eastAsia="lt-LT"/>
        </w:rPr>
      </w:pPr>
      <w:r>
        <w:rPr>
          <w:szCs w:val="24"/>
          <w:lang w:eastAsia="lt-LT"/>
        </w:rPr>
        <w:t>4</w:t>
      </w:r>
      <w:r w:rsidR="004709F5">
        <w:rPr>
          <w:szCs w:val="24"/>
          <w:lang w:eastAsia="lt-LT"/>
        </w:rPr>
        <w:t>. Šio nutarimo 1 punktu patvirtinta metodika taikoma apskaičiuojant profesinio mokymo lėšas, skiriamas nuo 2020 m. sausio 1 d. vienam mokiniui, kuris mokosi pagal formaliojo profesinio mokymo programą arba jos dalį (išskyrus pataisos pareigūnų profesinio mokymo ir vidaus reikalų profesinio mokymo įstaigų vykdomas programas).</w:t>
      </w:r>
    </w:p>
    <w:p w14:paraId="6986A30A" w14:textId="77777777" w:rsidR="00A17914" w:rsidRDefault="00A17914">
      <w:pPr>
        <w:ind w:firstLine="720"/>
        <w:jc w:val="both"/>
        <w:rPr>
          <w:szCs w:val="24"/>
          <w:lang w:eastAsia="lt-LT"/>
        </w:rPr>
      </w:pPr>
    </w:p>
    <w:p w14:paraId="6986A30B" w14:textId="77777777" w:rsidR="00A17914" w:rsidRDefault="00A17914">
      <w:pPr>
        <w:jc w:val="both"/>
        <w:rPr>
          <w:szCs w:val="24"/>
          <w:lang w:eastAsia="lt-LT"/>
        </w:rPr>
      </w:pPr>
    </w:p>
    <w:p w14:paraId="1C358BD4" w14:textId="77777777" w:rsidR="00A93B1C" w:rsidRDefault="00A93B1C">
      <w:pPr>
        <w:tabs>
          <w:tab w:val="center" w:pos="-7800"/>
          <w:tab w:val="left" w:pos="6237"/>
          <w:tab w:val="right" w:pos="8306"/>
        </w:tabs>
        <w:rPr>
          <w:lang w:eastAsia="lt-LT"/>
        </w:rPr>
      </w:pPr>
    </w:p>
    <w:p w14:paraId="6986A30D" w14:textId="321EB8B2" w:rsidR="00A17914" w:rsidRDefault="00A93B1C">
      <w:pPr>
        <w:tabs>
          <w:tab w:val="center" w:pos="-7800"/>
          <w:tab w:val="left" w:pos="6237"/>
          <w:tab w:val="right" w:pos="8306"/>
        </w:tabs>
        <w:rPr>
          <w:lang w:eastAsia="lt-LT"/>
        </w:rPr>
      </w:pPr>
      <w:r>
        <w:rPr>
          <w:lang w:eastAsia="lt-LT"/>
        </w:rPr>
        <w:t>Ministras</w:t>
      </w:r>
      <w:bookmarkStart w:id="0" w:name="_GoBack"/>
      <w:bookmarkEnd w:id="0"/>
      <w:r>
        <w:rPr>
          <w:lang w:eastAsia="lt-LT"/>
        </w:rPr>
        <w:t xml:space="preserve"> Pirminink</w:t>
      </w:r>
      <w:r w:rsidR="004709F5">
        <w:rPr>
          <w:lang w:eastAsia="lt-LT"/>
        </w:rPr>
        <w:t>as</w:t>
      </w:r>
      <w:r w:rsidR="004709F5">
        <w:rPr>
          <w:lang w:eastAsia="lt-LT"/>
        </w:rPr>
        <w:tab/>
      </w:r>
    </w:p>
    <w:p w14:paraId="6986A30E" w14:textId="77777777" w:rsidR="00A17914" w:rsidRDefault="00A17914">
      <w:pPr>
        <w:tabs>
          <w:tab w:val="center" w:pos="-7800"/>
          <w:tab w:val="left" w:pos="6237"/>
          <w:tab w:val="right" w:pos="8306"/>
        </w:tabs>
        <w:rPr>
          <w:lang w:eastAsia="lt-LT"/>
        </w:rPr>
      </w:pPr>
    </w:p>
    <w:p w14:paraId="6986A30F" w14:textId="77777777" w:rsidR="00A17914" w:rsidRDefault="00A17914">
      <w:pPr>
        <w:tabs>
          <w:tab w:val="center" w:pos="-7800"/>
          <w:tab w:val="left" w:pos="6237"/>
          <w:tab w:val="right" w:pos="8306"/>
        </w:tabs>
        <w:rPr>
          <w:lang w:eastAsia="lt-LT"/>
        </w:rPr>
      </w:pPr>
    </w:p>
    <w:p w14:paraId="6986A310" w14:textId="77777777" w:rsidR="00A17914" w:rsidRDefault="00A17914">
      <w:pPr>
        <w:tabs>
          <w:tab w:val="center" w:pos="-7800"/>
          <w:tab w:val="left" w:pos="6237"/>
          <w:tab w:val="right" w:pos="8306"/>
        </w:tabs>
        <w:rPr>
          <w:lang w:eastAsia="lt-LT"/>
        </w:rPr>
      </w:pPr>
    </w:p>
    <w:p w14:paraId="6986A311" w14:textId="7ECA1B30" w:rsidR="00A17914" w:rsidRDefault="00A93B1C">
      <w:pPr>
        <w:tabs>
          <w:tab w:val="center" w:pos="-3686"/>
          <w:tab w:val="left" w:pos="6237"/>
          <w:tab w:val="right" w:pos="8306"/>
        </w:tabs>
        <w:rPr>
          <w:szCs w:val="24"/>
          <w:lang w:eastAsia="lt-LT"/>
        </w:rPr>
        <w:sectPr w:rsidR="00A17914">
          <w:headerReference w:type="even" r:id="rId10"/>
          <w:headerReference w:type="default" r:id="rId11"/>
          <w:footerReference w:type="even" r:id="rId12"/>
          <w:footerReference w:type="default" r:id="rId13"/>
          <w:headerReference w:type="first" r:id="rId14"/>
          <w:footerReference w:type="first" r:id="rId15"/>
          <w:pgSz w:w="11906" w:h="16838" w:code="9"/>
          <w:pgMar w:top="993" w:right="567" w:bottom="1134" w:left="1701" w:header="567" w:footer="567" w:gutter="0"/>
          <w:pgNumType w:start="1"/>
          <w:cols w:space="1296"/>
          <w:titlePg/>
        </w:sectPr>
      </w:pPr>
      <w:r>
        <w:rPr>
          <w:szCs w:val="24"/>
          <w:lang w:eastAsia="lt-LT"/>
        </w:rPr>
        <w:t>Š</w:t>
      </w:r>
      <w:r w:rsidR="004709F5">
        <w:rPr>
          <w:szCs w:val="24"/>
          <w:lang w:eastAsia="lt-LT"/>
        </w:rPr>
        <w:t xml:space="preserve">vietimo, </w:t>
      </w:r>
      <w:r>
        <w:rPr>
          <w:szCs w:val="24"/>
          <w:lang w:eastAsia="lt-LT"/>
        </w:rPr>
        <w:t>mokslo ir sporto ministr</w:t>
      </w:r>
      <w:r w:rsidR="004709F5">
        <w:rPr>
          <w:szCs w:val="24"/>
          <w:lang w:eastAsia="lt-LT"/>
        </w:rPr>
        <w:t>as</w:t>
      </w:r>
    </w:p>
    <w:p w14:paraId="6986A312" w14:textId="77777777" w:rsidR="00A17914" w:rsidRDefault="00A17914">
      <w:pPr>
        <w:tabs>
          <w:tab w:val="center" w:pos="4986"/>
          <w:tab w:val="right" w:pos="9972"/>
        </w:tabs>
      </w:pPr>
    </w:p>
    <w:p w14:paraId="6986A313" w14:textId="77777777" w:rsidR="00A17914" w:rsidRDefault="004709F5">
      <w:pPr>
        <w:ind w:left="5812"/>
        <w:rPr>
          <w:szCs w:val="24"/>
          <w:lang w:eastAsia="ar-SA"/>
        </w:rPr>
      </w:pPr>
      <w:r>
        <w:rPr>
          <w:szCs w:val="24"/>
          <w:lang w:eastAsia="ar-SA"/>
        </w:rPr>
        <w:t>PATVIRTINTA</w:t>
      </w:r>
      <w:r>
        <w:rPr>
          <w:szCs w:val="24"/>
          <w:lang w:eastAsia="ar-SA"/>
        </w:rPr>
        <w:br/>
        <w:t>Lietuvos Respublikos Vyriausybės</w:t>
      </w:r>
      <w:r>
        <w:rPr>
          <w:szCs w:val="24"/>
          <w:lang w:eastAsia="ar-SA"/>
        </w:rPr>
        <w:br/>
        <w:t xml:space="preserve">2019 m.              d. nutarimu Nr. </w:t>
      </w:r>
    </w:p>
    <w:p w14:paraId="6986A314" w14:textId="77777777" w:rsidR="00A17914" w:rsidRDefault="00A17914">
      <w:pPr>
        <w:tabs>
          <w:tab w:val="left" w:pos="6237"/>
        </w:tabs>
        <w:jc w:val="center"/>
        <w:rPr>
          <w:b/>
          <w:caps/>
          <w:kern w:val="1"/>
          <w:szCs w:val="24"/>
        </w:rPr>
      </w:pPr>
    </w:p>
    <w:p w14:paraId="6986A315" w14:textId="77777777" w:rsidR="00A17914" w:rsidRDefault="004709F5">
      <w:pPr>
        <w:tabs>
          <w:tab w:val="left" w:pos="6237"/>
        </w:tabs>
        <w:jc w:val="center"/>
        <w:rPr>
          <w:b/>
          <w:caps/>
          <w:kern w:val="1"/>
          <w:szCs w:val="24"/>
        </w:rPr>
      </w:pPr>
      <w:r>
        <w:rPr>
          <w:b/>
          <w:caps/>
          <w:kern w:val="1"/>
          <w:szCs w:val="24"/>
        </w:rPr>
        <w:t xml:space="preserve">Profesinio mokymo lėšų skaičiavimo vienam mokiniui, kuris mokosi pagal formaliojo profesinio mokymo programą (išskyrus </w:t>
      </w:r>
      <w:r>
        <w:rPr>
          <w:b/>
          <w:caps/>
          <w:szCs w:val="24"/>
          <w:lang w:eastAsia="lt-LT"/>
        </w:rPr>
        <w:t>pataisos pareigūnų profesinio mokymo ir</w:t>
      </w:r>
      <w:r>
        <w:rPr>
          <w:b/>
          <w:caps/>
          <w:kern w:val="1"/>
          <w:szCs w:val="24"/>
        </w:rPr>
        <w:t xml:space="preserve"> vidaus reikalų profesinio mokymo įstaigų vykdomas programas), metodika</w:t>
      </w:r>
    </w:p>
    <w:p w14:paraId="6986A316" w14:textId="77777777" w:rsidR="00A17914" w:rsidRDefault="00A17914">
      <w:pPr>
        <w:tabs>
          <w:tab w:val="left" w:pos="6237"/>
        </w:tabs>
        <w:jc w:val="center"/>
        <w:rPr>
          <w:color w:val="000000"/>
          <w:lang w:eastAsia="lt-LT"/>
        </w:rPr>
      </w:pPr>
    </w:p>
    <w:p w14:paraId="6986A317" w14:textId="77777777" w:rsidR="00A17914" w:rsidRDefault="004709F5">
      <w:pPr>
        <w:jc w:val="center"/>
        <w:rPr>
          <w:b/>
          <w:szCs w:val="24"/>
        </w:rPr>
      </w:pPr>
      <w:r>
        <w:rPr>
          <w:b/>
          <w:szCs w:val="24"/>
        </w:rPr>
        <w:t>I SKYRIUS</w:t>
      </w:r>
    </w:p>
    <w:p w14:paraId="6986A318" w14:textId="77777777" w:rsidR="00A17914" w:rsidRDefault="004709F5">
      <w:pPr>
        <w:jc w:val="center"/>
        <w:rPr>
          <w:b/>
          <w:szCs w:val="24"/>
        </w:rPr>
      </w:pPr>
      <w:r>
        <w:rPr>
          <w:b/>
          <w:szCs w:val="24"/>
        </w:rPr>
        <w:t>BENDROSIOS NUOSTATOS</w:t>
      </w:r>
    </w:p>
    <w:p w14:paraId="6986A319" w14:textId="77777777" w:rsidR="00A17914" w:rsidRDefault="00A17914">
      <w:pPr>
        <w:ind w:firstLine="720"/>
        <w:jc w:val="both"/>
        <w:rPr>
          <w:szCs w:val="24"/>
        </w:rPr>
      </w:pPr>
    </w:p>
    <w:p w14:paraId="6986A31A" w14:textId="77777777" w:rsidR="00A17914" w:rsidRDefault="004709F5">
      <w:pPr>
        <w:ind w:firstLine="720"/>
        <w:jc w:val="both"/>
        <w:rPr>
          <w:szCs w:val="24"/>
          <w:lang w:eastAsia="lt-LT"/>
        </w:rPr>
      </w:pPr>
      <w:r>
        <w:rPr>
          <w:szCs w:val="24"/>
        </w:rPr>
        <w:t xml:space="preserve">1. </w:t>
      </w:r>
      <w:r>
        <w:rPr>
          <w:szCs w:val="24"/>
          <w:lang w:eastAsia="lt-LT"/>
        </w:rPr>
        <w:t xml:space="preserve">Profesinio mokymo lėšų skaičiavimo vienam mokiniui, kuris mokosi pagal formaliojo profesinio mokymo programą (išskyrus pataisos pareigūnų profesinio mokymo ir vidaus reikalų profesinio mokymo įstaigų vykdomas programas), metodika (toliau – Metodika) reglamentuoja profesinio mokymo lėšų apskaičiavimą vienam mokiniui, kuris mokosi pagal formaliojo profesinio mokymo programą arba jos dalį, išskyrus pataisos pareigūnų profesinio mokymo ir vidaus reikalų profesinio mokymo įstaigų vykdomas programas (toliau – mokinys). Ji taikoma, skiriant mokymo lėšų formaliajam profesiniam mokymui </w:t>
      </w:r>
      <w:r>
        <w:rPr>
          <w:color w:val="000000"/>
        </w:rPr>
        <w:t xml:space="preserve">iš Lietuvos Respublikos valstybės biudžeto (toliau – valstybės biudžetas), </w:t>
      </w:r>
      <w:r>
        <w:rPr>
          <w:szCs w:val="24"/>
        </w:rPr>
        <w:t>valstybės biudžeto specialiųjų tikslinių dotacijų savivaldybių biudžetams,</w:t>
      </w:r>
      <w:r>
        <w:rPr>
          <w:bCs/>
          <w:szCs w:val="24"/>
        </w:rPr>
        <w:t xml:space="preserve"> </w:t>
      </w:r>
      <w:r>
        <w:rPr>
          <w:szCs w:val="24"/>
        </w:rPr>
        <w:t>Europos Sąjungos struktūrinių fondų, darbdavių ir (ar) kitų lėšų.</w:t>
      </w:r>
      <w:r>
        <w:rPr>
          <w:szCs w:val="24"/>
          <w:lang w:eastAsia="lt-LT"/>
        </w:rPr>
        <w:t xml:space="preserve"> </w:t>
      </w:r>
    </w:p>
    <w:p w14:paraId="6986A31B" w14:textId="77777777" w:rsidR="00A17914" w:rsidRDefault="004709F5">
      <w:pPr>
        <w:ind w:firstLine="720"/>
        <w:jc w:val="both"/>
        <w:rPr>
          <w:color w:val="000000"/>
        </w:rPr>
      </w:pPr>
      <w:r>
        <w:rPr>
          <w:szCs w:val="24"/>
        </w:rPr>
        <w:t xml:space="preserve">2. </w:t>
      </w:r>
      <w:r>
        <w:rPr>
          <w:color w:val="000000"/>
        </w:rPr>
        <w:t>Metodikoje vartojamos sąvokos apibrėžtos Lietuvos Respublikos profesinio mokymo įstatyme ir Lietuvos Respublikos švietimo įstatyme.</w:t>
      </w:r>
    </w:p>
    <w:p w14:paraId="6986A31C" w14:textId="77777777" w:rsidR="00A17914" w:rsidRDefault="00A17914">
      <w:pPr>
        <w:ind w:firstLine="720"/>
        <w:jc w:val="both"/>
        <w:rPr>
          <w:color w:val="000000"/>
        </w:rPr>
      </w:pPr>
    </w:p>
    <w:p w14:paraId="6986A31D" w14:textId="77777777" w:rsidR="00A17914" w:rsidRDefault="004709F5">
      <w:pPr>
        <w:jc w:val="center"/>
        <w:rPr>
          <w:b/>
          <w:szCs w:val="24"/>
        </w:rPr>
      </w:pPr>
      <w:r>
        <w:rPr>
          <w:b/>
          <w:szCs w:val="24"/>
        </w:rPr>
        <w:t>II SKYRIUS</w:t>
      </w:r>
    </w:p>
    <w:p w14:paraId="6986A31E" w14:textId="77777777" w:rsidR="00A17914" w:rsidRDefault="004709F5">
      <w:pPr>
        <w:jc w:val="center"/>
        <w:rPr>
          <w:color w:val="000000"/>
        </w:rPr>
      </w:pPr>
      <w:r>
        <w:rPr>
          <w:b/>
          <w:szCs w:val="24"/>
        </w:rPr>
        <w:t>PROFESINIO MOKYMO LĖŠŲ APSKAIČIAVIMAS</w:t>
      </w:r>
    </w:p>
    <w:p w14:paraId="6986A31F" w14:textId="77777777" w:rsidR="00A17914" w:rsidRDefault="00A17914">
      <w:pPr>
        <w:ind w:firstLine="720"/>
        <w:jc w:val="both"/>
        <w:rPr>
          <w:color w:val="000000"/>
        </w:rPr>
      </w:pPr>
    </w:p>
    <w:p w14:paraId="6986A320" w14:textId="77777777" w:rsidR="00A17914" w:rsidRDefault="004709F5">
      <w:pPr>
        <w:ind w:firstLine="720"/>
        <w:jc w:val="both"/>
        <w:rPr>
          <w:color w:val="000000"/>
        </w:rPr>
      </w:pPr>
      <w:r>
        <w:rPr>
          <w:color w:val="000000"/>
        </w:rPr>
        <w:t>3. Profesinio mokymo lėšos vienam mokiniui apskaičiuojamos, sudėjus lėšas, skirtas šioms ugdymo reikmėms:</w:t>
      </w:r>
    </w:p>
    <w:p w14:paraId="6986A321" w14:textId="77777777" w:rsidR="00A17914" w:rsidRDefault="004709F5">
      <w:pPr>
        <w:ind w:firstLine="720"/>
        <w:jc w:val="both"/>
      </w:pPr>
      <w:r>
        <w:rPr>
          <w:color w:val="000000"/>
        </w:rPr>
        <w:t>3.1. mokytojų, dirbančių pagal formaliojo profesinio mokymo programas (toliau – mokytojai), darbo užmokesčiui, socialinio draudimo įmokoms</w:t>
      </w:r>
      <w:r>
        <w:t>, įmokoms į Ilgalaikio darbo išmokų fondą ir Garantinį fondą;</w:t>
      </w:r>
    </w:p>
    <w:p w14:paraId="6986A322" w14:textId="77777777" w:rsidR="00A17914" w:rsidRDefault="004709F5">
      <w:pPr>
        <w:ind w:firstLine="720"/>
        <w:jc w:val="both"/>
        <w:rPr>
          <w:szCs w:val="24"/>
          <w:lang w:eastAsia="lt-LT"/>
        </w:rPr>
      </w:pPr>
      <w:r>
        <w:rPr>
          <w:color w:val="000000"/>
        </w:rPr>
        <w:t xml:space="preserve">3.2. </w:t>
      </w:r>
      <w:r>
        <w:rPr>
          <w:szCs w:val="24"/>
          <w:lang w:eastAsia="lt-LT"/>
        </w:rPr>
        <w:t>ugdymo procesui organizuoti ir valdyti;</w:t>
      </w:r>
    </w:p>
    <w:p w14:paraId="6986A323" w14:textId="77777777" w:rsidR="00A17914" w:rsidRDefault="004709F5">
      <w:pPr>
        <w:ind w:firstLine="720"/>
        <w:jc w:val="both"/>
        <w:rPr>
          <w:szCs w:val="24"/>
          <w:lang w:eastAsia="lt-LT"/>
        </w:rPr>
      </w:pPr>
      <w:r>
        <w:rPr>
          <w:szCs w:val="24"/>
          <w:lang w:eastAsia="lt-LT"/>
        </w:rPr>
        <w:t xml:space="preserve">3.3. </w:t>
      </w:r>
      <w:r>
        <w:rPr>
          <w:kern w:val="24"/>
          <w:szCs w:val="24"/>
          <w:lang w:eastAsia="lt-LT"/>
        </w:rPr>
        <w:t>švietimo pagalbai: d</w:t>
      </w:r>
      <w:r>
        <w:rPr>
          <w:szCs w:val="24"/>
          <w:lang w:eastAsia="lt-LT"/>
        </w:rPr>
        <w:t>arbo užmokesčiui mokėti, paslaugoms, susijusioms su psichologine, specialiąja pedagogine, specialiąja ir socialine pedagogine pagalba, prevencinėms programoms įgyvendinti, profesiniam orientavimui, taip pat mokyklos bibliotekos darbuotojams išlaikyti (toliau – švietimo pagalba);</w:t>
      </w:r>
    </w:p>
    <w:p w14:paraId="6986A324" w14:textId="77777777" w:rsidR="00A17914" w:rsidRDefault="004709F5">
      <w:pPr>
        <w:ind w:firstLine="720"/>
        <w:jc w:val="both"/>
        <w:rPr>
          <w:szCs w:val="24"/>
          <w:lang w:eastAsia="lt-LT"/>
        </w:rPr>
      </w:pPr>
      <w:r>
        <w:rPr>
          <w:szCs w:val="24"/>
          <w:lang w:eastAsia="lt-LT"/>
        </w:rPr>
        <w:t>3.4. mokytojų ir kitų ugdymo procese dalyvaujančių asmenų kvalifikacijai tobulinti;</w:t>
      </w:r>
    </w:p>
    <w:p w14:paraId="6986A325" w14:textId="77777777" w:rsidR="00A17914" w:rsidRDefault="004709F5">
      <w:pPr>
        <w:ind w:firstLine="720"/>
        <w:jc w:val="both"/>
        <w:rPr>
          <w:szCs w:val="24"/>
          <w:lang w:eastAsia="lt-LT"/>
        </w:rPr>
      </w:pPr>
      <w:r>
        <w:rPr>
          <w:szCs w:val="24"/>
          <w:lang w:eastAsia="lt-LT"/>
        </w:rPr>
        <w:t>3.5. mokymo priemonėms: profesijos vadovėliams, literatūrai, techninėms priemonėms, apsaugos priemonėms, darbo drabužiams, praktinio mokymo medžiagoms ir kitoms priemonėms (toliau – mokymo priemonės).</w:t>
      </w:r>
    </w:p>
    <w:p w14:paraId="6986A326" w14:textId="77777777" w:rsidR="00A17914" w:rsidRDefault="004709F5">
      <w:pPr>
        <w:ind w:firstLine="720"/>
        <w:jc w:val="both"/>
        <w:rPr>
          <w:color w:val="000000"/>
        </w:rPr>
      </w:pPr>
      <w:r>
        <w:rPr>
          <w:szCs w:val="24"/>
          <w:lang w:eastAsia="lt-LT"/>
        </w:rPr>
        <w:t xml:space="preserve">4. </w:t>
      </w:r>
      <w:r>
        <w:rPr>
          <w:color w:val="000000"/>
        </w:rPr>
        <w:t>Profesinio mokymo lėšos mokiniui apskaičiuojamos vieno mokymosi kredito profesinio mokymo lėšas padauginus iš mokymosi kreditų skaičiaus, tenkančio mokiniui pagal formaliojo profesinio mokymo programą arba jos dalį. Tais atvejais, kai formaliojo profesinio mokymo programos apimtis nėra apibrėžta mokymosi kreditų skaičiumi, laikoma, kad formaliojo profesinio mokymo programos 22 valandos atitinka 1 mokymosi kreditą.</w:t>
      </w:r>
    </w:p>
    <w:p w14:paraId="6986A327" w14:textId="77777777" w:rsidR="00A17914" w:rsidRDefault="004709F5">
      <w:pPr>
        <w:ind w:firstLine="720"/>
        <w:jc w:val="both"/>
        <w:rPr>
          <w:color w:val="000000"/>
        </w:rPr>
      </w:pPr>
      <w:r>
        <w:rPr>
          <w:szCs w:val="24"/>
          <w:lang w:eastAsia="lt-LT"/>
        </w:rPr>
        <w:t>5.</w:t>
      </w:r>
      <w:r>
        <w:rPr>
          <w:color w:val="000000"/>
        </w:rPr>
        <w:t xml:space="preserve"> </w:t>
      </w:r>
      <w:r>
        <w:t xml:space="preserve">Tais atvejais, kai mokiniai yra priimti mokytis pagal švietimo, mokslo ir sporto ministro tvirtinamą asmenų, išskyrus asmenis, kuriems taikomas Lietuvos Respublikos užimtumo įstatymas, Lietuvos Respublikos neįgaliųjų socialinės integracijos įstatymas ar Lietuvos Respublikos vidaus tarnybos statutas, pageidaujančių įgyti kvalifikaciją, priėmimo į valstybės finansuojamas profesinio mokymo vietas planą (toliau – priėmimo į valstybės finansuojamas profesinio mokymo vietas planas), </w:t>
      </w:r>
      <w:r>
        <w:rPr>
          <w:color w:val="000000"/>
        </w:rPr>
        <w:t xml:space="preserve">profesinio mokymo lėšos mokiniui skaičiuojamos kalendoriniams metams, vieno mokymosi </w:t>
      </w:r>
      <w:r>
        <w:rPr>
          <w:color w:val="000000"/>
        </w:rPr>
        <w:lastRenderedPageBreak/>
        <w:t xml:space="preserve">kredito profesinio mokymo lėšas padauginus iš mokymosi kreditų skaičiaus, tenkančio mokiniui pagal formaliojo profesinio mokymo programą arba jos dalį atitinkamiems mokslo metams. </w:t>
      </w:r>
    </w:p>
    <w:p w14:paraId="6986A328" w14:textId="77777777" w:rsidR="00A17914" w:rsidRDefault="004709F5">
      <w:pPr>
        <w:ind w:firstLine="720"/>
        <w:jc w:val="both"/>
        <w:rPr>
          <w:color w:val="000000"/>
          <w:szCs w:val="24"/>
        </w:rPr>
      </w:pPr>
      <w:r>
        <w:rPr>
          <w:szCs w:val="24"/>
          <w:lang w:eastAsia="lt-LT"/>
        </w:rPr>
        <w:t xml:space="preserve">6. Lėšos </w:t>
      </w:r>
      <w:r>
        <w:rPr>
          <w:color w:val="000000"/>
        </w:rPr>
        <w:t xml:space="preserve">mokytojų darbo užmokesčiui, socialinio draudimo įmokoms, įmokoms į Ilgalaikio darbo išmokų fondą ir Garantinį fondą (DU), tenkančios vienam mokymosi kreditui, apskaičiuojamos, </w:t>
      </w:r>
      <w:r>
        <w:rPr>
          <w:color w:val="000000"/>
          <w:szCs w:val="24"/>
        </w:rPr>
        <w:t xml:space="preserve">vidutinį sąlyginį mokytojo pareiginės algos pastoviosios dalies koeficientą (R) padauginus iš </w:t>
      </w:r>
      <w:r w:rsidR="007356CC">
        <w:rPr>
          <w:color w:val="000000"/>
          <w:szCs w:val="24"/>
        </w:rPr>
        <w:t xml:space="preserve">Lietuvos Respublikos Seimo </w:t>
      </w:r>
      <w:r w:rsidR="00246E45">
        <w:rPr>
          <w:color w:val="000000"/>
          <w:szCs w:val="24"/>
        </w:rPr>
        <w:t xml:space="preserve">patvirtinto </w:t>
      </w:r>
      <w:r>
        <w:rPr>
          <w:color w:val="000000"/>
          <w:szCs w:val="24"/>
        </w:rPr>
        <w:t>pareiginės algos bazinio dydžio (BD), sąlyginio pareigybių skaičiaus (p), 12 mėnesių, socialinio draudimo,</w:t>
      </w:r>
      <w:r>
        <w:rPr>
          <w:color w:val="FF0000"/>
        </w:rPr>
        <w:t xml:space="preserve"> </w:t>
      </w:r>
      <w:r>
        <w:t>įmokų į Ilgalaikio darbo išmokų fondą</w:t>
      </w:r>
      <w:r>
        <w:rPr>
          <w:szCs w:val="24"/>
        </w:rPr>
        <w:t xml:space="preserve"> ir į Garantinį fondą </w:t>
      </w:r>
      <w:r>
        <w:rPr>
          <w:color w:val="000000"/>
          <w:szCs w:val="24"/>
        </w:rPr>
        <w:t>koeficiento (k) ir padalijus iš bazinio grupės mokinių skaičiaus (n), tai yra DU = R×BD×p×12×k/n., laikantis šių nuostatų:</w:t>
      </w:r>
    </w:p>
    <w:p w14:paraId="6986A329" w14:textId="77777777" w:rsidR="00A17914" w:rsidRDefault="004709F5">
      <w:pPr>
        <w:ind w:firstLine="720"/>
        <w:jc w:val="both"/>
        <w:rPr>
          <w:color w:val="000000"/>
          <w:szCs w:val="24"/>
        </w:rPr>
      </w:pPr>
      <w:r>
        <w:rPr>
          <w:color w:val="000000"/>
          <w:szCs w:val="24"/>
        </w:rPr>
        <w:t>6.1. vidutinis sąlyginis mokytojo pareiginės algos pastoviosios dalies koeficientas (R)</w:t>
      </w:r>
      <w:r w:rsidR="00D57816">
        <w:rPr>
          <w:color w:val="000000"/>
          <w:szCs w:val="24"/>
        </w:rPr>
        <w:t xml:space="preserve"> yra lygus 7,13</w:t>
      </w:r>
      <w:r>
        <w:rPr>
          <w:color w:val="000000"/>
          <w:szCs w:val="24"/>
        </w:rPr>
        <w:t>;</w:t>
      </w:r>
    </w:p>
    <w:p w14:paraId="6986A32A" w14:textId="77777777" w:rsidR="00A17914" w:rsidRDefault="004709F5">
      <w:pPr>
        <w:ind w:firstLine="720"/>
        <w:jc w:val="both"/>
        <w:rPr>
          <w:color w:val="000000"/>
          <w:szCs w:val="24"/>
        </w:rPr>
      </w:pPr>
      <w:r>
        <w:rPr>
          <w:szCs w:val="24"/>
          <w:lang w:eastAsia="lt-LT"/>
        </w:rPr>
        <w:t xml:space="preserve">6.2. sąlyginis pareigybių skaičius (p) apskaičiuojamas </w:t>
      </w:r>
      <w:r>
        <w:rPr>
          <w:color w:val="000000"/>
        </w:rPr>
        <w:t>vienam mokymosi kreditui</w:t>
      </w:r>
      <w:r>
        <w:rPr>
          <w:szCs w:val="24"/>
          <w:lang w:eastAsia="lt-LT"/>
        </w:rPr>
        <w:t xml:space="preserve"> </w:t>
      </w:r>
      <w:r w:rsidR="00ED79B6">
        <w:rPr>
          <w:szCs w:val="24"/>
          <w:lang w:eastAsia="lt-LT"/>
        </w:rPr>
        <w:t xml:space="preserve">įgyvendinti </w:t>
      </w:r>
      <w:r>
        <w:rPr>
          <w:szCs w:val="24"/>
          <w:lang w:eastAsia="lt-LT"/>
        </w:rPr>
        <w:t xml:space="preserve">tenkantį kontaktinių valandų skaičių (h), padalijus iš 888 valandų, </w:t>
      </w:r>
      <w:r>
        <w:rPr>
          <w:color w:val="000000"/>
          <w:szCs w:val="24"/>
        </w:rPr>
        <w:t>tai yra p = h/888;</w:t>
      </w:r>
    </w:p>
    <w:p w14:paraId="6986A32B" w14:textId="77777777" w:rsidR="00A17914" w:rsidRDefault="004709F5">
      <w:pPr>
        <w:ind w:firstLine="720"/>
        <w:jc w:val="both"/>
        <w:rPr>
          <w:szCs w:val="24"/>
          <w:lang w:eastAsia="lt-LT"/>
        </w:rPr>
      </w:pPr>
      <w:r>
        <w:rPr>
          <w:color w:val="000000"/>
          <w:szCs w:val="24"/>
        </w:rPr>
        <w:t xml:space="preserve">6.3. </w:t>
      </w:r>
      <w:r>
        <w:rPr>
          <w:color w:val="000000"/>
        </w:rPr>
        <w:t>vienam mokymosi kreditui</w:t>
      </w:r>
      <w:r>
        <w:rPr>
          <w:szCs w:val="24"/>
          <w:lang w:eastAsia="lt-LT"/>
        </w:rPr>
        <w:t xml:space="preserve"> </w:t>
      </w:r>
      <w:r>
        <w:rPr>
          <w:color w:val="000000"/>
          <w:szCs w:val="24"/>
        </w:rPr>
        <w:t xml:space="preserve">tenkantis </w:t>
      </w:r>
      <w:r>
        <w:rPr>
          <w:szCs w:val="24"/>
          <w:lang w:eastAsia="lt-LT"/>
        </w:rPr>
        <w:t xml:space="preserve">kontaktinių valandų skaičius (h) </w:t>
      </w:r>
      <w:r>
        <w:rPr>
          <w:color w:val="000000"/>
          <w:szCs w:val="24"/>
        </w:rPr>
        <w:t>yra: pirmai kvalifikacijai įgyti skirtos programos – 22 kontaktinės valandos, programos</w:t>
      </w:r>
      <w:r w:rsidR="00012173">
        <w:rPr>
          <w:color w:val="000000"/>
          <w:szCs w:val="24"/>
        </w:rPr>
        <w:t>, skirtos</w:t>
      </w:r>
      <w:r>
        <w:rPr>
          <w:color w:val="000000"/>
          <w:szCs w:val="24"/>
        </w:rPr>
        <w:t xml:space="preserve"> specialiųjų ugdymosi poreikių dėl intelekto sutrikimo turintiems mokiniams – 27 kontaktinės valandos, tęstinio profesinio mokymo programos – 18 kontaktinių valandų.</w:t>
      </w:r>
      <w:r>
        <w:rPr>
          <w:szCs w:val="24"/>
          <w:lang w:eastAsia="lt-LT"/>
        </w:rPr>
        <w:t xml:space="preserve"> </w:t>
      </w:r>
      <w:r>
        <w:t xml:space="preserve">Tais atvejais, kai mokiniai yra priimti mokytis pagal priėmimo į valstybės finansuojamas profesinio mokymo vietas planą, </w:t>
      </w:r>
      <w:r>
        <w:rPr>
          <w:color w:val="000000"/>
        </w:rPr>
        <w:t xml:space="preserve">atsižvelgiama į faktinį grupės, kurioje mokosi mokinys, mokinių skaičių: kai </w:t>
      </w:r>
      <w:r>
        <w:rPr>
          <w:szCs w:val="24"/>
          <w:lang w:eastAsia="lt-LT"/>
        </w:rPr>
        <w:t xml:space="preserve">pagal švietimo, mokslo ir sporto ministro tvirtinamame profesinio mokymo tvarkos apraše nustatytus reikalavimus grupė turi būti skaidoma į pogrupius, </w:t>
      </w:r>
      <w:r>
        <w:rPr>
          <w:color w:val="000000"/>
        </w:rPr>
        <w:t>vienam mokymosi kreditui</w:t>
      </w:r>
      <w:r>
        <w:rPr>
          <w:szCs w:val="24"/>
          <w:lang w:eastAsia="lt-LT"/>
        </w:rPr>
        <w:t xml:space="preserve"> </w:t>
      </w:r>
      <w:r>
        <w:rPr>
          <w:color w:val="000000"/>
          <w:szCs w:val="24"/>
        </w:rPr>
        <w:t xml:space="preserve">tenkantis </w:t>
      </w:r>
      <w:r>
        <w:rPr>
          <w:szCs w:val="24"/>
          <w:lang w:eastAsia="lt-LT"/>
        </w:rPr>
        <w:t>kontaktinių valandų skaičius (h) didinamas 70 procentų;</w:t>
      </w:r>
    </w:p>
    <w:p w14:paraId="6986A32C" w14:textId="77777777" w:rsidR="00A17914" w:rsidRDefault="004709F5">
      <w:pPr>
        <w:ind w:firstLine="720"/>
        <w:jc w:val="both"/>
        <w:rPr>
          <w:szCs w:val="24"/>
          <w:lang w:eastAsia="lt-LT"/>
        </w:rPr>
      </w:pPr>
      <w:r>
        <w:rPr>
          <w:szCs w:val="24"/>
          <w:lang w:eastAsia="lt-LT"/>
        </w:rPr>
        <w:t xml:space="preserve">6.4. </w:t>
      </w:r>
      <w:r>
        <w:rPr>
          <w:color w:val="000000"/>
          <w:szCs w:val="24"/>
        </w:rPr>
        <w:t>socialinio draudimo,</w:t>
      </w:r>
      <w:r>
        <w:rPr>
          <w:color w:val="FF0000"/>
        </w:rPr>
        <w:t xml:space="preserve"> </w:t>
      </w:r>
      <w:r>
        <w:t>įmokų į Ilgalaikio darbo išmokų fondą</w:t>
      </w:r>
      <w:r>
        <w:rPr>
          <w:szCs w:val="24"/>
        </w:rPr>
        <w:t xml:space="preserve"> ir į Garantinį fondą koeficientas (k) </w:t>
      </w:r>
      <w:r>
        <w:rPr>
          <w:szCs w:val="24"/>
          <w:lang w:eastAsia="lt-LT"/>
        </w:rPr>
        <w:t>apskaičiuojamas taikant teisės aktų nustatytus socialinio draudimo įmokos tarifą (t</w:t>
      </w:r>
      <w:r>
        <w:rPr>
          <w:szCs w:val="24"/>
          <w:vertAlign w:val="subscript"/>
          <w:lang w:eastAsia="lt-LT"/>
        </w:rPr>
        <w:t>soc</w:t>
      </w:r>
      <w:r>
        <w:rPr>
          <w:szCs w:val="24"/>
          <w:lang w:eastAsia="lt-LT"/>
        </w:rPr>
        <w:t xml:space="preserve">), </w:t>
      </w:r>
      <w:r>
        <w:t>įmokų į Ilgalaikio darbo išmokų fondą</w:t>
      </w:r>
      <w:r>
        <w:rPr>
          <w:szCs w:val="24"/>
          <w:lang w:eastAsia="lt-LT"/>
        </w:rPr>
        <w:t xml:space="preserve"> tarifą (t</w:t>
      </w:r>
      <w:r>
        <w:rPr>
          <w:szCs w:val="24"/>
          <w:vertAlign w:val="subscript"/>
          <w:lang w:eastAsia="lt-LT"/>
        </w:rPr>
        <w:t>dif</w:t>
      </w:r>
      <w:r>
        <w:rPr>
          <w:szCs w:val="24"/>
          <w:lang w:eastAsia="lt-LT"/>
        </w:rPr>
        <w:t>) ir į Garantinį fondą tarifą (t</w:t>
      </w:r>
      <w:r>
        <w:rPr>
          <w:szCs w:val="24"/>
          <w:vertAlign w:val="subscript"/>
          <w:lang w:eastAsia="lt-LT"/>
        </w:rPr>
        <w:t>gf</w:t>
      </w:r>
      <w:r>
        <w:rPr>
          <w:szCs w:val="24"/>
          <w:lang w:eastAsia="lt-LT"/>
        </w:rPr>
        <w:t>), išreikštus vieneto dalimis, pagal formulę: k = 1+t</w:t>
      </w:r>
      <w:r>
        <w:rPr>
          <w:szCs w:val="24"/>
          <w:vertAlign w:val="subscript"/>
          <w:lang w:eastAsia="lt-LT"/>
        </w:rPr>
        <w:t xml:space="preserve">soc </w:t>
      </w:r>
      <w:r>
        <w:rPr>
          <w:szCs w:val="24"/>
          <w:lang w:eastAsia="lt-LT"/>
        </w:rPr>
        <w:t>+t</w:t>
      </w:r>
      <w:r>
        <w:rPr>
          <w:szCs w:val="24"/>
          <w:vertAlign w:val="subscript"/>
          <w:lang w:eastAsia="lt-LT"/>
        </w:rPr>
        <w:t>dif</w:t>
      </w:r>
      <w:r>
        <w:rPr>
          <w:szCs w:val="24"/>
          <w:lang w:eastAsia="lt-LT"/>
        </w:rPr>
        <w:t xml:space="preserve"> +t</w:t>
      </w:r>
      <w:r>
        <w:rPr>
          <w:szCs w:val="24"/>
          <w:vertAlign w:val="subscript"/>
          <w:lang w:eastAsia="lt-LT"/>
        </w:rPr>
        <w:t>gf</w:t>
      </w:r>
      <w:r>
        <w:rPr>
          <w:szCs w:val="24"/>
          <w:lang w:eastAsia="lt-LT"/>
        </w:rPr>
        <w:t>;</w:t>
      </w:r>
    </w:p>
    <w:p w14:paraId="6986A32D" w14:textId="77777777" w:rsidR="00A17914" w:rsidRDefault="004709F5">
      <w:pPr>
        <w:ind w:firstLine="720"/>
        <w:jc w:val="both"/>
        <w:rPr>
          <w:szCs w:val="24"/>
          <w:lang w:eastAsia="lt-LT"/>
        </w:rPr>
      </w:pPr>
      <w:r>
        <w:rPr>
          <w:szCs w:val="24"/>
          <w:lang w:eastAsia="lt-LT"/>
        </w:rPr>
        <w:t xml:space="preserve">6.5. bazinis grupės mokinių skaičius (n) yra lygus 15. </w:t>
      </w:r>
      <w:r>
        <w:t>Tais atvejais, kai mokiniai yra priimti mokytis pagal priėmimo į valstybės finansuojamas profesinio mokymo vietas planą,</w:t>
      </w:r>
      <w:r>
        <w:rPr>
          <w:color w:val="000000"/>
        </w:rPr>
        <w:t xml:space="preserve"> taikomas </w:t>
      </w:r>
      <w:r>
        <w:rPr>
          <w:szCs w:val="24"/>
          <w:lang w:eastAsia="lt-LT"/>
        </w:rPr>
        <w:t>bazinis grupės mokinių skaičius, nurodytas Metodikos 1 priede;</w:t>
      </w:r>
    </w:p>
    <w:p w14:paraId="6986A32E" w14:textId="77777777" w:rsidR="00A17914" w:rsidRDefault="004709F5">
      <w:pPr>
        <w:ind w:firstLine="720"/>
        <w:jc w:val="both"/>
        <w:rPr>
          <w:color w:val="000000"/>
        </w:rPr>
      </w:pPr>
      <w:r>
        <w:rPr>
          <w:szCs w:val="24"/>
          <w:lang w:eastAsia="lt-LT"/>
        </w:rPr>
        <w:t xml:space="preserve">6.6. lėšos </w:t>
      </w:r>
      <w:r>
        <w:rPr>
          <w:color w:val="000000"/>
        </w:rPr>
        <w:t>mokytojų darbo užmokesčiui, socialinio draudimo įmokoms, įmokoms į Ilgalaikio darbo išmokų fondą ir Garantinį fondą (DU), tenkančios vienam mokymosi kreditui, didinamos:</w:t>
      </w:r>
    </w:p>
    <w:p w14:paraId="6986A32F" w14:textId="77777777" w:rsidR="00A17914" w:rsidRDefault="004709F5">
      <w:pPr>
        <w:ind w:firstLine="720"/>
        <w:jc w:val="both"/>
        <w:rPr>
          <w:color w:val="000000"/>
        </w:rPr>
      </w:pPr>
      <w:r>
        <w:rPr>
          <w:color w:val="000000"/>
        </w:rPr>
        <w:t>6.6.1. kai mokinys dėl įgimtų arba įgytų sutrikimų turi vidutinių specialiųjų ugdymosi poreikių – 5 procentais (išskyrus Metodikos 6.6.3 papunktyje nurodytą atvejį);</w:t>
      </w:r>
    </w:p>
    <w:p w14:paraId="6986A330" w14:textId="77777777" w:rsidR="00A17914" w:rsidRDefault="004709F5">
      <w:pPr>
        <w:ind w:firstLine="720"/>
        <w:jc w:val="both"/>
        <w:rPr>
          <w:color w:val="000000"/>
        </w:rPr>
      </w:pPr>
      <w:r>
        <w:rPr>
          <w:color w:val="000000"/>
        </w:rPr>
        <w:t>6.6.2. kai mokinys dėl įgimtų arba įgytų sutrikimų turi didelių arba labai didelių specialiųjų ugdymosi poreikių – 15 procentų (išskyrus Metodikos 6.6.3 papunktyje nurodytą atvejį);</w:t>
      </w:r>
    </w:p>
    <w:p w14:paraId="6986A331" w14:textId="77777777" w:rsidR="00A17914" w:rsidRDefault="004709F5">
      <w:pPr>
        <w:ind w:firstLine="720"/>
        <w:jc w:val="both"/>
        <w:rPr>
          <w:szCs w:val="24"/>
          <w:lang w:eastAsia="lt-LT"/>
        </w:rPr>
      </w:pPr>
      <w:r>
        <w:rPr>
          <w:szCs w:val="24"/>
          <w:lang w:eastAsia="lt-LT"/>
        </w:rPr>
        <w:t xml:space="preserve">6.6.3. mokiniui, esančiam laisvės atėmimo vietoje – 10 </w:t>
      </w:r>
      <w:r>
        <w:rPr>
          <w:color w:val="000000"/>
        </w:rPr>
        <w:t>procentų.</w:t>
      </w:r>
    </w:p>
    <w:p w14:paraId="6986A332" w14:textId="77777777" w:rsidR="00A17914" w:rsidRDefault="004709F5">
      <w:pPr>
        <w:ind w:firstLine="720"/>
        <w:jc w:val="both"/>
        <w:rPr>
          <w:szCs w:val="24"/>
          <w:lang w:eastAsia="lt-LT"/>
        </w:rPr>
      </w:pPr>
      <w:r>
        <w:rPr>
          <w:color w:val="000000"/>
        </w:rPr>
        <w:t xml:space="preserve">7. Lėšos </w:t>
      </w:r>
      <w:r>
        <w:rPr>
          <w:szCs w:val="24"/>
          <w:lang w:eastAsia="lt-LT"/>
        </w:rPr>
        <w:t xml:space="preserve">ugdymo procesui organizuoti ir valdyti, tenkančios vienam mokymosi kreditui, sudaro 0,0235 BD. </w:t>
      </w:r>
      <w:r>
        <w:t>Tais atvejais, kai mokinys yra priimtas mokytis pagal priėmimo į valstybės finansuojamas profesinio mokymo vietas planą</w:t>
      </w:r>
      <w:r>
        <w:rPr>
          <w:color w:val="000000"/>
        </w:rPr>
        <w:t xml:space="preserve"> ir </w:t>
      </w:r>
      <w:r>
        <w:rPr>
          <w:szCs w:val="24"/>
          <w:lang w:eastAsia="lt-LT"/>
        </w:rPr>
        <w:t>dalis jo mokymo pagal formaliojo profesinio mokymo programą arba jos dalį turi būti organizuojama kitos profesinio mokymo įstaigos praktinio mokymo centre, šios lėšos didinamos 10 procentų.</w:t>
      </w:r>
    </w:p>
    <w:p w14:paraId="6986A333" w14:textId="77777777" w:rsidR="00A17914" w:rsidRDefault="004709F5">
      <w:pPr>
        <w:ind w:firstLine="720"/>
        <w:jc w:val="both"/>
        <w:rPr>
          <w:szCs w:val="24"/>
          <w:lang w:eastAsia="lt-LT"/>
        </w:rPr>
      </w:pPr>
      <w:r>
        <w:rPr>
          <w:szCs w:val="24"/>
          <w:lang w:eastAsia="lt-LT"/>
        </w:rPr>
        <w:t xml:space="preserve">8. Lėšos </w:t>
      </w:r>
      <w:r>
        <w:rPr>
          <w:kern w:val="24"/>
          <w:szCs w:val="24"/>
          <w:lang w:eastAsia="lt-LT"/>
        </w:rPr>
        <w:t xml:space="preserve">švietimo pagalbai, </w:t>
      </w:r>
      <w:r>
        <w:rPr>
          <w:szCs w:val="24"/>
          <w:lang w:eastAsia="lt-LT"/>
        </w:rPr>
        <w:t xml:space="preserve">tenkančios vienam mokymosi kreditui, sudaro 0,0053 BD, o tais atvejais, kai </w:t>
      </w:r>
      <w:r>
        <w:rPr>
          <w:color w:val="000000"/>
        </w:rPr>
        <w:t xml:space="preserve">mokinys dėl įgimtų arba įgytų sutrikimų turi vidutinių specialiųjų ugdymosi poreikių, </w:t>
      </w:r>
      <w:r>
        <w:rPr>
          <w:szCs w:val="24"/>
          <w:lang w:eastAsia="lt-LT"/>
        </w:rPr>
        <w:t>šios lėšos didinamos 5 procentais,</w:t>
      </w:r>
      <w:r>
        <w:rPr>
          <w:color w:val="000000"/>
        </w:rPr>
        <w:t xml:space="preserve"> didelių arba labai didelių specialiųjų ugdymosi poreikių – </w:t>
      </w:r>
      <w:r>
        <w:rPr>
          <w:szCs w:val="24"/>
          <w:lang w:eastAsia="lt-LT"/>
        </w:rPr>
        <w:t>15 procentų</w:t>
      </w:r>
      <w:r>
        <w:rPr>
          <w:color w:val="000000"/>
        </w:rPr>
        <w:t>.</w:t>
      </w:r>
    </w:p>
    <w:p w14:paraId="6986A334" w14:textId="77777777" w:rsidR="00A17914" w:rsidRDefault="004709F5">
      <w:pPr>
        <w:ind w:firstLine="720"/>
        <w:jc w:val="both"/>
        <w:rPr>
          <w:szCs w:val="24"/>
          <w:lang w:eastAsia="lt-LT"/>
        </w:rPr>
      </w:pPr>
      <w:r>
        <w:rPr>
          <w:szCs w:val="24"/>
          <w:lang w:eastAsia="lt-LT"/>
        </w:rPr>
        <w:t xml:space="preserve">9. Lėšos mokytojų ir kitų ugdymo procese dalyvaujančių asmenų kvalifikacijai tobulinti, tenkančios vienam mokymosi kreditui, sudaro 0,0003 BD. </w:t>
      </w:r>
    </w:p>
    <w:p w14:paraId="6986A335" w14:textId="77777777" w:rsidR="00A17914" w:rsidRDefault="004709F5">
      <w:pPr>
        <w:ind w:firstLine="720"/>
        <w:jc w:val="both"/>
        <w:rPr>
          <w:szCs w:val="24"/>
          <w:lang w:eastAsia="lt-LT"/>
        </w:rPr>
      </w:pPr>
      <w:r>
        <w:rPr>
          <w:szCs w:val="24"/>
          <w:lang w:eastAsia="lt-LT"/>
        </w:rPr>
        <w:t xml:space="preserve">10. Lėšos mokymo priemonėms, tenkančios vienam mokymosi kreditui, apskaičiuojamos pagal Metodikos 2 priedą. </w:t>
      </w:r>
    </w:p>
    <w:p w14:paraId="6986A336" w14:textId="77777777" w:rsidR="00A17914" w:rsidRDefault="004709F5">
      <w:pPr>
        <w:ind w:firstLine="720"/>
        <w:jc w:val="both"/>
      </w:pPr>
      <w:r>
        <w:rPr>
          <w:szCs w:val="24"/>
          <w:lang w:eastAsia="lt-LT"/>
        </w:rPr>
        <w:t xml:space="preserve">11. Tais atvejais, kai mokinio formalusis </w:t>
      </w:r>
      <w:r>
        <w:rPr>
          <w:szCs w:val="24"/>
        </w:rPr>
        <w:t>profesinis mokymas vykdomas pameistrystės profesinio mokymo organizavimo forma,</w:t>
      </w:r>
      <w:r>
        <w:rPr>
          <w:szCs w:val="24"/>
          <w:lang w:eastAsia="lt-LT"/>
        </w:rPr>
        <w:t xml:space="preserve"> jam skiriamos profesinio mokymo lėšos didinamos 25 procentais. Šios lėšos skiriamos pameistrystės organizavimui užtikrinti: pameistrystės </w:t>
      </w:r>
      <w:r>
        <w:rPr>
          <w:szCs w:val="24"/>
          <w:lang w:eastAsia="lt-LT"/>
        </w:rPr>
        <w:lastRenderedPageBreak/>
        <w:t xml:space="preserve">administravimo, </w:t>
      </w:r>
      <w:r>
        <w:t>individualaus mokymo, konsultavimo, vertinimo, profesijos meistro įmonėje konsultavimo ir kitoms su pameistrystės organizavimu susijusioms išlaidoms.</w:t>
      </w:r>
    </w:p>
    <w:p w14:paraId="6986A337" w14:textId="77777777" w:rsidR="00A17914" w:rsidRDefault="00A17914">
      <w:pPr>
        <w:ind w:firstLine="720"/>
        <w:jc w:val="both"/>
      </w:pPr>
    </w:p>
    <w:p w14:paraId="6986A338" w14:textId="77777777" w:rsidR="00A17914" w:rsidRDefault="004709F5">
      <w:pPr>
        <w:jc w:val="center"/>
        <w:rPr>
          <w:b/>
          <w:szCs w:val="24"/>
        </w:rPr>
      </w:pPr>
      <w:r>
        <w:rPr>
          <w:b/>
          <w:szCs w:val="24"/>
        </w:rPr>
        <w:t>III SKYRIUS</w:t>
      </w:r>
    </w:p>
    <w:p w14:paraId="6986A339" w14:textId="77777777" w:rsidR="00A17914" w:rsidRDefault="004709F5">
      <w:pPr>
        <w:jc w:val="center"/>
        <w:rPr>
          <w:b/>
          <w:szCs w:val="24"/>
        </w:rPr>
      </w:pPr>
      <w:r>
        <w:rPr>
          <w:b/>
          <w:szCs w:val="24"/>
        </w:rPr>
        <w:t>BAIGIAMOSIOS NUOSTATOS</w:t>
      </w:r>
    </w:p>
    <w:p w14:paraId="6986A33A" w14:textId="77777777" w:rsidR="00A17914" w:rsidRDefault="00A17914">
      <w:pPr>
        <w:ind w:firstLine="720"/>
        <w:jc w:val="both"/>
      </w:pPr>
    </w:p>
    <w:p w14:paraId="6986A33B" w14:textId="77777777" w:rsidR="00A17914" w:rsidRDefault="004709F5">
      <w:pPr>
        <w:ind w:firstLine="720"/>
        <w:jc w:val="both"/>
        <w:rPr>
          <w:color w:val="000000"/>
        </w:rPr>
      </w:pPr>
      <w:r>
        <w:t xml:space="preserve">12. </w:t>
      </w:r>
      <w:r>
        <w:rPr>
          <w:color w:val="000000"/>
          <w:szCs w:val="24"/>
        </w:rPr>
        <w:t xml:space="preserve">Atitinkamų ateinančių kalendorinių metų </w:t>
      </w:r>
      <w:r>
        <w:rPr>
          <w:color w:val="000000"/>
        </w:rPr>
        <w:t>vieno mokymosi kredito profesinio mokymo lėšas pagal švietimo posričius</w:t>
      </w:r>
      <w:r w:rsidR="007356CC">
        <w:rPr>
          <w:color w:val="000000"/>
        </w:rPr>
        <w:t xml:space="preserve"> </w:t>
      </w:r>
      <w:r w:rsidR="00E50CDF">
        <w:rPr>
          <w:color w:val="000000"/>
        </w:rPr>
        <w:t xml:space="preserve">(išskyrus atvejus, </w:t>
      </w:r>
      <w:r w:rsidR="00E50CDF">
        <w:t>kai mokiniai yra priimti mokytis pagal priėmimo į valstybės finansuojamas profesinio mokymo vietas planą</w:t>
      </w:r>
      <w:r w:rsidR="00E50CDF">
        <w:rPr>
          <w:color w:val="000000"/>
        </w:rPr>
        <w:t xml:space="preserve">) </w:t>
      </w:r>
      <w:r>
        <w:rPr>
          <w:szCs w:val="24"/>
          <w:lang w:eastAsia="lt-LT"/>
        </w:rPr>
        <w:t xml:space="preserve">kasmet iki einamųjų metų gruodžio 20 d. </w:t>
      </w:r>
      <w:r w:rsidR="00012173">
        <w:rPr>
          <w:szCs w:val="24"/>
          <w:lang w:eastAsia="lt-LT"/>
        </w:rPr>
        <w:t xml:space="preserve">apskaičiuoja Švietimo, mokslo ir sporto ministerija, </w:t>
      </w:r>
      <w:r w:rsidR="00012173">
        <w:rPr>
          <w:color w:val="000000"/>
        </w:rPr>
        <w:t xml:space="preserve">vadovaudamasi Metodikos nuostatomis, </w:t>
      </w:r>
      <w:r w:rsidR="00012173">
        <w:rPr>
          <w:szCs w:val="24"/>
          <w:lang w:eastAsia="lt-LT"/>
        </w:rPr>
        <w:t xml:space="preserve">ir </w:t>
      </w:r>
      <w:r w:rsidR="00012173">
        <w:rPr>
          <w:color w:val="000000"/>
          <w:szCs w:val="24"/>
        </w:rPr>
        <w:t>skelbia</w:t>
      </w:r>
      <w:r w:rsidR="00AF0F39">
        <w:rPr>
          <w:color w:val="000000"/>
          <w:szCs w:val="24"/>
        </w:rPr>
        <w:t xml:space="preserve"> Švietimo, mokslo ir sporto ministerijos interneto </w:t>
      </w:r>
      <w:r w:rsidR="006833D4">
        <w:rPr>
          <w:color w:val="000000"/>
          <w:szCs w:val="24"/>
        </w:rPr>
        <w:t>svetainėje</w:t>
      </w:r>
      <w:r>
        <w:rPr>
          <w:color w:val="000000"/>
        </w:rPr>
        <w:t>.</w:t>
      </w:r>
    </w:p>
    <w:p w14:paraId="6986A33C" w14:textId="77777777" w:rsidR="00A17914" w:rsidRDefault="004709F5">
      <w:pPr>
        <w:ind w:firstLine="720"/>
        <w:jc w:val="both"/>
        <w:rPr>
          <w:color w:val="000000"/>
        </w:rPr>
      </w:pPr>
      <w:r>
        <w:rPr>
          <w:szCs w:val="24"/>
          <w:lang w:eastAsia="lt-LT"/>
        </w:rPr>
        <w:t xml:space="preserve">13. </w:t>
      </w:r>
      <w:r>
        <w:t xml:space="preserve">Tais atvejais, kai mokiniai yra priimti mokytis pagal priėmimo į valstybės finansuojamas profesinio mokymo vietas planą, </w:t>
      </w:r>
      <w:r>
        <w:rPr>
          <w:szCs w:val="24"/>
          <w:lang w:eastAsia="lt-LT"/>
        </w:rPr>
        <w:t xml:space="preserve">informaciją, kurios reikia </w:t>
      </w:r>
      <w:r>
        <w:rPr>
          <w:color w:val="000000"/>
        </w:rPr>
        <w:t xml:space="preserve">profesinio mokymo </w:t>
      </w:r>
      <w:r>
        <w:rPr>
          <w:szCs w:val="24"/>
          <w:lang w:eastAsia="lt-LT"/>
        </w:rPr>
        <w:t>lėšoms apskaičiuoti, profesinio mokymo teikėjai teikia Švietimo informacinių technologijų centrui švietimo, mokslo ir sporto ministro nustatyta tvarka.</w:t>
      </w:r>
    </w:p>
    <w:p w14:paraId="6986A33D" w14:textId="77777777" w:rsidR="00A17914" w:rsidRDefault="004709F5">
      <w:pPr>
        <w:ind w:firstLine="720"/>
        <w:jc w:val="both"/>
        <w:rPr>
          <w:szCs w:val="24"/>
          <w:lang w:eastAsia="lt-LT"/>
        </w:rPr>
      </w:pPr>
      <w:r>
        <w:rPr>
          <w:szCs w:val="24"/>
          <w:lang w:eastAsia="lt-LT"/>
        </w:rPr>
        <w:t xml:space="preserve">14. </w:t>
      </w:r>
      <w:r>
        <w:t>Tais atvejais, kai mokiniai yra priimti mokytis pagal priėmimo į valstybės finansuojamas profesinio mokymo vietas planą, p</w:t>
      </w:r>
      <w:r>
        <w:rPr>
          <w:szCs w:val="24"/>
          <w:lang w:eastAsia="lt-LT"/>
        </w:rPr>
        <w:t xml:space="preserve">rofesinio mokymo lėšų suma, skiriama iš valstybės biudžeto profesinio mokymo teikėjui formaliajam profesiniam mokymui valstybės finansuojamose vietose apmokėti ateinantiems kalendoriniams metams, apskaičiuojama, atsižvelgiant į mokiniui apskaičiuotas profesinio mokymo lėšas ir atitinkamą faktinį mokinių, besimokančių valstybės finansuojamose vietose, skaičių einamųjų metų rugsėjo 1 dieną. Jei nuo rugsėjo 1 d. iki gruodžio 31 d. organizuojamas papildomas priėmimas, kitiems kalendoriniams metams apskaičiuota profesinio mokymo lėšų suma tikslinama pagal </w:t>
      </w:r>
      <w:r w:rsidR="00891F51">
        <w:rPr>
          <w:szCs w:val="24"/>
          <w:lang w:eastAsia="lt-LT"/>
        </w:rPr>
        <w:t xml:space="preserve">faktinį </w:t>
      </w:r>
      <w:r>
        <w:rPr>
          <w:szCs w:val="24"/>
          <w:lang w:eastAsia="lt-LT"/>
        </w:rPr>
        <w:t>mokinių, besimokančių valstybės finansuojamose vietose, skaičių tų kalendorinių metų sausio 1 d.</w:t>
      </w:r>
    </w:p>
    <w:p w14:paraId="6986A33E" w14:textId="77777777" w:rsidR="00A17914" w:rsidRDefault="004709F5">
      <w:pPr>
        <w:ind w:firstLine="720"/>
        <w:jc w:val="both"/>
        <w:rPr>
          <w:strike/>
          <w:color w:val="FF0000"/>
        </w:rPr>
      </w:pPr>
      <w:r>
        <w:rPr>
          <w:szCs w:val="24"/>
          <w:lang w:eastAsia="lt-LT"/>
        </w:rPr>
        <w:t xml:space="preserve">15. Pakitus </w:t>
      </w:r>
      <w:r w:rsidR="00582836">
        <w:rPr>
          <w:szCs w:val="24"/>
          <w:lang w:eastAsia="lt-LT"/>
        </w:rPr>
        <w:t xml:space="preserve">faktiniam </w:t>
      </w:r>
      <w:r>
        <w:rPr>
          <w:szCs w:val="24"/>
          <w:lang w:eastAsia="lt-LT"/>
        </w:rPr>
        <w:t xml:space="preserve">mokinių, </w:t>
      </w:r>
      <w:r w:rsidR="009F3D82">
        <w:t>priimtų mokytis pagal priėmimo į valstybės finansuojamas profesinio mokymo vietas planą</w:t>
      </w:r>
      <w:r>
        <w:rPr>
          <w:szCs w:val="24"/>
          <w:lang w:eastAsia="lt-LT"/>
        </w:rPr>
        <w:t>, skaičiui einamųjų metų rugsėjo 1 d., profesinio mokymo lėšos, skiriamos einamųjų metų rugsėjo–gruodžio mėnesiams, perskirstomos tarp profesinio mokymo teikėjų</w:t>
      </w:r>
      <w:r w:rsidR="009C600E">
        <w:rPr>
          <w:szCs w:val="24"/>
          <w:lang w:eastAsia="lt-LT"/>
        </w:rPr>
        <w:t xml:space="preserve">, atsižvelgiant į profesinio mokymo lėšas, apskaičiuotas </w:t>
      </w:r>
      <w:r w:rsidR="00327E99">
        <w:rPr>
          <w:color w:val="000000"/>
        </w:rPr>
        <w:t>vadovaujantis Metodikos nuostatomis</w:t>
      </w:r>
      <w:r w:rsidR="00327E99">
        <w:rPr>
          <w:szCs w:val="24"/>
          <w:lang w:eastAsia="lt-LT"/>
        </w:rPr>
        <w:t xml:space="preserve"> </w:t>
      </w:r>
      <w:r w:rsidR="009C600E">
        <w:rPr>
          <w:szCs w:val="24"/>
          <w:lang w:eastAsia="lt-LT"/>
        </w:rPr>
        <w:t>pagal mokinių skaičių einamųjų metų rugsėjo 1 d</w:t>
      </w:r>
      <w:r>
        <w:rPr>
          <w:szCs w:val="24"/>
          <w:lang w:eastAsia="lt-LT"/>
        </w:rPr>
        <w:t xml:space="preserve">. </w:t>
      </w:r>
    </w:p>
    <w:p w14:paraId="6986A33F" w14:textId="77777777" w:rsidR="00A17914" w:rsidRDefault="004709F5">
      <w:pPr>
        <w:ind w:firstLine="720"/>
        <w:jc w:val="both"/>
        <w:rPr>
          <w:szCs w:val="24"/>
          <w:lang w:eastAsia="lt-LT"/>
        </w:rPr>
      </w:pPr>
      <w:r>
        <w:rPr>
          <w:szCs w:val="24"/>
          <w:lang w:eastAsia="lt-LT"/>
        </w:rPr>
        <w:t>16. Tais atvejais, kai profesinio mokymo teikėjas kartu su formaliojo profesinio mokymo programa įgyvendina pagrindinio ir (arba) vidurinio ugdymo programą, mokymo lėšos bendrojo ugdymo programoms įgyvendinti apskaičiuojamos ir skiriamos pagal Mokymo lėšų apskaičiavimo, paskirstymo ir panaudojimo tvarkos aprašą, patvirtintą Lietuvos Respublikos Vyriausybės 2018 m. liepos 11 d. nutarimu Nr. 679 „Dėl Mokymo lėšų apskaičiavimo, paskirstymo ir panaudojimo tvarkos aprašo patvirtinimo“.</w:t>
      </w:r>
    </w:p>
    <w:p w14:paraId="6986A340" w14:textId="77777777" w:rsidR="00A17914" w:rsidRDefault="00A17914">
      <w:pPr>
        <w:jc w:val="both"/>
        <w:rPr>
          <w:strike/>
          <w:color w:val="FF0000"/>
          <w:szCs w:val="24"/>
          <w:lang w:eastAsia="lt-LT"/>
        </w:rPr>
      </w:pPr>
    </w:p>
    <w:p w14:paraId="6986A341" w14:textId="77777777" w:rsidR="00A17914" w:rsidRDefault="004709F5">
      <w:pPr>
        <w:jc w:val="center"/>
      </w:pPr>
      <w:r>
        <w:t>_____________________</w:t>
      </w:r>
    </w:p>
    <w:p w14:paraId="6986A342" w14:textId="77777777" w:rsidR="00A17914" w:rsidRDefault="00A17914">
      <w:pPr>
        <w:tabs>
          <w:tab w:val="center" w:pos="-3686"/>
          <w:tab w:val="left" w:pos="6237"/>
          <w:tab w:val="right" w:pos="8306"/>
        </w:tabs>
        <w:rPr>
          <w:szCs w:val="24"/>
          <w:lang w:eastAsia="lt-LT"/>
        </w:rPr>
        <w:sectPr w:rsidR="00A17914">
          <w:pgSz w:w="11906" w:h="16838" w:code="9"/>
          <w:pgMar w:top="1134" w:right="567" w:bottom="851" w:left="1701" w:header="567" w:footer="567" w:gutter="0"/>
          <w:pgNumType w:start="1"/>
          <w:cols w:space="1296"/>
          <w:titlePg/>
        </w:sectPr>
      </w:pPr>
    </w:p>
    <w:p w14:paraId="6986A343" w14:textId="77777777" w:rsidR="00A17914" w:rsidRDefault="00A17914">
      <w:pPr>
        <w:tabs>
          <w:tab w:val="center" w:pos="4986"/>
          <w:tab w:val="right" w:pos="9972"/>
        </w:tabs>
      </w:pPr>
    </w:p>
    <w:p w14:paraId="6986A344" w14:textId="77777777" w:rsidR="00A17914" w:rsidRDefault="004709F5">
      <w:pPr>
        <w:ind w:left="5245"/>
        <w:rPr>
          <w:szCs w:val="24"/>
          <w:lang w:eastAsia="lt-LT"/>
        </w:rPr>
      </w:pPr>
      <w:r>
        <w:rPr>
          <w:szCs w:val="24"/>
          <w:lang w:eastAsia="lt-LT"/>
        </w:rPr>
        <w:t>Profesinio mokymo lėšų skaičiavimo vienam mokiniui, kuris mokosi pagal formaliojo profesinio mokymo programą (išskyrus pataisos pareigūnų profesinio mokymo ir vidaus reikalų profesinio mokymo įstaigų vykdomas programas), metodikos</w:t>
      </w:r>
    </w:p>
    <w:p w14:paraId="6986A345" w14:textId="77777777" w:rsidR="00A17914" w:rsidRDefault="004709F5">
      <w:pPr>
        <w:ind w:left="5245"/>
        <w:rPr>
          <w:szCs w:val="24"/>
          <w:lang w:eastAsia="lt-LT"/>
        </w:rPr>
      </w:pPr>
      <w:r>
        <w:rPr>
          <w:szCs w:val="24"/>
          <w:lang w:eastAsia="lt-LT"/>
        </w:rPr>
        <w:t>1 priedas</w:t>
      </w:r>
    </w:p>
    <w:p w14:paraId="6986A346" w14:textId="77777777" w:rsidR="00A17914" w:rsidRDefault="00A17914">
      <w:pPr>
        <w:ind w:firstLine="720"/>
        <w:jc w:val="center"/>
        <w:rPr>
          <w:b/>
          <w:szCs w:val="24"/>
          <w:lang w:eastAsia="lt-LT"/>
        </w:rPr>
      </w:pPr>
    </w:p>
    <w:p w14:paraId="6986A347" w14:textId="77777777" w:rsidR="00A17914" w:rsidRDefault="004709F5">
      <w:pPr>
        <w:ind w:firstLine="720"/>
        <w:jc w:val="center"/>
        <w:rPr>
          <w:b/>
          <w:szCs w:val="24"/>
          <w:lang w:eastAsia="lt-LT"/>
        </w:rPr>
      </w:pPr>
      <w:r>
        <w:rPr>
          <w:b/>
          <w:szCs w:val="24"/>
          <w:lang w:eastAsia="lt-LT"/>
        </w:rPr>
        <w:t>BAZINIS GRUPĖS MOKINIŲ SKAIČIUS</w:t>
      </w:r>
    </w:p>
    <w:p w14:paraId="6986A348" w14:textId="77777777" w:rsidR="00A17914" w:rsidRDefault="00A17914">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092"/>
        <w:gridCol w:w="3399"/>
      </w:tblGrid>
      <w:tr w:rsidR="00A17914" w14:paraId="6986A34C" w14:textId="77777777">
        <w:tc>
          <w:tcPr>
            <w:tcW w:w="704" w:type="dxa"/>
            <w:vAlign w:val="center"/>
          </w:tcPr>
          <w:p w14:paraId="6986A349" w14:textId="77777777" w:rsidR="00A17914" w:rsidRDefault="004709F5">
            <w:pPr>
              <w:jc w:val="center"/>
              <w:rPr>
                <w:rFonts w:eastAsia="Calibri"/>
                <w:color w:val="000000"/>
                <w:szCs w:val="24"/>
              </w:rPr>
            </w:pPr>
            <w:r>
              <w:rPr>
                <w:rFonts w:eastAsia="Calibri"/>
                <w:color w:val="000000"/>
                <w:szCs w:val="24"/>
              </w:rPr>
              <w:t>Eil. Nr.</w:t>
            </w:r>
          </w:p>
        </w:tc>
        <w:tc>
          <w:tcPr>
            <w:tcW w:w="6092" w:type="dxa"/>
            <w:vAlign w:val="center"/>
          </w:tcPr>
          <w:p w14:paraId="6986A34A" w14:textId="77777777" w:rsidR="00A17914" w:rsidRDefault="004709F5">
            <w:pPr>
              <w:jc w:val="center"/>
              <w:rPr>
                <w:rFonts w:eastAsia="Calibri"/>
                <w:color w:val="000000"/>
                <w:szCs w:val="24"/>
              </w:rPr>
            </w:pPr>
            <w:r>
              <w:rPr>
                <w:rFonts w:eastAsia="Calibri"/>
                <w:color w:val="000000"/>
                <w:szCs w:val="24"/>
              </w:rPr>
              <w:t>Grupė</w:t>
            </w:r>
          </w:p>
        </w:tc>
        <w:tc>
          <w:tcPr>
            <w:tcW w:w="3399" w:type="dxa"/>
            <w:vAlign w:val="center"/>
          </w:tcPr>
          <w:p w14:paraId="6986A34B" w14:textId="77777777" w:rsidR="00A17914" w:rsidRDefault="004709F5">
            <w:pPr>
              <w:jc w:val="center"/>
              <w:rPr>
                <w:rFonts w:eastAsia="Calibri"/>
                <w:color w:val="000000"/>
                <w:szCs w:val="24"/>
              </w:rPr>
            </w:pPr>
            <w:r>
              <w:rPr>
                <w:rFonts w:eastAsia="Calibri"/>
                <w:color w:val="000000"/>
                <w:szCs w:val="24"/>
              </w:rPr>
              <w:t>Bazinis grupės mokinių skaičius</w:t>
            </w:r>
          </w:p>
        </w:tc>
      </w:tr>
      <w:tr w:rsidR="00A17914" w14:paraId="6986A350" w14:textId="77777777">
        <w:tc>
          <w:tcPr>
            <w:tcW w:w="704" w:type="dxa"/>
            <w:vAlign w:val="center"/>
          </w:tcPr>
          <w:p w14:paraId="6986A34D" w14:textId="77777777" w:rsidR="00A17914" w:rsidRDefault="004709F5">
            <w:pPr>
              <w:rPr>
                <w:rFonts w:eastAsia="Calibri"/>
                <w:color w:val="000000"/>
                <w:szCs w:val="24"/>
              </w:rPr>
            </w:pPr>
            <w:r>
              <w:rPr>
                <w:rFonts w:eastAsia="Calibri"/>
                <w:color w:val="000000"/>
                <w:szCs w:val="24"/>
              </w:rPr>
              <w:t>1.</w:t>
            </w:r>
          </w:p>
        </w:tc>
        <w:tc>
          <w:tcPr>
            <w:tcW w:w="6092" w:type="dxa"/>
            <w:vAlign w:val="center"/>
          </w:tcPr>
          <w:p w14:paraId="6986A34E" w14:textId="77777777" w:rsidR="00A17914" w:rsidRDefault="004709F5">
            <w:pPr>
              <w:rPr>
                <w:rFonts w:eastAsia="Calibri"/>
                <w:color w:val="000000"/>
                <w:szCs w:val="24"/>
              </w:rPr>
            </w:pPr>
            <w:r>
              <w:rPr>
                <w:rFonts w:eastAsia="Calibri"/>
                <w:color w:val="000000"/>
                <w:szCs w:val="24"/>
              </w:rPr>
              <w:t>Mokinių grupė (išskyrus nurodytas šio priedo 2 ir 3 punktuose):</w:t>
            </w:r>
          </w:p>
        </w:tc>
        <w:tc>
          <w:tcPr>
            <w:tcW w:w="3399" w:type="dxa"/>
            <w:vAlign w:val="center"/>
          </w:tcPr>
          <w:p w14:paraId="6986A34F" w14:textId="77777777" w:rsidR="00A17914" w:rsidRDefault="00A17914">
            <w:pPr>
              <w:jc w:val="center"/>
              <w:rPr>
                <w:rFonts w:eastAsia="Calibri"/>
                <w:color w:val="000000"/>
                <w:szCs w:val="24"/>
              </w:rPr>
            </w:pPr>
          </w:p>
        </w:tc>
      </w:tr>
      <w:tr w:rsidR="00A17914" w14:paraId="6986A354" w14:textId="77777777">
        <w:tc>
          <w:tcPr>
            <w:tcW w:w="704" w:type="dxa"/>
            <w:vAlign w:val="center"/>
          </w:tcPr>
          <w:p w14:paraId="6986A351" w14:textId="77777777" w:rsidR="00A17914" w:rsidRDefault="004709F5">
            <w:pPr>
              <w:rPr>
                <w:rFonts w:eastAsia="Calibri"/>
                <w:color w:val="000000"/>
                <w:szCs w:val="24"/>
              </w:rPr>
            </w:pPr>
            <w:r>
              <w:rPr>
                <w:rFonts w:eastAsia="Calibri"/>
                <w:color w:val="000000"/>
                <w:szCs w:val="24"/>
              </w:rPr>
              <w:t>1.1.</w:t>
            </w:r>
          </w:p>
        </w:tc>
        <w:tc>
          <w:tcPr>
            <w:tcW w:w="6092" w:type="dxa"/>
            <w:vAlign w:val="center"/>
          </w:tcPr>
          <w:p w14:paraId="6986A352" w14:textId="77777777" w:rsidR="00A17914" w:rsidRDefault="004709F5">
            <w:pPr>
              <w:jc w:val="both"/>
              <w:rPr>
                <w:rFonts w:eastAsia="Calibri"/>
                <w:color w:val="000000"/>
                <w:szCs w:val="24"/>
              </w:rPr>
            </w:pPr>
            <w:r>
              <w:rPr>
                <w:rFonts w:eastAsia="Calibri"/>
                <w:color w:val="000000"/>
                <w:szCs w:val="24"/>
              </w:rPr>
              <w:t>kurioje faktinis mokinių skaičius yra ne didesnis kaip 15 mokinių</w:t>
            </w:r>
          </w:p>
        </w:tc>
        <w:tc>
          <w:tcPr>
            <w:tcW w:w="3399" w:type="dxa"/>
            <w:vAlign w:val="center"/>
          </w:tcPr>
          <w:p w14:paraId="6986A353" w14:textId="77777777" w:rsidR="00A17914" w:rsidRDefault="004709F5">
            <w:pPr>
              <w:jc w:val="center"/>
              <w:rPr>
                <w:rFonts w:eastAsia="Calibri"/>
                <w:color w:val="000000"/>
                <w:szCs w:val="24"/>
              </w:rPr>
            </w:pPr>
            <w:r>
              <w:rPr>
                <w:rFonts w:eastAsia="Calibri"/>
                <w:color w:val="000000"/>
                <w:szCs w:val="24"/>
              </w:rPr>
              <w:t>15</w:t>
            </w:r>
          </w:p>
        </w:tc>
      </w:tr>
      <w:tr w:rsidR="00A17914" w14:paraId="6986A358" w14:textId="77777777">
        <w:tc>
          <w:tcPr>
            <w:tcW w:w="704" w:type="dxa"/>
            <w:vAlign w:val="center"/>
          </w:tcPr>
          <w:p w14:paraId="6986A355" w14:textId="77777777" w:rsidR="00A17914" w:rsidRDefault="004709F5">
            <w:pPr>
              <w:rPr>
                <w:rFonts w:eastAsia="Calibri"/>
                <w:color w:val="000000"/>
                <w:szCs w:val="24"/>
              </w:rPr>
            </w:pPr>
            <w:r>
              <w:rPr>
                <w:rFonts w:eastAsia="Calibri"/>
                <w:color w:val="000000"/>
                <w:szCs w:val="24"/>
              </w:rPr>
              <w:t>1.2.</w:t>
            </w:r>
          </w:p>
        </w:tc>
        <w:tc>
          <w:tcPr>
            <w:tcW w:w="6092" w:type="dxa"/>
            <w:vAlign w:val="center"/>
          </w:tcPr>
          <w:p w14:paraId="6986A356" w14:textId="77777777" w:rsidR="00A17914" w:rsidRDefault="004709F5">
            <w:pPr>
              <w:jc w:val="both"/>
              <w:rPr>
                <w:rFonts w:eastAsia="Calibri"/>
                <w:color w:val="000000"/>
                <w:szCs w:val="24"/>
              </w:rPr>
            </w:pPr>
            <w:r>
              <w:rPr>
                <w:rFonts w:eastAsia="Calibri"/>
                <w:color w:val="000000"/>
                <w:szCs w:val="24"/>
              </w:rPr>
              <w:t xml:space="preserve">kurioje faktinis mokinių skaičius yra </w:t>
            </w:r>
            <w:r>
              <w:rPr>
                <w:rFonts w:eastAsia="Calibri"/>
                <w:szCs w:val="24"/>
              </w:rPr>
              <w:t>16</w:t>
            </w:r>
            <w:r>
              <w:rPr>
                <w:rFonts w:eastAsia="Calibri"/>
                <w:color w:val="000000"/>
                <w:szCs w:val="24"/>
              </w:rPr>
              <w:t xml:space="preserve"> ir daugiau mokinių</w:t>
            </w:r>
          </w:p>
        </w:tc>
        <w:tc>
          <w:tcPr>
            <w:tcW w:w="3399" w:type="dxa"/>
            <w:vAlign w:val="center"/>
          </w:tcPr>
          <w:p w14:paraId="6986A357" w14:textId="77777777" w:rsidR="00A17914" w:rsidRDefault="004709F5">
            <w:pPr>
              <w:jc w:val="center"/>
              <w:rPr>
                <w:rFonts w:eastAsia="Calibri"/>
                <w:strike/>
                <w:color w:val="FF0000"/>
                <w:szCs w:val="24"/>
              </w:rPr>
            </w:pPr>
            <w:r>
              <w:rPr>
                <w:rFonts w:eastAsia="Calibri"/>
                <w:szCs w:val="24"/>
              </w:rPr>
              <w:t>lygus faktiniam mokinių skaičiui</w:t>
            </w:r>
          </w:p>
        </w:tc>
      </w:tr>
      <w:tr w:rsidR="00A17914" w14:paraId="6986A35C" w14:textId="77777777">
        <w:tc>
          <w:tcPr>
            <w:tcW w:w="704" w:type="dxa"/>
            <w:vAlign w:val="center"/>
          </w:tcPr>
          <w:p w14:paraId="6986A359" w14:textId="77777777" w:rsidR="00A17914" w:rsidRDefault="004709F5">
            <w:pPr>
              <w:rPr>
                <w:rFonts w:eastAsia="Calibri"/>
                <w:color w:val="000000"/>
                <w:szCs w:val="24"/>
              </w:rPr>
            </w:pPr>
            <w:r>
              <w:rPr>
                <w:rFonts w:eastAsia="Calibri"/>
                <w:color w:val="000000"/>
                <w:szCs w:val="24"/>
              </w:rPr>
              <w:t>2.</w:t>
            </w:r>
          </w:p>
        </w:tc>
        <w:tc>
          <w:tcPr>
            <w:tcW w:w="6092" w:type="dxa"/>
            <w:vAlign w:val="center"/>
          </w:tcPr>
          <w:p w14:paraId="6986A35A" w14:textId="77777777" w:rsidR="00A17914" w:rsidRDefault="004709F5">
            <w:pPr>
              <w:jc w:val="both"/>
              <w:rPr>
                <w:rFonts w:eastAsia="Calibri"/>
                <w:color w:val="000000"/>
                <w:szCs w:val="24"/>
              </w:rPr>
            </w:pPr>
            <w:r>
              <w:rPr>
                <w:rFonts w:eastAsia="Calibri"/>
                <w:color w:val="000000"/>
                <w:szCs w:val="24"/>
              </w:rPr>
              <w:t>Aklųjų arba kurčiųjų grupė</w:t>
            </w:r>
          </w:p>
        </w:tc>
        <w:tc>
          <w:tcPr>
            <w:tcW w:w="3399" w:type="dxa"/>
            <w:vAlign w:val="center"/>
          </w:tcPr>
          <w:p w14:paraId="6986A35B" w14:textId="77777777" w:rsidR="00A17914" w:rsidRDefault="004709F5">
            <w:pPr>
              <w:jc w:val="center"/>
              <w:rPr>
                <w:rFonts w:eastAsia="Calibri"/>
                <w:color w:val="000000"/>
                <w:szCs w:val="24"/>
              </w:rPr>
            </w:pPr>
            <w:r>
              <w:rPr>
                <w:rFonts w:eastAsia="Calibri"/>
                <w:color w:val="000000"/>
                <w:szCs w:val="24"/>
              </w:rPr>
              <w:t>8</w:t>
            </w:r>
          </w:p>
        </w:tc>
      </w:tr>
      <w:tr w:rsidR="00A17914" w14:paraId="6986A360" w14:textId="77777777">
        <w:tc>
          <w:tcPr>
            <w:tcW w:w="704" w:type="dxa"/>
            <w:vAlign w:val="center"/>
          </w:tcPr>
          <w:p w14:paraId="6986A35D" w14:textId="77777777" w:rsidR="00A17914" w:rsidRDefault="004709F5">
            <w:pPr>
              <w:rPr>
                <w:rFonts w:eastAsia="Calibri"/>
                <w:color w:val="000000"/>
                <w:szCs w:val="24"/>
              </w:rPr>
            </w:pPr>
            <w:r>
              <w:rPr>
                <w:rFonts w:eastAsia="Calibri"/>
                <w:color w:val="000000"/>
                <w:szCs w:val="24"/>
              </w:rPr>
              <w:t>3.</w:t>
            </w:r>
          </w:p>
        </w:tc>
        <w:tc>
          <w:tcPr>
            <w:tcW w:w="6092" w:type="dxa"/>
            <w:vAlign w:val="center"/>
          </w:tcPr>
          <w:p w14:paraId="6986A35E" w14:textId="77777777" w:rsidR="00A17914" w:rsidRDefault="004709F5">
            <w:pPr>
              <w:jc w:val="both"/>
              <w:rPr>
                <w:rFonts w:eastAsia="Calibri"/>
                <w:color w:val="000000"/>
                <w:szCs w:val="24"/>
              </w:rPr>
            </w:pPr>
            <w:r>
              <w:rPr>
                <w:rFonts w:eastAsia="Calibri"/>
                <w:color w:val="000000"/>
                <w:szCs w:val="24"/>
              </w:rPr>
              <w:t>Silpnaregių ar neprigirdinčiųjų ir (arba) kochlearinių implantų naudotojų grupė; mokinių, turinčių nežymų, atskirais atvejais – vidutinį intelekto sutrikimą, grupė</w:t>
            </w:r>
          </w:p>
        </w:tc>
        <w:tc>
          <w:tcPr>
            <w:tcW w:w="3399" w:type="dxa"/>
            <w:vAlign w:val="center"/>
          </w:tcPr>
          <w:p w14:paraId="6986A35F" w14:textId="77777777" w:rsidR="00A17914" w:rsidRDefault="004709F5">
            <w:pPr>
              <w:jc w:val="center"/>
              <w:rPr>
                <w:rFonts w:eastAsia="Calibri"/>
                <w:color w:val="000000"/>
                <w:szCs w:val="24"/>
              </w:rPr>
            </w:pPr>
            <w:r>
              <w:rPr>
                <w:rFonts w:eastAsia="Calibri"/>
                <w:color w:val="000000"/>
                <w:szCs w:val="24"/>
              </w:rPr>
              <w:t>12</w:t>
            </w:r>
          </w:p>
        </w:tc>
      </w:tr>
    </w:tbl>
    <w:p w14:paraId="6986A361" w14:textId="77777777" w:rsidR="00A17914" w:rsidRDefault="00A17914">
      <w:pPr>
        <w:jc w:val="center"/>
      </w:pPr>
    </w:p>
    <w:p w14:paraId="6986A362" w14:textId="77777777" w:rsidR="00A17914" w:rsidRDefault="004709F5">
      <w:pPr>
        <w:jc w:val="center"/>
      </w:pPr>
      <w:r>
        <w:t>_____________________</w:t>
      </w:r>
    </w:p>
    <w:p w14:paraId="6986A363" w14:textId="77777777" w:rsidR="00A17914" w:rsidRDefault="00A17914">
      <w:pPr>
        <w:jc w:val="both"/>
        <w:rPr>
          <w:color w:val="000000"/>
        </w:rPr>
        <w:sectPr w:rsidR="00A17914">
          <w:pgSz w:w="11906" w:h="16838" w:code="9"/>
          <w:pgMar w:top="1134" w:right="567" w:bottom="1134" w:left="1134" w:header="567" w:footer="567" w:gutter="0"/>
          <w:pgNumType w:start="1"/>
          <w:cols w:space="1296"/>
          <w:titlePg/>
          <w:docGrid w:linePitch="326"/>
        </w:sectPr>
      </w:pPr>
    </w:p>
    <w:p w14:paraId="6986A364" w14:textId="77777777" w:rsidR="00A17914" w:rsidRDefault="00A17914">
      <w:pPr>
        <w:tabs>
          <w:tab w:val="center" w:pos="4986"/>
          <w:tab w:val="right" w:pos="9972"/>
        </w:tabs>
      </w:pPr>
    </w:p>
    <w:p w14:paraId="6986A365" w14:textId="77777777" w:rsidR="00A17914" w:rsidRDefault="00A17914">
      <w:pPr>
        <w:jc w:val="both"/>
        <w:rPr>
          <w:color w:val="000000"/>
        </w:rPr>
      </w:pPr>
    </w:p>
    <w:p w14:paraId="6986A366" w14:textId="77777777" w:rsidR="00A17914" w:rsidRDefault="004709F5">
      <w:pPr>
        <w:ind w:left="5245"/>
        <w:rPr>
          <w:szCs w:val="24"/>
          <w:lang w:eastAsia="lt-LT"/>
        </w:rPr>
      </w:pPr>
      <w:r>
        <w:rPr>
          <w:szCs w:val="24"/>
          <w:lang w:eastAsia="lt-LT"/>
        </w:rPr>
        <w:t>Profesinio mokymo lėšų skaičiavimo vienam mokiniui, kuris mokosi pagal formaliojo profesinio mokymo programą (išskyrus pataisos pareigūnų profesinio mokymo ir vidaus reikalų profesinio mokymo įstaigų vykdomas programas), metodikos</w:t>
      </w:r>
    </w:p>
    <w:p w14:paraId="6986A367" w14:textId="77777777" w:rsidR="00A17914" w:rsidRDefault="004709F5">
      <w:pPr>
        <w:ind w:left="5245"/>
        <w:rPr>
          <w:szCs w:val="24"/>
          <w:lang w:eastAsia="lt-LT"/>
        </w:rPr>
      </w:pPr>
      <w:r>
        <w:rPr>
          <w:szCs w:val="24"/>
          <w:lang w:eastAsia="lt-LT"/>
        </w:rPr>
        <w:t>2 priedas</w:t>
      </w:r>
    </w:p>
    <w:p w14:paraId="6986A368" w14:textId="77777777" w:rsidR="00A17914" w:rsidRDefault="00A17914">
      <w:pPr>
        <w:ind w:firstLine="720"/>
        <w:jc w:val="center"/>
        <w:rPr>
          <w:b/>
          <w:szCs w:val="24"/>
          <w:lang w:eastAsia="lt-LT"/>
        </w:rPr>
      </w:pPr>
    </w:p>
    <w:p w14:paraId="6986A369" w14:textId="77777777" w:rsidR="00A17914" w:rsidRDefault="004709F5">
      <w:pPr>
        <w:ind w:firstLine="720"/>
        <w:jc w:val="center"/>
        <w:rPr>
          <w:b/>
          <w:szCs w:val="24"/>
          <w:lang w:eastAsia="lt-LT"/>
        </w:rPr>
      </w:pPr>
      <w:r>
        <w:rPr>
          <w:b/>
          <w:szCs w:val="24"/>
          <w:lang w:eastAsia="lt-LT"/>
        </w:rPr>
        <w:t>MOKYMO PRIEMONIŲ, TENKANČIŲ VIENAM MOKYMOSI KREDITUI, BRANGUMO KOEFICIENTAI</w:t>
      </w:r>
    </w:p>
    <w:p w14:paraId="6986A36A" w14:textId="77777777" w:rsidR="00A17914" w:rsidRDefault="00A17914">
      <w:pPr>
        <w:ind w:firstLine="720"/>
        <w:jc w:val="cente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8"/>
      </w:tblGrid>
      <w:tr w:rsidR="00A17914" w14:paraId="6986A36D" w14:textId="77777777" w:rsidTr="00081080">
        <w:trPr>
          <w:trHeight w:val="620"/>
          <w:tblHeader/>
        </w:trPr>
        <w:tc>
          <w:tcPr>
            <w:tcW w:w="5097" w:type="dxa"/>
            <w:shd w:val="clear" w:color="auto" w:fill="auto"/>
            <w:noWrap/>
            <w:vAlign w:val="center"/>
            <w:hideMark/>
          </w:tcPr>
          <w:p w14:paraId="6986A36B" w14:textId="77777777" w:rsidR="00A17914" w:rsidRDefault="004709F5">
            <w:pPr>
              <w:jc w:val="center"/>
              <w:rPr>
                <w:color w:val="000000"/>
                <w:szCs w:val="24"/>
              </w:rPr>
            </w:pPr>
            <w:r>
              <w:rPr>
                <w:color w:val="000000"/>
                <w:szCs w:val="24"/>
              </w:rPr>
              <w:t>Švietimo sritys ir posričiai</w:t>
            </w:r>
          </w:p>
        </w:tc>
        <w:tc>
          <w:tcPr>
            <w:tcW w:w="5098" w:type="dxa"/>
            <w:shd w:val="clear" w:color="auto" w:fill="auto"/>
            <w:vAlign w:val="center"/>
            <w:hideMark/>
          </w:tcPr>
          <w:p w14:paraId="6986A36C" w14:textId="77777777" w:rsidR="00A17914" w:rsidRDefault="004709F5">
            <w:pPr>
              <w:jc w:val="center"/>
              <w:rPr>
                <w:color w:val="000000"/>
                <w:szCs w:val="24"/>
              </w:rPr>
            </w:pPr>
            <w:r>
              <w:rPr>
                <w:color w:val="000000"/>
                <w:szCs w:val="24"/>
              </w:rPr>
              <w:t>Mokymo priemonių, tenkančių vienam mokymosi kreditui, brangumo koeficientai (pareiginės algos baziniais dydžiais)</w:t>
            </w:r>
          </w:p>
        </w:tc>
      </w:tr>
      <w:tr w:rsidR="00A17914" w14:paraId="6986A370" w14:textId="77777777" w:rsidTr="00081080">
        <w:trPr>
          <w:trHeight w:val="310"/>
        </w:trPr>
        <w:tc>
          <w:tcPr>
            <w:tcW w:w="5097" w:type="dxa"/>
            <w:shd w:val="clear" w:color="auto" w:fill="auto"/>
            <w:vAlign w:val="center"/>
            <w:hideMark/>
          </w:tcPr>
          <w:p w14:paraId="6986A36E" w14:textId="77777777" w:rsidR="00A17914" w:rsidRDefault="004709F5">
            <w:pPr>
              <w:rPr>
                <w:szCs w:val="24"/>
              </w:rPr>
            </w:pPr>
            <w:r>
              <w:rPr>
                <w:szCs w:val="24"/>
              </w:rPr>
              <w:t>1. Architektūra ir statyba</w:t>
            </w:r>
          </w:p>
        </w:tc>
        <w:tc>
          <w:tcPr>
            <w:tcW w:w="5098" w:type="dxa"/>
            <w:shd w:val="clear" w:color="auto" w:fill="auto"/>
            <w:vAlign w:val="center"/>
            <w:hideMark/>
          </w:tcPr>
          <w:p w14:paraId="6986A36F" w14:textId="77777777" w:rsidR="00A17914" w:rsidRDefault="004709F5">
            <w:pPr>
              <w:jc w:val="center"/>
              <w:rPr>
                <w:szCs w:val="24"/>
              </w:rPr>
            </w:pPr>
            <w:r>
              <w:rPr>
                <w:szCs w:val="24"/>
              </w:rPr>
              <w:t>x</w:t>
            </w:r>
          </w:p>
        </w:tc>
      </w:tr>
      <w:tr w:rsidR="00A17914" w14:paraId="6986A373" w14:textId="77777777" w:rsidTr="00081080">
        <w:trPr>
          <w:trHeight w:val="620"/>
        </w:trPr>
        <w:tc>
          <w:tcPr>
            <w:tcW w:w="5097" w:type="dxa"/>
            <w:shd w:val="clear" w:color="auto" w:fill="auto"/>
            <w:vAlign w:val="center"/>
            <w:hideMark/>
          </w:tcPr>
          <w:p w14:paraId="6986A371" w14:textId="77777777" w:rsidR="00A17914" w:rsidRDefault="004709F5">
            <w:pPr>
              <w:rPr>
                <w:szCs w:val="24"/>
              </w:rPr>
            </w:pPr>
            <w:r>
              <w:rPr>
                <w:szCs w:val="24"/>
              </w:rPr>
              <w:t>1.1. Statyba ir statybos inžinerija (išskyrus su kelių transporto statyba susijusias programas)</w:t>
            </w:r>
          </w:p>
        </w:tc>
        <w:tc>
          <w:tcPr>
            <w:tcW w:w="5098" w:type="dxa"/>
            <w:shd w:val="clear" w:color="auto" w:fill="auto"/>
            <w:noWrap/>
            <w:vAlign w:val="center"/>
            <w:hideMark/>
          </w:tcPr>
          <w:p w14:paraId="6986A372" w14:textId="77777777" w:rsidR="00A17914" w:rsidRDefault="004709F5">
            <w:pPr>
              <w:jc w:val="center"/>
              <w:rPr>
                <w:szCs w:val="24"/>
              </w:rPr>
            </w:pPr>
            <w:r>
              <w:rPr>
                <w:szCs w:val="24"/>
              </w:rPr>
              <w:t>0,0267</w:t>
            </w:r>
          </w:p>
        </w:tc>
      </w:tr>
      <w:tr w:rsidR="00A17914" w14:paraId="6986A376" w14:textId="77777777" w:rsidTr="00081080">
        <w:trPr>
          <w:trHeight w:val="620"/>
        </w:trPr>
        <w:tc>
          <w:tcPr>
            <w:tcW w:w="5097" w:type="dxa"/>
            <w:shd w:val="clear" w:color="auto" w:fill="auto"/>
            <w:vAlign w:val="center"/>
            <w:hideMark/>
          </w:tcPr>
          <w:p w14:paraId="6986A374" w14:textId="77777777" w:rsidR="00A17914" w:rsidRDefault="004709F5">
            <w:pPr>
              <w:rPr>
                <w:szCs w:val="24"/>
              </w:rPr>
            </w:pPr>
            <w:r>
              <w:rPr>
                <w:szCs w:val="24"/>
              </w:rPr>
              <w:t>1.2. Statyba ir statybos inžinerija (tik su kelių transporto statyba susijusios programos)</w:t>
            </w:r>
          </w:p>
        </w:tc>
        <w:tc>
          <w:tcPr>
            <w:tcW w:w="5098" w:type="dxa"/>
            <w:shd w:val="clear" w:color="auto" w:fill="auto"/>
            <w:noWrap/>
            <w:vAlign w:val="center"/>
            <w:hideMark/>
          </w:tcPr>
          <w:p w14:paraId="6986A375" w14:textId="77777777" w:rsidR="00A17914" w:rsidRDefault="004709F5">
            <w:pPr>
              <w:jc w:val="center"/>
              <w:rPr>
                <w:szCs w:val="24"/>
              </w:rPr>
            </w:pPr>
            <w:r>
              <w:rPr>
                <w:szCs w:val="24"/>
              </w:rPr>
              <w:t>0,0312</w:t>
            </w:r>
          </w:p>
        </w:tc>
      </w:tr>
      <w:tr w:rsidR="00081080" w14:paraId="6986A379" w14:textId="77777777" w:rsidTr="00081080">
        <w:trPr>
          <w:trHeight w:val="620"/>
        </w:trPr>
        <w:tc>
          <w:tcPr>
            <w:tcW w:w="5097" w:type="dxa"/>
            <w:shd w:val="clear" w:color="auto" w:fill="auto"/>
            <w:vAlign w:val="center"/>
          </w:tcPr>
          <w:p w14:paraId="6986A377" w14:textId="77777777" w:rsidR="00081080" w:rsidRDefault="00081080">
            <w:pPr>
              <w:rPr>
                <w:szCs w:val="24"/>
              </w:rPr>
            </w:pPr>
            <w:r>
              <w:rPr>
                <w:szCs w:val="24"/>
              </w:rPr>
              <w:t>1.3. Kiti posričiai</w:t>
            </w:r>
          </w:p>
        </w:tc>
        <w:tc>
          <w:tcPr>
            <w:tcW w:w="5098" w:type="dxa"/>
            <w:shd w:val="clear" w:color="auto" w:fill="auto"/>
            <w:noWrap/>
            <w:vAlign w:val="center"/>
          </w:tcPr>
          <w:p w14:paraId="6986A378" w14:textId="77777777" w:rsidR="00081080" w:rsidRDefault="00081080">
            <w:pPr>
              <w:jc w:val="center"/>
              <w:rPr>
                <w:szCs w:val="24"/>
              </w:rPr>
            </w:pPr>
            <w:r>
              <w:rPr>
                <w:szCs w:val="24"/>
              </w:rPr>
              <w:t>0,0267</w:t>
            </w:r>
          </w:p>
        </w:tc>
      </w:tr>
      <w:tr w:rsidR="00A17914" w14:paraId="6986A37C" w14:textId="77777777" w:rsidTr="00081080">
        <w:trPr>
          <w:trHeight w:val="310"/>
        </w:trPr>
        <w:tc>
          <w:tcPr>
            <w:tcW w:w="5097" w:type="dxa"/>
            <w:shd w:val="clear" w:color="auto" w:fill="auto"/>
            <w:vAlign w:val="center"/>
            <w:hideMark/>
          </w:tcPr>
          <w:p w14:paraId="6986A37A" w14:textId="77777777" w:rsidR="00A17914" w:rsidRDefault="004709F5">
            <w:pPr>
              <w:rPr>
                <w:szCs w:val="24"/>
              </w:rPr>
            </w:pPr>
            <w:r>
              <w:rPr>
                <w:szCs w:val="24"/>
              </w:rPr>
              <w:t>2. Gamyba ir perdirbimas</w:t>
            </w:r>
          </w:p>
        </w:tc>
        <w:tc>
          <w:tcPr>
            <w:tcW w:w="5098" w:type="dxa"/>
            <w:shd w:val="clear" w:color="auto" w:fill="auto"/>
            <w:vAlign w:val="center"/>
            <w:hideMark/>
          </w:tcPr>
          <w:p w14:paraId="6986A37B" w14:textId="77777777" w:rsidR="00A17914" w:rsidRDefault="004709F5">
            <w:pPr>
              <w:jc w:val="center"/>
              <w:rPr>
                <w:szCs w:val="24"/>
              </w:rPr>
            </w:pPr>
            <w:r>
              <w:rPr>
                <w:szCs w:val="24"/>
              </w:rPr>
              <w:t>x</w:t>
            </w:r>
          </w:p>
        </w:tc>
      </w:tr>
      <w:tr w:rsidR="00A17914" w14:paraId="6986A37F" w14:textId="77777777" w:rsidTr="00081080">
        <w:trPr>
          <w:trHeight w:val="310"/>
        </w:trPr>
        <w:tc>
          <w:tcPr>
            <w:tcW w:w="5097" w:type="dxa"/>
            <w:shd w:val="clear" w:color="auto" w:fill="auto"/>
            <w:vAlign w:val="center"/>
            <w:hideMark/>
          </w:tcPr>
          <w:p w14:paraId="6986A37D" w14:textId="77777777" w:rsidR="00A17914" w:rsidRDefault="004709F5">
            <w:pPr>
              <w:rPr>
                <w:szCs w:val="24"/>
              </w:rPr>
            </w:pPr>
            <w:r>
              <w:rPr>
                <w:szCs w:val="24"/>
              </w:rPr>
              <w:t>2.1. Maisto produktų technologijos</w:t>
            </w:r>
          </w:p>
        </w:tc>
        <w:tc>
          <w:tcPr>
            <w:tcW w:w="5098" w:type="dxa"/>
            <w:shd w:val="clear" w:color="auto" w:fill="auto"/>
            <w:noWrap/>
            <w:vAlign w:val="center"/>
            <w:hideMark/>
          </w:tcPr>
          <w:p w14:paraId="6986A37E" w14:textId="77777777" w:rsidR="00A17914" w:rsidRDefault="004709F5">
            <w:pPr>
              <w:jc w:val="center"/>
              <w:rPr>
                <w:szCs w:val="24"/>
              </w:rPr>
            </w:pPr>
            <w:r>
              <w:rPr>
                <w:szCs w:val="24"/>
              </w:rPr>
              <w:t>0,0200</w:t>
            </w:r>
          </w:p>
        </w:tc>
      </w:tr>
      <w:tr w:rsidR="00A17914" w14:paraId="6986A382" w14:textId="77777777" w:rsidTr="00081080">
        <w:trPr>
          <w:trHeight w:val="310"/>
        </w:trPr>
        <w:tc>
          <w:tcPr>
            <w:tcW w:w="5097" w:type="dxa"/>
            <w:shd w:val="clear" w:color="auto" w:fill="auto"/>
            <w:vAlign w:val="center"/>
            <w:hideMark/>
          </w:tcPr>
          <w:p w14:paraId="6986A380" w14:textId="77777777" w:rsidR="00A17914" w:rsidRDefault="004709F5">
            <w:pPr>
              <w:rPr>
                <w:szCs w:val="24"/>
              </w:rPr>
            </w:pPr>
            <w:r>
              <w:rPr>
                <w:szCs w:val="24"/>
              </w:rPr>
              <w:t>2.2. Medžiagotyra (stiklas, popierius, plastikai, mediena)</w:t>
            </w:r>
          </w:p>
        </w:tc>
        <w:tc>
          <w:tcPr>
            <w:tcW w:w="5098" w:type="dxa"/>
            <w:shd w:val="clear" w:color="auto" w:fill="auto"/>
            <w:noWrap/>
            <w:vAlign w:val="center"/>
            <w:hideMark/>
          </w:tcPr>
          <w:p w14:paraId="6986A381" w14:textId="77777777" w:rsidR="00A17914" w:rsidRDefault="004709F5">
            <w:pPr>
              <w:jc w:val="center"/>
              <w:rPr>
                <w:szCs w:val="24"/>
              </w:rPr>
            </w:pPr>
            <w:r>
              <w:rPr>
                <w:szCs w:val="24"/>
              </w:rPr>
              <w:t>0,0200</w:t>
            </w:r>
          </w:p>
        </w:tc>
      </w:tr>
      <w:tr w:rsidR="00A17914" w14:paraId="6986A385" w14:textId="77777777" w:rsidTr="00081080">
        <w:trPr>
          <w:trHeight w:val="310"/>
        </w:trPr>
        <w:tc>
          <w:tcPr>
            <w:tcW w:w="5097" w:type="dxa"/>
            <w:shd w:val="clear" w:color="auto" w:fill="auto"/>
            <w:vAlign w:val="center"/>
            <w:hideMark/>
          </w:tcPr>
          <w:p w14:paraId="6986A383" w14:textId="77777777" w:rsidR="00A17914" w:rsidRDefault="004709F5">
            <w:pPr>
              <w:rPr>
                <w:szCs w:val="24"/>
              </w:rPr>
            </w:pPr>
            <w:r>
              <w:rPr>
                <w:szCs w:val="24"/>
              </w:rPr>
              <w:t>2.3. Tekstilė (apranga, avalynė ir oda)</w:t>
            </w:r>
          </w:p>
        </w:tc>
        <w:tc>
          <w:tcPr>
            <w:tcW w:w="5098" w:type="dxa"/>
            <w:shd w:val="clear" w:color="auto" w:fill="auto"/>
            <w:noWrap/>
            <w:vAlign w:val="center"/>
            <w:hideMark/>
          </w:tcPr>
          <w:p w14:paraId="6986A384" w14:textId="77777777" w:rsidR="00A17914" w:rsidRDefault="004709F5">
            <w:pPr>
              <w:jc w:val="center"/>
              <w:rPr>
                <w:szCs w:val="24"/>
              </w:rPr>
            </w:pPr>
            <w:r>
              <w:rPr>
                <w:szCs w:val="24"/>
              </w:rPr>
              <w:t>0,0188</w:t>
            </w:r>
          </w:p>
        </w:tc>
      </w:tr>
      <w:tr w:rsidR="00081080" w14:paraId="6986A388" w14:textId="77777777" w:rsidTr="00081080">
        <w:trPr>
          <w:trHeight w:val="310"/>
        </w:trPr>
        <w:tc>
          <w:tcPr>
            <w:tcW w:w="5097" w:type="dxa"/>
            <w:shd w:val="clear" w:color="auto" w:fill="auto"/>
            <w:vAlign w:val="center"/>
          </w:tcPr>
          <w:p w14:paraId="6986A386" w14:textId="77777777" w:rsidR="00081080" w:rsidRDefault="00081080">
            <w:pPr>
              <w:rPr>
                <w:szCs w:val="24"/>
              </w:rPr>
            </w:pPr>
            <w:r>
              <w:rPr>
                <w:szCs w:val="24"/>
              </w:rPr>
              <w:t>2.4. Kiti posričiai</w:t>
            </w:r>
          </w:p>
        </w:tc>
        <w:tc>
          <w:tcPr>
            <w:tcW w:w="5098" w:type="dxa"/>
            <w:shd w:val="clear" w:color="auto" w:fill="auto"/>
            <w:noWrap/>
            <w:vAlign w:val="center"/>
          </w:tcPr>
          <w:p w14:paraId="6986A387" w14:textId="77777777" w:rsidR="00081080" w:rsidRDefault="009844E1">
            <w:pPr>
              <w:jc w:val="center"/>
              <w:rPr>
                <w:szCs w:val="24"/>
              </w:rPr>
            </w:pPr>
            <w:r>
              <w:rPr>
                <w:szCs w:val="24"/>
              </w:rPr>
              <w:t>0,0188</w:t>
            </w:r>
          </w:p>
        </w:tc>
      </w:tr>
      <w:tr w:rsidR="00A17914" w14:paraId="6986A38B" w14:textId="77777777" w:rsidTr="00081080">
        <w:trPr>
          <w:trHeight w:val="310"/>
        </w:trPr>
        <w:tc>
          <w:tcPr>
            <w:tcW w:w="5097" w:type="dxa"/>
            <w:shd w:val="clear" w:color="auto" w:fill="auto"/>
            <w:vAlign w:val="center"/>
            <w:hideMark/>
          </w:tcPr>
          <w:p w14:paraId="6986A389" w14:textId="77777777" w:rsidR="00A17914" w:rsidRDefault="004709F5">
            <w:pPr>
              <w:rPr>
                <w:szCs w:val="24"/>
              </w:rPr>
            </w:pPr>
            <w:r>
              <w:rPr>
                <w:szCs w:val="24"/>
              </w:rPr>
              <w:t>3. Informacijos ir ryšio technologijos</w:t>
            </w:r>
          </w:p>
        </w:tc>
        <w:tc>
          <w:tcPr>
            <w:tcW w:w="5098" w:type="dxa"/>
            <w:shd w:val="clear" w:color="auto" w:fill="auto"/>
            <w:vAlign w:val="center"/>
            <w:hideMark/>
          </w:tcPr>
          <w:p w14:paraId="6986A38A" w14:textId="77777777" w:rsidR="00A17914" w:rsidRDefault="004709F5">
            <w:pPr>
              <w:jc w:val="center"/>
              <w:rPr>
                <w:szCs w:val="24"/>
              </w:rPr>
            </w:pPr>
            <w:r>
              <w:rPr>
                <w:szCs w:val="24"/>
              </w:rPr>
              <w:t>x</w:t>
            </w:r>
          </w:p>
        </w:tc>
      </w:tr>
      <w:tr w:rsidR="00A17914" w14:paraId="6986A38E" w14:textId="77777777" w:rsidTr="00081080">
        <w:trPr>
          <w:trHeight w:val="310"/>
        </w:trPr>
        <w:tc>
          <w:tcPr>
            <w:tcW w:w="5097" w:type="dxa"/>
            <w:shd w:val="clear" w:color="auto" w:fill="auto"/>
            <w:vAlign w:val="center"/>
            <w:hideMark/>
          </w:tcPr>
          <w:p w14:paraId="6986A38C" w14:textId="77777777" w:rsidR="00A17914" w:rsidRDefault="004709F5">
            <w:pPr>
              <w:rPr>
                <w:szCs w:val="24"/>
              </w:rPr>
            </w:pPr>
            <w:r>
              <w:rPr>
                <w:szCs w:val="24"/>
              </w:rPr>
              <w:t>3.1. Kompiuterio taikymas ir kompiuterinis raštingumas</w:t>
            </w:r>
          </w:p>
        </w:tc>
        <w:tc>
          <w:tcPr>
            <w:tcW w:w="5098" w:type="dxa"/>
            <w:shd w:val="clear" w:color="auto" w:fill="auto"/>
            <w:noWrap/>
            <w:vAlign w:val="center"/>
            <w:hideMark/>
          </w:tcPr>
          <w:p w14:paraId="6986A38D" w14:textId="77777777" w:rsidR="00A17914" w:rsidRDefault="004709F5">
            <w:pPr>
              <w:jc w:val="center"/>
              <w:rPr>
                <w:szCs w:val="24"/>
              </w:rPr>
            </w:pPr>
            <w:r>
              <w:rPr>
                <w:szCs w:val="24"/>
              </w:rPr>
              <w:t>0,0055</w:t>
            </w:r>
          </w:p>
        </w:tc>
      </w:tr>
      <w:tr w:rsidR="00081080" w14:paraId="6986A391" w14:textId="77777777" w:rsidTr="00081080">
        <w:trPr>
          <w:trHeight w:val="310"/>
        </w:trPr>
        <w:tc>
          <w:tcPr>
            <w:tcW w:w="5097" w:type="dxa"/>
            <w:shd w:val="clear" w:color="auto" w:fill="auto"/>
            <w:vAlign w:val="center"/>
          </w:tcPr>
          <w:p w14:paraId="6986A38F" w14:textId="77777777" w:rsidR="00081080" w:rsidRDefault="00081080">
            <w:pPr>
              <w:rPr>
                <w:szCs w:val="24"/>
              </w:rPr>
            </w:pPr>
            <w:r>
              <w:rPr>
                <w:szCs w:val="24"/>
              </w:rPr>
              <w:t>3.2. Kiti posričiai</w:t>
            </w:r>
          </w:p>
        </w:tc>
        <w:tc>
          <w:tcPr>
            <w:tcW w:w="5098" w:type="dxa"/>
            <w:shd w:val="clear" w:color="auto" w:fill="auto"/>
            <w:vAlign w:val="center"/>
          </w:tcPr>
          <w:p w14:paraId="6986A390" w14:textId="77777777" w:rsidR="00081080" w:rsidRDefault="009844E1">
            <w:pPr>
              <w:jc w:val="center"/>
              <w:rPr>
                <w:szCs w:val="24"/>
              </w:rPr>
            </w:pPr>
            <w:r>
              <w:rPr>
                <w:szCs w:val="24"/>
              </w:rPr>
              <w:t>0,0055</w:t>
            </w:r>
          </w:p>
        </w:tc>
      </w:tr>
      <w:tr w:rsidR="00A17914" w14:paraId="6986A394" w14:textId="77777777" w:rsidTr="00081080">
        <w:trPr>
          <w:trHeight w:val="310"/>
        </w:trPr>
        <w:tc>
          <w:tcPr>
            <w:tcW w:w="5097" w:type="dxa"/>
            <w:shd w:val="clear" w:color="auto" w:fill="auto"/>
            <w:vAlign w:val="center"/>
            <w:hideMark/>
          </w:tcPr>
          <w:p w14:paraId="6986A392" w14:textId="77777777" w:rsidR="00A17914" w:rsidRDefault="004709F5">
            <w:pPr>
              <w:rPr>
                <w:szCs w:val="24"/>
              </w:rPr>
            </w:pPr>
            <w:r>
              <w:rPr>
                <w:szCs w:val="24"/>
              </w:rPr>
              <w:t>4. Inžinerija ir inžinerinės profesijos</w:t>
            </w:r>
          </w:p>
        </w:tc>
        <w:tc>
          <w:tcPr>
            <w:tcW w:w="5098" w:type="dxa"/>
            <w:shd w:val="clear" w:color="auto" w:fill="auto"/>
            <w:vAlign w:val="center"/>
            <w:hideMark/>
          </w:tcPr>
          <w:p w14:paraId="6986A393" w14:textId="77777777" w:rsidR="00A17914" w:rsidRDefault="004709F5">
            <w:pPr>
              <w:jc w:val="center"/>
              <w:rPr>
                <w:szCs w:val="24"/>
              </w:rPr>
            </w:pPr>
            <w:r>
              <w:rPr>
                <w:szCs w:val="24"/>
              </w:rPr>
              <w:t>x</w:t>
            </w:r>
          </w:p>
        </w:tc>
      </w:tr>
      <w:tr w:rsidR="00A17914" w14:paraId="6986A397" w14:textId="77777777" w:rsidTr="00081080">
        <w:trPr>
          <w:trHeight w:val="310"/>
        </w:trPr>
        <w:tc>
          <w:tcPr>
            <w:tcW w:w="5097" w:type="dxa"/>
            <w:shd w:val="clear" w:color="auto" w:fill="auto"/>
            <w:vAlign w:val="center"/>
            <w:hideMark/>
          </w:tcPr>
          <w:p w14:paraId="6986A395" w14:textId="77777777" w:rsidR="00A17914" w:rsidRDefault="004709F5">
            <w:pPr>
              <w:rPr>
                <w:szCs w:val="24"/>
              </w:rPr>
            </w:pPr>
            <w:r>
              <w:rPr>
                <w:szCs w:val="24"/>
              </w:rPr>
              <w:t>4.1. Aplinkosaugos technologijos</w:t>
            </w:r>
          </w:p>
        </w:tc>
        <w:tc>
          <w:tcPr>
            <w:tcW w:w="5098" w:type="dxa"/>
            <w:shd w:val="clear" w:color="auto" w:fill="auto"/>
            <w:noWrap/>
            <w:vAlign w:val="center"/>
            <w:hideMark/>
          </w:tcPr>
          <w:p w14:paraId="6986A396" w14:textId="77777777" w:rsidR="00A17914" w:rsidRDefault="004709F5">
            <w:pPr>
              <w:jc w:val="center"/>
              <w:rPr>
                <w:szCs w:val="24"/>
              </w:rPr>
            </w:pPr>
            <w:r>
              <w:rPr>
                <w:szCs w:val="24"/>
              </w:rPr>
              <w:t>0,0178</w:t>
            </w:r>
          </w:p>
        </w:tc>
      </w:tr>
      <w:tr w:rsidR="00A17914" w14:paraId="6986A39A" w14:textId="77777777" w:rsidTr="00081080">
        <w:trPr>
          <w:trHeight w:val="310"/>
        </w:trPr>
        <w:tc>
          <w:tcPr>
            <w:tcW w:w="5097" w:type="dxa"/>
            <w:shd w:val="clear" w:color="auto" w:fill="auto"/>
            <w:vAlign w:val="center"/>
            <w:hideMark/>
          </w:tcPr>
          <w:p w14:paraId="6986A398" w14:textId="77777777" w:rsidR="00A17914" w:rsidRDefault="004709F5">
            <w:pPr>
              <w:rPr>
                <w:szCs w:val="24"/>
              </w:rPr>
            </w:pPr>
            <w:r>
              <w:rPr>
                <w:szCs w:val="24"/>
              </w:rPr>
              <w:t>4.2. Chemijos inžinerija</w:t>
            </w:r>
          </w:p>
        </w:tc>
        <w:tc>
          <w:tcPr>
            <w:tcW w:w="5098" w:type="dxa"/>
            <w:shd w:val="clear" w:color="auto" w:fill="auto"/>
            <w:noWrap/>
            <w:vAlign w:val="center"/>
            <w:hideMark/>
          </w:tcPr>
          <w:p w14:paraId="6986A399" w14:textId="77777777" w:rsidR="00A17914" w:rsidRDefault="004709F5">
            <w:pPr>
              <w:jc w:val="center"/>
              <w:rPr>
                <w:szCs w:val="24"/>
              </w:rPr>
            </w:pPr>
            <w:r>
              <w:rPr>
                <w:szCs w:val="24"/>
              </w:rPr>
              <w:t>0,0178</w:t>
            </w:r>
          </w:p>
        </w:tc>
      </w:tr>
      <w:tr w:rsidR="00A17914" w14:paraId="6986A39D" w14:textId="77777777" w:rsidTr="00081080">
        <w:trPr>
          <w:trHeight w:val="310"/>
        </w:trPr>
        <w:tc>
          <w:tcPr>
            <w:tcW w:w="5097" w:type="dxa"/>
            <w:shd w:val="clear" w:color="auto" w:fill="auto"/>
            <w:vAlign w:val="center"/>
            <w:hideMark/>
          </w:tcPr>
          <w:p w14:paraId="6986A39B" w14:textId="77777777" w:rsidR="00A17914" w:rsidRDefault="004709F5">
            <w:pPr>
              <w:rPr>
                <w:szCs w:val="24"/>
              </w:rPr>
            </w:pPr>
            <w:r>
              <w:rPr>
                <w:szCs w:val="24"/>
              </w:rPr>
              <w:t>4.3. Elektra ir energija</w:t>
            </w:r>
          </w:p>
        </w:tc>
        <w:tc>
          <w:tcPr>
            <w:tcW w:w="5098" w:type="dxa"/>
            <w:shd w:val="clear" w:color="auto" w:fill="auto"/>
            <w:noWrap/>
            <w:vAlign w:val="center"/>
            <w:hideMark/>
          </w:tcPr>
          <w:p w14:paraId="6986A39C" w14:textId="77777777" w:rsidR="00A17914" w:rsidRDefault="004709F5">
            <w:pPr>
              <w:jc w:val="center"/>
              <w:rPr>
                <w:szCs w:val="24"/>
              </w:rPr>
            </w:pPr>
            <w:r>
              <w:rPr>
                <w:szCs w:val="24"/>
              </w:rPr>
              <w:t>0,0178</w:t>
            </w:r>
          </w:p>
        </w:tc>
      </w:tr>
      <w:tr w:rsidR="00A17914" w14:paraId="6986A3A0" w14:textId="77777777" w:rsidTr="00081080">
        <w:trPr>
          <w:trHeight w:val="310"/>
        </w:trPr>
        <w:tc>
          <w:tcPr>
            <w:tcW w:w="5097" w:type="dxa"/>
            <w:shd w:val="clear" w:color="auto" w:fill="auto"/>
            <w:vAlign w:val="center"/>
            <w:hideMark/>
          </w:tcPr>
          <w:p w14:paraId="6986A39E" w14:textId="77777777" w:rsidR="00A17914" w:rsidRDefault="004709F5">
            <w:pPr>
              <w:rPr>
                <w:szCs w:val="24"/>
              </w:rPr>
            </w:pPr>
            <w:r>
              <w:rPr>
                <w:szCs w:val="24"/>
              </w:rPr>
              <w:t>4.4. Elektronika ir automatika</w:t>
            </w:r>
          </w:p>
        </w:tc>
        <w:tc>
          <w:tcPr>
            <w:tcW w:w="5098" w:type="dxa"/>
            <w:shd w:val="clear" w:color="auto" w:fill="auto"/>
            <w:noWrap/>
            <w:vAlign w:val="center"/>
            <w:hideMark/>
          </w:tcPr>
          <w:p w14:paraId="6986A39F" w14:textId="77777777" w:rsidR="00A17914" w:rsidRDefault="004709F5">
            <w:pPr>
              <w:jc w:val="center"/>
              <w:rPr>
                <w:szCs w:val="24"/>
              </w:rPr>
            </w:pPr>
            <w:r>
              <w:rPr>
                <w:szCs w:val="24"/>
              </w:rPr>
              <w:t>0,0178</w:t>
            </w:r>
          </w:p>
        </w:tc>
      </w:tr>
      <w:tr w:rsidR="00A17914" w14:paraId="6986A3A3" w14:textId="77777777" w:rsidTr="00081080">
        <w:trPr>
          <w:trHeight w:val="620"/>
        </w:trPr>
        <w:tc>
          <w:tcPr>
            <w:tcW w:w="5097" w:type="dxa"/>
            <w:shd w:val="clear" w:color="auto" w:fill="auto"/>
            <w:vAlign w:val="center"/>
            <w:hideMark/>
          </w:tcPr>
          <w:p w14:paraId="6986A3A1" w14:textId="77777777" w:rsidR="00A17914" w:rsidRDefault="004709F5">
            <w:pPr>
              <w:rPr>
                <w:szCs w:val="24"/>
              </w:rPr>
            </w:pPr>
            <w:r>
              <w:rPr>
                <w:szCs w:val="24"/>
              </w:rPr>
              <w:t>4.5. Mechanika ir metalo darbai (išskyrus suvirinimo programas)</w:t>
            </w:r>
          </w:p>
        </w:tc>
        <w:tc>
          <w:tcPr>
            <w:tcW w:w="5098" w:type="dxa"/>
            <w:shd w:val="clear" w:color="auto" w:fill="auto"/>
            <w:noWrap/>
            <w:vAlign w:val="center"/>
            <w:hideMark/>
          </w:tcPr>
          <w:p w14:paraId="6986A3A2" w14:textId="77777777" w:rsidR="00A17914" w:rsidRDefault="004709F5">
            <w:pPr>
              <w:jc w:val="center"/>
              <w:rPr>
                <w:szCs w:val="24"/>
              </w:rPr>
            </w:pPr>
            <w:r>
              <w:rPr>
                <w:szCs w:val="24"/>
              </w:rPr>
              <w:t>0,0222</w:t>
            </w:r>
          </w:p>
        </w:tc>
      </w:tr>
      <w:tr w:rsidR="00A17914" w14:paraId="6986A3A6" w14:textId="77777777" w:rsidTr="00081080">
        <w:trPr>
          <w:trHeight w:val="620"/>
        </w:trPr>
        <w:tc>
          <w:tcPr>
            <w:tcW w:w="5097" w:type="dxa"/>
            <w:shd w:val="clear" w:color="auto" w:fill="auto"/>
            <w:vAlign w:val="center"/>
            <w:hideMark/>
          </w:tcPr>
          <w:p w14:paraId="6986A3A4" w14:textId="77777777" w:rsidR="00A17914" w:rsidRDefault="004709F5">
            <w:pPr>
              <w:rPr>
                <w:szCs w:val="24"/>
              </w:rPr>
            </w:pPr>
            <w:r>
              <w:rPr>
                <w:szCs w:val="24"/>
              </w:rPr>
              <w:t>4.6. Mechanika ir metalo darbai (tik suvirinimo programoms)</w:t>
            </w:r>
          </w:p>
        </w:tc>
        <w:tc>
          <w:tcPr>
            <w:tcW w:w="5098" w:type="dxa"/>
            <w:shd w:val="clear" w:color="auto" w:fill="auto"/>
            <w:noWrap/>
            <w:vAlign w:val="center"/>
            <w:hideMark/>
          </w:tcPr>
          <w:p w14:paraId="6986A3A5" w14:textId="77777777" w:rsidR="00A17914" w:rsidRDefault="004709F5">
            <w:pPr>
              <w:jc w:val="center"/>
              <w:rPr>
                <w:szCs w:val="24"/>
              </w:rPr>
            </w:pPr>
            <w:r>
              <w:rPr>
                <w:szCs w:val="24"/>
              </w:rPr>
              <w:t>0,0312</w:t>
            </w:r>
          </w:p>
        </w:tc>
      </w:tr>
      <w:tr w:rsidR="00A17914" w14:paraId="6986A3A9" w14:textId="77777777" w:rsidTr="00081080">
        <w:trPr>
          <w:trHeight w:val="930"/>
        </w:trPr>
        <w:tc>
          <w:tcPr>
            <w:tcW w:w="5097" w:type="dxa"/>
            <w:shd w:val="clear" w:color="auto" w:fill="auto"/>
            <w:vAlign w:val="center"/>
            <w:hideMark/>
          </w:tcPr>
          <w:p w14:paraId="6986A3A7" w14:textId="77777777" w:rsidR="00A17914" w:rsidRDefault="004709F5">
            <w:pPr>
              <w:rPr>
                <w:szCs w:val="24"/>
              </w:rPr>
            </w:pPr>
            <w:r>
              <w:rPr>
                <w:szCs w:val="24"/>
              </w:rPr>
              <w:t>4.7. Variklinės transporto priemonės, laivai ir orlaiviai (išskyrus su automobilių kėbulo remontu susijusias programas)</w:t>
            </w:r>
          </w:p>
        </w:tc>
        <w:tc>
          <w:tcPr>
            <w:tcW w:w="5098" w:type="dxa"/>
            <w:shd w:val="clear" w:color="auto" w:fill="auto"/>
            <w:noWrap/>
            <w:vAlign w:val="center"/>
            <w:hideMark/>
          </w:tcPr>
          <w:p w14:paraId="6986A3A8" w14:textId="77777777" w:rsidR="00A17914" w:rsidRDefault="004709F5">
            <w:pPr>
              <w:jc w:val="center"/>
              <w:rPr>
                <w:szCs w:val="24"/>
              </w:rPr>
            </w:pPr>
            <w:r>
              <w:rPr>
                <w:szCs w:val="24"/>
              </w:rPr>
              <w:t>0,0222</w:t>
            </w:r>
          </w:p>
        </w:tc>
      </w:tr>
      <w:tr w:rsidR="00A17914" w14:paraId="6986A3AC" w14:textId="77777777" w:rsidTr="00081080">
        <w:trPr>
          <w:trHeight w:val="620"/>
        </w:trPr>
        <w:tc>
          <w:tcPr>
            <w:tcW w:w="5097" w:type="dxa"/>
            <w:shd w:val="clear" w:color="auto" w:fill="auto"/>
            <w:vAlign w:val="center"/>
            <w:hideMark/>
          </w:tcPr>
          <w:p w14:paraId="6986A3AA" w14:textId="77777777" w:rsidR="00A17914" w:rsidRDefault="004709F5">
            <w:pPr>
              <w:rPr>
                <w:szCs w:val="24"/>
              </w:rPr>
            </w:pPr>
            <w:r>
              <w:rPr>
                <w:szCs w:val="24"/>
              </w:rPr>
              <w:t>4.8. Variklinės transporto priemonės, laivai ir orlaiviai (tik su automobilių kėbulo remontu susijusioms programoms)</w:t>
            </w:r>
          </w:p>
        </w:tc>
        <w:tc>
          <w:tcPr>
            <w:tcW w:w="5098" w:type="dxa"/>
            <w:shd w:val="clear" w:color="auto" w:fill="auto"/>
            <w:noWrap/>
            <w:vAlign w:val="center"/>
            <w:hideMark/>
          </w:tcPr>
          <w:p w14:paraId="6986A3AB" w14:textId="77777777" w:rsidR="00A17914" w:rsidRDefault="004709F5">
            <w:pPr>
              <w:jc w:val="center"/>
              <w:rPr>
                <w:szCs w:val="24"/>
              </w:rPr>
            </w:pPr>
            <w:r>
              <w:rPr>
                <w:szCs w:val="24"/>
              </w:rPr>
              <w:t>0,0312</w:t>
            </w:r>
          </w:p>
        </w:tc>
      </w:tr>
      <w:tr w:rsidR="00081080" w14:paraId="6986A3AF" w14:textId="77777777" w:rsidTr="00081080">
        <w:trPr>
          <w:trHeight w:val="310"/>
        </w:trPr>
        <w:tc>
          <w:tcPr>
            <w:tcW w:w="5097" w:type="dxa"/>
            <w:shd w:val="clear" w:color="auto" w:fill="auto"/>
            <w:vAlign w:val="center"/>
          </w:tcPr>
          <w:p w14:paraId="6986A3AD" w14:textId="77777777" w:rsidR="00081080" w:rsidRDefault="00081080">
            <w:pPr>
              <w:rPr>
                <w:szCs w:val="24"/>
              </w:rPr>
            </w:pPr>
            <w:r>
              <w:rPr>
                <w:szCs w:val="24"/>
              </w:rPr>
              <w:t>4.9. Kiti posričiai</w:t>
            </w:r>
          </w:p>
        </w:tc>
        <w:tc>
          <w:tcPr>
            <w:tcW w:w="5098" w:type="dxa"/>
            <w:shd w:val="clear" w:color="auto" w:fill="auto"/>
            <w:vAlign w:val="center"/>
          </w:tcPr>
          <w:p w14:paraId="6986A3AE" w14:textId="77777777" w:rsidR="00081080" w:rsidRDefault="009844E1">
            <w:pPr>
              <w:jc w:val="center"/>
              <w:rPr>
                <w:szCs w:val="24"/>
              </w:rPr>
            </w:pPr>
            <w:r>
              <w:rPr>
                <w:szCs w:val="24"/>
              </w:rPr>
              <w:t>0,0178</w:t>
            </w:r>
          </w:p>
        </w:tc>
      </w:tr>
      <w:tr w:rsidR="00A17914" w14:paraId="6986A3B2" w14:textId="77777777" w:rsidTr="00081080">
        <w:trPr>
          <w:trHeight w:val="310"/>
        </w:trPr>
        <w:tc>
          <w:tcPr>
            <w:tcW w:w="5097" w:type="dxa"/>
            <w:shd w:val="clear" w:color="auto" w:fill="auto"/>
            <w:vAlign w:val="center"/>
            <w:hideMark/>
          </w:tcPr>
          <w:p w14:paraId="6986A3B0" w14:textId="77777777" w:rsidR="00A17914" w:rsidRDefault="004709F5">
            <w:pPr>
              <w:rPr>
                <w:szCs w:val="24"/>
              </w:rPr>
            </w:pPr>
            <w:r>
              <w:rPr>
                <w:szCs w:val="24"/>
              </w:rPr>
              <w:lastRenderedPageBreak/>
              <w:t>5. Menai</w:t>
            </w:r>
          </w:p>
        </w:tc>
        <w:tc>
          <w:tcPr>
            <w:tcW w:w="5098" w:type="dxa"/>
            <w:shd w:val="clear" w:color="auto" w:fill="auto"/>
            <w:vAlign w:val="center"/>
            <w:hideMark/>
          </w:tcPr>
          <w:p w14:paraId="6986A3B1" w14:textId="77777777" w:rsidR="00A17914" w:rsidRDefault="004709F5">
            <w:pPr>
              <w:jc w:val="center"/>
              <w:rPr>
                <w:szCs w:val="24"/>
              </w:rPr>
            </w:pPr>
            <w:r>
              <w:rPr>
                <w:szCs w:val="24"/>
              </w:rPr>
              <w:t>x</w:t>
            </w:r>
          </w:p>
        </w:tc>
      </w:tr>
      <w:tr w:rsidR="00A17914" w14:paraId="6986A3B5" w14:textId="77777777" w:rsidTr="00081080">
        <w:trPr>
          <w:trHeight w:val="310"/>
        </w:trPr>
        <w:tc>
          <w:tcPr>
            <w:tcW w:w="5097" w:type="dxa"/>
            <w:shd w:val="clear" w:color="auto" w:fill="auto"/>
            <w:vAlign w:val="center"/>
            <w:hideMark/>
          </w:tcPr>
          <w:p w14:paraId="6986A3B3" w14:textId="77777777" w:rsidR="00A17914" w:rsidRDefault="004709F5">
            <w:pPr>
              <w:rPr>
                <w:szCs w:val="24"/>
              </w:rPr>
            </w:pPr>
            <w:r>
              <w:rPr>
                <w:szCs w:val="24"/>
              </w:rPr>
              <w:t>5.1. Audiovizualiniai ir medijų menai</w:t>
            </w:r>
          </w:p>
        </w:tc>
        <w:tc>
          <w:tcPr>
            <w:tcW w:w="5098" w:type="dxa"/>
            <w:shd w:val="clear" w:color="auto" w:fill="auto"/>
            <w:noWrap/>
            <w:vAlign w:val="center"/>
            <w:hideMark/>
          </w:tcPr>
          <w:p w14:paraId="6986A3B4" w14:textId="77777777" w:rsidR="00A17914" w:rsidRDefault="004709F5">
            <w:pPr>
              <w:jc w:val="center"/>
              <w:rPr>
                <w:szCs w:val="24"/>
              </w:rPr>
            </w:pPr>
            <w:r>
              <w:rPr>
                <w:szCs w:val="24"/>
              </w:rPr>
              <w:t>0,0088</w:t>
            </w:r>
          </w:p>
        </w:tc>
      </w:tr>
      <w:tr w:rsidR="00A17914" w14:paraId="6986A3B8" w14:textId="77777777" w:rsidTr="00081080">
        <w:trPr>
          <w:trHeight w:val="310"/>
        </w:trPr>
        <w:tc>
          <w:tcPr>
            <w:tcW w:w="5097" w:type="dxa"/>
            <w:shd w:val="clear" w:color="auto" w:fill="auto"/>
            <w:vAlign w:val="center"/>
            <w:hideMark/>
          </w:tcPr>
          <w:p w14:paraId="6986A3B6" w14:textId="77777777" w:rsidR="00A17914" w:rsidRDefault="004709F5">
            <w:pPr>
              <w:rPr>
                <w:szCs w:val="24"/>
              </w:rPr>
            </w:pPr>
            <w:r>
              <w:rPr>
                <w:szCs w:val="24"/>
              </w:rPr>
              <w:t>5.2. Dailieji amatai</w:t>
            </w:r>
          </w:p>
        </w:tc>
        <w:tc>
          <w:tcPr>
            <w:tcW w:w="5098" w:type="dxa"/>
            <w:shd w:val="clear" w:color="auto" w:fill="auto"/>
            <w:noWrap/>
            <w:vAlign w:val="center"/>
            <w:hideMark/>
          </w:tcPr>
          <w:p w14:paraId="6986A3B7" w14:textId="77777777" w:rsidR="00A17914" w:rsidRDefault="004709F5">
            <w:pPr>
              <w:jc w:val="center"/>
              <w:rPr>
                <w:szCs w:val="24"/>
              </w:rPr>
            </w:pPr>
            <w:r>
              <w:rPr>
                <w:szCs w:val="24"/>
              </w:rPr>
              <w:t>0,0200</w:t>
            </w:r>
          </w:p>
        </w:tc>
      </w:tr>
      <w:tr w:rsidR="00A17914" w14:paraId="6986A3BB" w14:textId="77777777" w:rsidTr="00081080">
        <w:trPr>
          <w:trHeight w:val="310"/>
        </w:trPr>
        <w:tc>
          <w:tcPr>
            <w:tcW w:w="5097" w:type="dxa"/>
            <w:shd w:val="clear" w:color="auto" w:fill="auto"/>
            <w:vAlign w:val="center"/>
            <w:hideMark/>
          </w:tcPr>
          <w:p w14:paraId="6986A3B9" w14:textId="77777777" w:rsidR="00A17914" w:rsidRDefault="004709F5">
            <w:pPr>
              <w:rPr>
                <w:szCs w:val="24"/>
              </w:rPr>
            </w:pPr>
            <w:r>
              <w:rPr>
                <w:szCs w:val="24"/>
              </w:rPr>
              <w:t>5.3. Dizainas</w:t>
            </w:r>
          </w:p>
        </w:tc>
        <w:tc>
          <w:tcPr>
            <w:tcW w:w="5098" w:type="dxa"/>
            <w:shd w:val="clear" w:color="auto" w:fill="auto"/>
            <w:noWrap/>
            <w:vAlign w:val="center"/>
            <w:hideMark/>
          </w:tcPr>
          <w:p w14:paraId="6986A3BA" w14:textId="77777777" w:rsidR="00A17914" w:rsidRDefault="004709F5">
            <w:pPr>
              <w:jc w:val="center"/>
              <w:rPr>
                <w:szCs w:val="24"/>
              </w:rPr>
            </w:pPr>
            <w:r>
              <w:rPr>
                <w:szCs w:val="24"/>
              </w:rPr>
              <w:t>0,0145</w:t>
            </w:r>
          </w:p>
        </w:tc>
      </w:tr>
      <w:tr w:rsidR="00A17914" w14:paraId="6986A3BE" w14:textId="77777777" w:rsidTr="00081080">
        <w:trPr>
          <w:trHeight w:val="310"/>
        </w:trPr>
        <w:tc>
          <w:tcPr>
            <w:tcW w:w="5097" w:type="dxa"/>
            <w:shd w:val="clear" w:color="auto" w:fill="auto"/>
            <w:vAlign w:val="center"/>
            <w:hideMark/>
          </w:tcPr>
          <w:p w14:paraId="6986A3BC" w14:textId="77777777" w:rsidR="00A17914" w:rsidRDefault="004709F5">
            <w:pPr>
              <w:rPr>
                <w:szCs w:val="24"/>
              </w:rPr>
            </w:pPr>
            <w:r>
              <w:rPr>
                <w:szCs w:val="24"/>
              </w:rPr>
              <w:t>5.4. Muzika ir atlikimo menas</w:t>
            </w:r>
          </w:p>
        </w:tc>
        <w:tc>
          <w:tcPr>
            <w:tcW w:w="5098" w:type="dxa"/>
            <w:shd w:val="clear" w:color="auto" w:fill="auto"/>
            <w:noWrap/>
            <w:vAlign w:val="center"/>
            <w:hideMark/>
          </w:tcPr>
          <w:p w14:paraId="6986A3BD" w14:textId="77777777" w:rsidR="00A17914" w:rsidRDefault="004709F5">
            <w:pPr>
              <w:jc w:val="center"/>
              <w:rPr>
                <w:szCs w:val="24"/>
              </w:rPr>
            </w:pPr>
            <w:r>
              <w:rPr>
                <w:szCs w:val="24"/>
              </w:rPr>
              <w:t>0,0033</w:t>
            </w:r>
          </w:p>
        </w:tc>
      </w:tr>
      <w:tr w:rsidR="00081080" w14:paraId="6986A3C1" w14:textId="77777777" w:rsidTr="00081080">
        <w:trPr>
          <w:trHeight w:val="310"/>
        </w:trPr>
        <w:tc>
          <w:tcPr>
            <w:tcW w:w="5097" w:type="dxa"/>
            <w:shd w:val="clear" w:color="auto" w:fill="auto"/>
            <w:vAlign w:val="center"/>
          </w:tcPr>
          <w:p w14:paraId="6986A3BF" w14:textId="77777777" w:rsidR="00081080" w:rsidRDefault="00081080">
            <w:pPr>
              <w:rPr>
                <w:szCs w:val="24"/>
              </w:rPr>
            </w:pPr>
            <w:r>
              <w:rPr>
                <w:szCs w:val="24"/>
              </w:rPr>
              <w:t>5.5. Kiti posričiai</w:t>
            </w:r>
          </w:p>
        </w:tc>
        <w:tc>
          <w:tcPr>
            <w:tcW w:w="5098" w:type="dxa"/>
            <w:shd w:val="clear" w:color="auto" w:fill="auto"/>
            <w:vAlign w:val="center"/>
          </w:tcPr>
          <w:p w14:paraId="6986A3C0" w14:textId="77777777" w:rsidR="00081080" w:rsidRDefault="009844E1">
            <w:pPr>
              <w:jc w:val="center"/>
              <w:rPr>
                <w:szCs w:val="24"/>
              </w:rPr>
            </w:pPr>
            <w:r>
              <w:rPr>
                <w:szCs w:val="24"/>
              </w:rPr>
              <w:t>0,0033</w:t>
            </w:r>
          </w:p>
        </w:tc>
      </w:tr>
      <w:tr w:rsidR="00A17914" w14:paraId="6986A3C4" w14:textId="77777777" w:rsidTr="00081080">
        <w:trPr>
          <w:trHeight w:val="310"/>
        </w:trPr>
        <w:tc>
          <w:tcPr>
            <w:tcW w:w="5097" w:type="dxa"/>
            <w:shd w:val="clear" w:color="auto" w:fill="auto"/>
            <w:vAlign w:val="center"/>
            <w:hideMark/>
          </w:tcPr>
          <w:p w14:paraId="6986A3C2" w14:textId="77777777" w:rsidR="00A17914" w:rsidRDefault="004709F5">
            <w:pPr>
              <w:rPr>
                <w:szCs w:val="24"/>
              </w:rPr>
            </w:pPr>
            <w:r>
              <w:rPr>
                <w:szCs w:val="24"/>
              </w:rPr>
              <w:t>6. Miškininkystė</w:t>
            </w:r>
          </w:p>
        </w:tc>
        <w:tc>
          <w:tcPr>
            <w:tcW w:w="5098" w:type="dxa"/>
            <w:shd w:val="clear" w:color="auto" w:fill="auto"/>
            <w:vAlign w:val="center"/>
            <w:hideMark/>
          </w:tcPr>
          <w:p w14:paraId="6986A3C3" w14:textId="77777777" w:rsidR="00A17914" w:rsidRDefault="004709F5">
            <w:pPr>
              <w:jc w:val="center"/>
              <w:rPr>
                <w:szCs w:val="24"/>
              </w:rPr>
            </w:pPr>
            <w:r>
              <w:rPr>
                <w:szCs w:val="24"/>
              </w:rPr>
              <w:t>x</w:t>
            </w:r>
          </w:p>
        </w:tc>
      </w:tr>
      <w:tr w:rsidR="00A17914" w14:paraId="6986A3C7" w14:textId="77777777" w:rsidTr="00081080">
        <w:trPr>
          <w:trHeight w:val="310"/>
        </w:trPr>
        <w:tc>
          <w:tcPr>
            <w:tcW w:w="5097" w:type="dxa"/>
            <w:shd w:val="clear" w:color="auto" w:fill="auto"/>
            <w:vAlign w:val="center"/>
            <w:hideMark/>
          </w:tcPr>
          <w:p w14:paraId="6986A3C5" w14:textId="77777777" w:rsidR="00A17914" w:rsidRDefault="004709F5">
            <w:pPr>
              <w:rPr>
                <w:szCs w:val="24"/>
              </w:rPr>
            </w:pPr>
            <w:r>
              <w:rPr>
                <w:szCs w:val="24"/>
              </w:rPr>
              <w:t>6.1. Miškininkystė</w:t>
            </w:r>
          </w:p>
        </w:tc>
        <w:tc>
          <w:tcPr>
            <w:tcW w:w="5098" w:type="dxa"/>
            <w:shd w:val="clear" w:color="auto" w:fill="auto"/>
            <w:noWrap/>
            <w:vAlign w:val="center"/>
            <w:hideMark/>
          </w:tcPr>
          <w:p w14:paraId="6986A3C6" w14:textId="77777777" w:rsidR="00A17914" w:rsidRDefault="004709F5">
            <w:pPr>
              <w:jc w:val="center"/>
              <w:rPr>
                <w:szCs w:val="24"/>
              </w:rPr>
            </w:pPr>
            <w:r>
              <w:rPr>
                <w:szCs w:val="24"/>
              </w:rPr>
              <w:t>0,0155</w:t>
            </w:r>
          </w:p>
        </w:tc>
      </w:tr>
      <w:tr w:rsidR="00081080" w14:paraId="6986A3CA" w14:textId="77777777" w:rsidTr="00081080">
        <w:trPr>
          <w:trHeight w:val="310"/>
        </w:trPr>
        <w:tc>
          <w:tcPr>
            <w:tcW w:w="5097" w:type="dxa"/>
            <w:shd w:val="clear" w:color="auto" w:fill="auto"/>
            <w:vAlign w:val="center"/>
          </w:tcPr>
          <w:p w14:paraId="6986A3C8" w14:textId="77777777" w:rsidR="00081080" w:rsidRDefault="00081080">
            <w:pPr>
              <w:rPr>
                <w:szCs w:val="24"/>
              </w:rPr>
            </w:pPr>
            <w:r>
              <w:rPr>
                <w:szCs w:val="24"/>
              </w:rPr>
              <w:t>6.2. Kiti posričiai</w:t>
            </w:r>
          </w:p>
        </w:tc>
        <w:tc>
          <w:tcPr>
            <w:tcW w:w="5098" w:type="dxa"/>
            <w:shd w:val="clear" w:color="auto" w:fill="auto"/>
            <w:vAlign w:val="center"/>
          </w:tcPr>
          <w:p w14:paraId="6986A3C9" w14:textId="77777777" w:rsidR="00081080" w:rsidRDefault="009844E1">
            <w:pPr>
              <w:jc w:val="center"/>
              <w:rPr>
                <w:szCs w:val="24"/>
              </w:rPr>
            </w:pPr>
            <w:r>
              <w:rPr>
                <w:szCs w:val="24"/>
              </w:rPr>
              <w:t>0,0155</w:t>
            </w:r>
          </w:p>
        </w:tc>
      </w:tr>
      <w:tr w:rsidR="00A17914" w14:paraId="6986A3CD" w14:textId="77777777" w:rsidTr="00081080">
        <w:trPr>
          <w:trHeight w:val="310"/>
        </w:trPr>
        <w:tc>
          <w:tcPr>
            <w:tcW w:w="5097" w:type="dxa"/>
            <w:shd w:val="clear" w:color="auto" w:fill="auto"/>
            <w:vAlign w:val="center"/>
            <w:hideMark/>
          </w:tcPr>
          <w:p w14:paraId="6986A3CB" w14:textId="77777777" w:rsidR="00A17914" w:rsidRDefault="004709F5">
            <w:pPr>
              <w:rPr>
                <w:szCs w:val="24"/>
              </w:rPr>
            </w:pPr>
            <w:r>
              <w:rPr>
                <w:szCs w:val="24"/>
              </w:rPr>
              <w:t>7. Paslaugos asmenims</w:t>
            </w:r>
          </w:p>
        </w:tc>
        <w:tc>
          <w:tcPr>
            <w:tcW w:w="5098" w:type="dxa"/>
            <w:shd w:val="clear" w:color="auto" w:fill="auto"/>
            <w:vAlign w:val="center"/>
            <w:hideMark/>
          </w:tcPr>
          <w:p w14:paraId="6986A3CC" w14:textId="77777777" w:rsidR="00A17914" w:rsidRDefault="004709F5">
            <w:pPr>
              <w:jc w:val="center"/>
              <w:rPr>
                <w:szCs w:val="24"/>
              </w:rPr>
            </w:pPr>
            <w:r>
              <w:rPr>
                <w:szCs w:val="24"/>
              </w:rPr>
              <w:t>x</w:t>
            </w:r>
          </w:p>
        </w:tc>
      </w:tr>
      <w:tr w:rsidR="00A17914" w14:paraId="6986A3D0" w14:textId="77777777" w:rsidTr="00081080">
        <w:trPr>
          <w:trHeight w:val="310"/>
        </w:trPr>
        <w:tc>
          <w:tcPr>
            <w:tcW w:w="5097" w:type="dxa"/>
            <w:shd w:val="clear" w:color="auto" w:fill="auto"/>
            <w:vAlign w:val="center"/>
            <w:hideMark/>
          </w:tcPr>
          <w:p w14:paraId="6986A3CE" w14:textId="77777777" w:rsidR="00A17914" w:rsidRDefault="004709F5">
            <w:pPr>
              <w:rPr>
                <w:szCs w:val="24"/>
              </w:rPr>
            </w:pPr>
            <w:r>
              <w:rPr>
                <w:szCs w:val="24"/>
              </w:rPr>
              <w:t>7.1. Kelionės, turizmas ir poilsis</w:t>
            </w:r>
          </w:p>
        </w:tc>
        <w:tc>
          <w:tcPr>
            <w:tcW w:w="5098" w:type="dxa"/>
            <w:shd w:val="clear" w:color="auto" w:fill="auto"/>
            <w:noWrap/>
            <w:vAlign w:val="center"/>
            <w:hideMark/>
          </w:tcPr>
          <w:p w14:paraId="6986A3CF" w14:textId="77777777" w:rsidR="00A17914" w:rsidRDefault="004709F5">
            <w:pPr>
              <w:jc w:val="center"/>
              <w:rPr>
                <w:szCs w:val="24"/>
              </w:rPr>
            </w:pPr>
            <w:r>
              <w:rPr>
                <w:szCs w:val="24"/>
              </w:rPr>
              <w:t>0,0112</w:t>
            </w:r>
          </w:p>
        </w:tc>
      </w:tr>
      <w:tr w:rsidR="00A17914" w14:paraId="6986A3D3" w14:textId="77777777" w:rsidTr="00081080">
        <w:trPr>
          <w:trHeight w:val="310"/>
        </w:trPr>
        <w:tc>
          <w:tcPr>
            <w:tcW w:w="5097" w:type="dxa"/>
            <w:shd w:val="clear" w:color="auto" w:fill="auto"/>
            <w:vAlign w:val="center"/>
            <w:hideMark/>
          </w:tcPr>
          <w:p w14:paraId="6986A3D1" w14:textId="77777777" w:rsidR="00A17914" w:rsidRDefault="004709F5">
            <w:pPr>
              <w:rPr>
                <w:szCs w:val="24"/>
              </w:rPr>
            </w:pPr>
            <w:r>
              <w:rPr>
                <w:szCs w:val="24"/>
              </w:rPr>
              <w:t>7.2. Namų ūkio paslaugos</w:t>
            </w:r>
          </w:p>
        </w:tc>
        <w:tc>
          <w:tcPr>
            <w:tcW w:w="5098" w:type="dxa"/>
            <w:shd w:val="clear" w:color="auto" w:fill="auto"/>
            <w:noWrap/>
            <w:vAlign w:val="center"/>
            <w:hideMark/>
          </w:tcPr>
          <w:p w14:paraId="6986A3D2" w14:textId="77777777" w:rsidR="00A17914" w:rsidRDefault="004709F5">
            <w:pPr>
              <w:jc w:val="center"/>
              <w:rPr>
                <w:szCs w:val="24"/>
              </w:rPr>
            </w:pPr>
            <w:r>
              <w:rPr>
                <w:szCs w:val="24"/>
              </w:rPr>
              <w:t>0,0112</w:t>
            </w:r>
          </w:p>
        </w:tc>
      </w:tr>
      <w:tr w:rsidR="00A17914" w14:paraId="6986A3D6" w14:textId="77777777" w:rsidTr="00081080">
        <w:trPr>
          <w:trHeight w:val="310"/>
        </w:trPr>
        <w:tc>
          <w:tcPr>
            <w:tcW w:w="5097" w:type="dxa"/>
            <w:shd w:val="clear" w:color="auto" w:fill="auto"/>
            <w:vAlign w:val="center"/>
            <w:hideMark/>
          </w:tcPr>
          <w:p w14:paraId="6986A3D4" w14:textId="77777777" w:rsidR="00A17914" w:rsidRDefault="004709F5">
            <w:pPr>
              <w:rPr>
                <w:szCs w:val="24"/>
              </w:rPr>
            </w:pPr>
            <w:r>
              <w:rPr>
                <w:szCs w:val="24"/>
              </w:rPr>
              <w:t>7.3. Plaukų ir grožio priežiūra</w:t>
            </w:r>
          </w:p>
        </w:tc>
        <w:tc>
          <w:tcPr>
            <w:tcW w:w="5098" w:type="dxa"/>
            <w:shd w:val="clear" w:color="auto" w:fill="auto"/>
            <w:noWrap/>
            <w:vAlign w:val="center"/>
            <w:hideMark/>
          </w:tcPr>
          <w:p w14:paraId="6986A3D5" w14:textId="77777777" w:rsidR="00A17914" w:rsidRDefault="004709F5">
            <w:pPr>
              <w:jc w:val="center"/>
              <w:rPr>
                <w:szCs w:val="24"/>
              </w:rPr>
            </w:pPr>
            <w:r>
              <w:rPr>
                <w:szCs w:val="24"/>
              </w:rPr>
              <w:t>0,0155</w:t>
            </w:r>
          </w:p>
        </w:tc>
      </w:tr>
      <w:tr w:rsidR="00A17914" w14:paraId="6986A3D9" w14:textId="77777777" w:rsidTr="00081080">
        <w:trPr>
          <w:trHeight w:val="310"/>
        </w:trPr>
        <w:tc>
          <w:tcPr>
            <w:tcW w:w="5097" w:type="dxa"/>
            <w:shd w:val="clear" w:color="auto" w:fill="auto"/>
            <w:vAlign w:val="center"/>
            <w:hideMark/>
          </w:tcPr>
          <w:p w14:paraId="6986A3D7" w14:textId="77777777" w:rsidR="00A17914" w:rsidRDefault="004709F5">
            <w:pPr>
              <w:rPr>
                <w:szCs w:val="24"/>
              </w:rPr>
            </w:pPr>
            <w:r>
              <w:rPr>
                <w:szCs w:val="24"/>
              </w:rPr>
              <w:t>7.4. Viešbučių ir maitinimo paslaugos</w:t>
            </w:r>
          </w:p>
        </w:tc>
        <w:tc>
          <w:tcPr>
            <w:tcW w:w="5098" w:type="dxa"/>
            <w:shd w:val="clear" w:color="auto" w:fill="auto"/>
            <w:noWrap/>
            <w:vAlign w:val="center"/>
            <w:hideMark/>
          </w:tcPr>
          <w:p w14:paraId="6986A3D8" w14:textId="77777777" w:rsidR="00A17914" w:rsidRDefault="004709F5">
            <w:pPr>
              <w:jc w:val="center"/>
              <w:rPr>
                <w:szCs w:val="24"/>
              </w:rPr>
            </w:pPr>
            <w:r>
              <w:rPr>
                <w:szCs w:val="24"/>
              </w:rPr>
              <w:t>0,0155</w:t>
            </w:r>
          </w:p>
        </w:tc>
      </w:tr>
      <w:tr w:rsidR="00081080" w14:paraId="6986A3DC" w14:textId="77777777" w:rsidTr="00081080">
        <w:trPr>
          <w:trHeight w:val="310"/>
        </w:trPr>
        <w:tc>
          <w:tcPr>
            <w:tcW w:w="5097" w:type="dxa"/>
            <w:shd w:val="clear" w:color="auto" w:fill="auto"/>
            <w:vAlign w:val="center"/>
          </w:tcPr>
          <w:p w14:paraId="6986A3DA" w14:textId="77777777" w:rsidR="00081080" w:rsidRDefault="00081080">
            <w:pPr>
              <w:rPr>
                <w:szCs w:val="24"/>
              </w:rPr>
            </w:pPr>
            <w:r>
              <w:rPr>
                <w:szCs w:val="24"/>
              </w:rPr>
              <w:t>7.5. Kiti posričiai</w:t>
            </w:r>
          </w:p>
        </w:tc>
        <w:tc>
          <w:tcPr>
            <w:tcW w:w="5098" w:type="dxa"/>
            <w:shd w:val="clear" w:color="auto" w:fill="auto"/>
            <w:vAlign w:val="center"/>
          </w:tcPr>
          <w:p w14:paraId="6986A3DB" w14:textId="77777777" w:rsidR="00081080" w:rsidRDefault="009844E1">
            <w:pPr>
              <w:jc w:val="center"/>
              <w:rPr>
                <w:szCs w:val="24"/>
              </w:rPr>
            </w:pPr>
            <w:r>
              <w:rPr>
                <w:szCs w:val="24"/>
              </w:rPr>
              <w:t>0,0112</w:t>
            </w:r>
          </w:p>
        </w:tc>
      </w:tr>
      <w:tr w:rsidR="00A17914" w14:paraId="6986A3DF" w14:textId="77777777" w:rsidTr="00081080">
        <w:trPr>
          <w:trHeight w:val="310"/>
        </w:trPr>
        <w:tc>
          <w:tcPr>
            <w:tcW w:w="5097" w:type="dxa"/>
            <w:shd w:val="clear" w:color="auto" w:fill="auto"/>
            <w:vAlign w:val="center"/>
            <w:hideMark/>
          </w:tcPr>
          <w:p w14:paraId="6986A3DD" w14:textId="77777777" w:rsidR="00A17914" w:rsidRDefault="004709F5">
            <w:pPr>
              <w:rPr>
                <w:szCs w:val="24"/>
              </w:rPr>
            </w:pPr>
            <w:r>
              <w:rPr>
                <w:szCs w:val="24"/>
              </w:rPr>
              <w:t>8. Saugos paslaugos</w:t>
            </w:r>
          </w:p>
        </w:tc>
        <w:tc>
          <w:tcPr>
            <w:tcW w:w="5098" w:type="dxa"/>
            <w:shd w:val="clear" w:color="auto" w:fill="auto"/>
            <w:vAlign w:val="center"/>
            <w:hideMark/>
          </w:tcPr>
          <w:p w14:paraId="6986A3DE" w14:textId="77777777" w:rsidR="00A17914" w:rsidRDefault="004709F5">
            <w:pPr>
              <w:jc w:val="center"/>
              <w:rPr>
                <w:szCs w:val="24"/>
              </w:rPr>
            </w:pPr>
            <w:r>
              <w:rPr>
                <w:szCs w:val="24"/>
              </w:rPr>
              <w:t>x</w:t>
            </w:r>
          </w:p>
        </w:tc>
      </w:tr>
      <w:tr w:rsidR="00A17914" w14:paraId="6986A3E2" w14:textId="77777777" w:rsidTr="00081080">
        <w:trPr>
          <w:trHeight w:val="310"/>
        </w:trPr>
        <w:tc>
          <w:tcPr>
            <w:tcW w:w="5097" w:type="dxa"/>
            <w:shd w:val="clear" w:color="auto" w:fill="auto"/>
            <w:vAlign w:val="center"/>
            <w:hideMark/>
          </w:tcPr>
          <w:p w14:paraId="6986A3E0" w14:textId="77777777" w:rsidR="00A17914" w:rsidRDefault="004709F5">
            <w:pPr>
              <w:rPr>
                <w:szCs w:val="24"/>
              </w:rPr>
            </w:pPr>
            <w:r>
              <w:rPr>
                <w:szCs w:val="24"/>
              </w:rPr>
              <w:t>8.1. Asmens ir turto apsauga</w:t>
            </w:r>
          </w:p>
        </w:tc>
        <w:tc>
          <w:tcPr>
            <w:tcW w:w="5098" w:type="dxa"/>
            <w:shd w:val="clear" w:color="auto" w:fill="auto"/>
            <w:noWrap/>
            <w:vAlign w:val="center"/>
            <w:hideMark/>
          </w:tcPr>
          <w:p w14:paraId="6986A3E1" w14:textId="77777777" w:rsidR="00A17914" w:rsidRDefault="004709F5">
            <w:pPr>
              <w:jc w:val="center"/>
              <w:rPr>
                <w:szCs w:val="24"/>
              </w:rPr>
            </w:pPr>
            <w:r>
              <w:rPr>
                <w:szCs w:val="24"/>
              </w:rPr>
              <w:t>0,0055</w:t>
            </w:r>
          </w:p>
        </w:tc>
      </w:tr>
      <w:tr w:rsidR="00081080" w14:paraId="6986A3E5" w14:textId="77777777" w:rsidTr="00081080">
        <w:trPr>
          <w:trHeight w:val="310"/>
        </w:trPr>
        <w:tc>
          <w:tcPr>
            <w:tcW w:w="5097" w:type="dxa"/>
            <w:shd w:val="clear" w:color="auto" w:fill="auto"/>
            <w:vAlign w:val="center"/>
          </w:tcPr>
          <w:p w14:paraId="6986A3E3" w14:textId="77777777" w:rsidR="00081080" w:rsidRDefault="00081080">
            <w:pPr>
              <w:rPr>
                <w:szCs w:val="24"/>
              </w:rPr>
            </w:pPr>
            <w:r>
              <w:rPr>
                <w:szCs w:val="24"/>
              </w:rPr>
              <w:t>8.2. Kiti posričiai</w:t>
            </w:r>
          </w:p>
        </w:tc>
        <w:tc>
          <w:tcPr>
            <w:tcW w:w="5098" w:type="dxa"/>
            <w:shd w:val="clear" w:color="auto" w:fill="auto"/>
            <w:vAlign w:val="center"/>
          </w:tcPr>
          <w:p w14:paraId="6986A3E4" w14:textId="77777777" w:rsidR="00081080" w:rsidRDefault="009844E1">
            <w:pPr>
              <w:jc w:val="center"/>
              <w:rPr>
                <w:szCs w:val="24"/>
              </w:rPr>
            </w:pPr>
            <w:r>
              <w:rPr>
                <w:szCs w:val="24"/>
              </w:rPr>
              <w:t>0,0055</w:t>
            </w:r>
          </w:p>
        </w:tc>
      </w:tr>
      <w:tr w:rsidR="00A17914" w14:paraId="6986A3E8" w14:textId="77777777" w:rsidTr="00081080">
        <w:trPr>
          <w:trHeight w:val="310"/>
        </w:trPr>
        <w:tc>
          <w:tcPr>
            <w:tcW w:w="5097" w:type="dxa"/>
            <w:shd w:val="clear" w:color="auto" w:fill="auto"/>
            <w:vAlign w:val="center"/>
            <w:hideMark/>
          </w:tcPr>
          <w:p w14:paraId="6986A3E6" w14:textId="77777777" w:rsidR="00A17914" w:rsidRDefault="004709F5">
            <w:pPr>
              <w:rPr>
                <w:szCs w:val="24"/>
              </w:rPr>
            </w:pPr>
            <w:r>
              <w:rPr>
                <w:szCs w:val="24"/>
              </w:rPr>
              <w:t>9. Socialinė gerovė</w:t>
            </w:r>
          </w:p>
        </w:tc>
        <w:tc>
          <w:tcPr>
            <w:tcW w:w="5098" w:type="dxa"/>
            <w:shd w:val="clear" w:color="auto" w:fill="auto"/>
            <w:vAlign w:val="center"/>
            <w:hideMark/>
          </w:tcPr>
          <w:p w14:paraId="6986A3E7" w14:textId="77777777" w:rsidR="00A17914" w:rsidRDefault="004709F5">
            <w:pPr>
              <w:jc w:val="center"/>
              <w:rPr>
                <w:szCs w:val="24"/>
              </w:rPr>
            </w:pPr>
            <w:r>
              <w:rPr>
                <w:szCs w:val="24"/>
              </w:rPr>
              <w:t>x</w:t>
            </w:r>
          </w:p>
        </w:tc>
      </w:tr>
      <w:tr w:rsidR="00A17914" w14:paraId="6986A3EB" w14:textId="77777777" w:rsidTr="00081080">
        <w:trPr>
          <w:trHeight w:val="310"/>
        </w:trPr>
        <w:tc>
          <w:tcPr>
            <w:tcW w:w="5097" w:type="dxa"/>
            <w:shd w:val="clear" w:color="auto" w:fill="auto"/>
            <w:vAlign w:val="center"/>
            <w:hideMark/>
          </w:tcPr>
          <w:p w14:paraId="6986A3E9" w14:textId="77777777" w:rsidR="00A17914" w:rsidRDefault="004709F5">
            <w:pPr>
              <w:rPr>
                <w:szCs w:val="24"/>
              </w:rPr>
            </w:pPr>
            <w:r>
              <w:rPr>
                <w:szCs w:val="24"/>
              </w:rPr>
              <w:t>9.1. Socialinis darbas ir konsultavimas</w:t>
            </w:r>
          </w:p>
        </w:tc>
        <w:tc>
          <w:tcPr>
            <w:tcW w:w="5098" w:type="dxa"/>
            <w:shd w:val="clear" w:color="auto" w:fill="auto"/>
            <w:noWrap/>
            <w:vAlign w:val="center"/>
            <w:hideMark/>
          </w:tcPr>
          <w:p w14:paraId="6986A3EA" w14:textId="77777777" w:rsidR="00A17914" w:rsidRDefault="004709F5">
            <w:pPr>
              <w:jc w:val="center"/>
              <w:rPr>
                <w:szCs w:val="24"/>
              </w:rPr>
            </w:pPr>
            <w:r>
              <w:rPr>
                <w:szCs w:val="24"/>
              </w:rPr>
              <w:t>0,0112</w:t>
            </w:r>
          </w:p>
        </w:tc>
      </w:tr>
      <w:tr w:rsidR="00A17914" w14:paraId="6986A3EE" w14:textId="77777777" w:rsidTr="00081080">
        <w:trPr>
          <w:trHeight w:val="310"/>
        </w:trPr>
        <w:tc>
          <w:tcPr>
            <w:tcW w:w="5097" w:type="dxa"/>
            <w:shd w:val="clear" w:color="auto" w:fill="auto"/>
            <w:vAlign w:val="center"/>
            <w:hideMark/>
          </w:tcPr>
          <w:p w14:paraId="6986A3EC" w14:textId="77777777" w:rsidR="00A17914" w:rsidRDefault="004709F5">
            <w:pPr>
              <w:rPr>
                <w:szCs w:val="24"/>
              </w:rPr>
            </w:pPr>
            <w:r>
              <w:rPr>
                <w:szCs w:val="24"/>
              </w:rPr>
              <w:t>9.2. Vaikų priežiūra ir paslaugos jaunimui</w:t>
            </w:r>
          </w:p>
        </w:tc>
        <w:tc>
          <w:tcPr>
            <w:tcW w:w="5098" w:type="dxa"/>
            <w:shd w:val="clear" w:color="auto" w:fill="auto"/>
            <w:noWrap/>
            <w:vAlign w:val="center"/>
            <w:hideMark/>
          </w:tcPr>
          <w:p w14:paraId="6986A3ED" w14:textId="77777777" w:rsidR="00A17914" w:rsidRDefault="004709F5">
            <w:pPr>
              <w:jc w:val="center"/>
              <w:rPr>
                <w:szCs w:val="24"/>
              </w:rPr>
            </w:pPr>
            <w:r>
              <w:rPr>
                <w:szCs w:val="24"/>
              </w:rPr>
              <w:t>0,0112</w:t>
            </w:r>
          </w:p>
        </w:tc>
      </w:tr>
      <w:tr w:rsidR="00081080" w14:paraId="6986A3F1" w14:textId="77777777" w:rsidTr="00081080">
        <w:trPr>
          <w:trHeight w:val="310"/>
        </w:trPr>
        <w:tc>
          <w:tcPr>
            <w:tcW w:w="5097" w:type="dxa"/>
            <w:shd w:val="clear" w:color="auto" w:fill="auto"/>
            <w:vAlign w:val="center"/>
          </w:tcPr>
          <w:p w14:paraId="6986A3EF" w14:textId="77777777" w:rsidR="00081080" w:rsidRDefault="00081080">
            <w:pPr>
              <w:rPr>
                <w:szCs w:val="24"/>
              </w:rPr>
            </w:pPr>
            <w:r>
              <w:rPr>
                <w:szCs w:val="24"/>
              </w:rPr>
              <w:t>9.3. Kiti posričiai</w:t>
            </w:r>
          </w:p>
        </w:tc>
        <w:tc>
          <w:tcPr>
            <w:tcW w:w="5098" w:type="dxa"/>
            <w:shd w:val="clear" w:color="auto" w:fill="auto"/>
            <w:vAlign w:val="center"/>
          </w:tcPr>
          <w:p w14:paraId="6986A3F0" w14:textId="77777777" w:rsidR="00081080" w:rsidRDefault="009844E1">
            <w:pPr>
              <w:jc w:val="center"/>
              <w:rPr>
                <w:szCs w:val="24"/>
              </w:rPr>
            </w:pPr>
            <w:r>
              <w:rPr>
                <w:szCs w:val="24"/>
              </w:rPr>
              <w:t>0,0112</w:t>
            </w:r>
          </w:p>
        </w:tc>
      </w:tr>
      <w:tr w:rsidR="00A17914" w14:paraId="6986A3F4" w14:textId="77777777" w:rsidTr="00081080">
        <w:trPr>
          <w:trHeight w:val="310"/>
        </w:trPr>
        <w:tc>
          <w:tcPr>
            <w:tcW w:w="5097" w:type="dxa"/>
            <w:shd w:val="clear" w:color="auto" w:fill="auto"/>
            <w:vAlign w:val="center"/>
            <w:hideMark/>
          </w:tcPr>
          <w:p w14:paraId="6986A3F2" w14:textId="77777777" w:rsidR="00A17914" w:rsidRDefault="004709F5">
            <w:pPr>
              <w:rPr>
                <w:szCs w:val="24"/>
              </w:rPr>
            </w:pPr>
            <w:r>
              <w:rPr>
                <w:szCs w:val="24"/>
              </w:rPr>
              <w:t>10. Sveikatos priežiūra</w:t>
            </w:r>
          </w:p>
        </w:tc>
        <w:tc>
          <w:tcPr>
            <w:tcW w:w="5098" w:type="dxa"/>
            <w:shd w:val="clear" w:color="auto" w:fill="auto"/>
            <w:vAlign w:val="center"/>
            <w:hideMark/>
          </w:tcPr>
          <w:p w14:paraId="6986A3F3" w14:textId="77777777" w:rsidR="00A17914" w:rsidRDefault="004709F5">
            <w:pPr>
              <w:jc w:val="center"/>
              <w:rPr>
                <w:szCs w:val="24"/>
              </w:rPr>
            </w:pPr>
            <w:r>
              <w:rPr>
                <w:szCs w:val="24"/>
              </w:rPr>
              <w:t>x</w:t>
            </w:r>
          </w:p>
        </w:tc>
      </w:tr>
      <w:tr w:rsidR="00A17914" w14:paraId="6986A3F7" w14:textId="77777777" w:rsidTr="00081080">
        <w:trPr>
          <w:trHeight w:val="310"/>
        </w:trPr>
        <w:tc>
          <w:tcPr>
            <w:tcW w:w="5097" w:type="dxa"/>
            <w:shd w:val="clear" w:color="auto" w:fill="auto"/>
            <w:vAlign w:val="center"/>
            <w:hideMark/>
          </w:tcPr>
          <w:p w14:paraId="6986A3F5" w14:textId="77777777" w:rsidR="00A17914" w:rsidRDefault="004709F5">
            <w:pPr>
              <w:rPr>
                <w:szCs w:val="24"/>
              </w:rPr>
            </w:pPr>
            <w:r>
              <w:rPr>
                <w:szCs w:val="24"/>
              </w:rPr>
              <w:t>10.1. Medicinos diagnostika ir gydymo technologija</w:t>
            </w:r>
          </w:p>
        </w:tc>
        <w:tc>
          <w:tcPr>
            <w:tcW w:w="5098" w:type="dxa"/>
            <w:shd w:val="clear" w:color="auto" w:fill="auto"/>
            <w:noWrap/>
            <w:vAlign w:val="center"/>
            <w:hideMark/>
          </w:tcPr>
          <w:p w14:paraId="6986A3F6" w14:textId="77777777" w:rsidR="00A17914" w:rsidRDefault="004709F5">
            <w:pPr>
              <w:jc w:val="center"/>
              <w:rPr>
                <w:szCs w:val="24"/>
              </w:rPr>
            </w:pPr>
            <w:r>
              <w:rPr>
                <w:szCs w:val="24"/>
              </w:rPr>
              <w:t>0,0112</w:t>
            </w:r>
          </w:p>
        </w:tc>
      </w:tr>
      <w:tr w:rsidR="00A17914" w14:paraId="6986A3FA" w14:textId="77777777" w:rsidTr="00081080">
        <w:trPr>
          <w:trHeight w:val="310"/>
        </w:trPr>
        <w:tc>
          <w:tcPr>
            <w:tcW w:w="5097" w:type="dxa"/>
            <w:shd w:val="clear" w:color="auto" w:fill="auto"/>
            <w:vAlign w:val="center"/>
            <w:hideMark/>
          </w:tcPr>
          <w:p w14:paraId="6986A3F8" w14:textId="77777777" w:rsidR="00A17914" w:rsidRDefault="004709F5">
            <w:pPr>
              <w:rPr>
                <w:szCs w:val="24"/>
              </w:rPr>
            </w:pPr>
            <w:r>
              <w:rPr>
                <w:szCs w:val="24"/>
              </w:rPr>
              <w:t>10.2. Slauga ir akušerija</w:t>
            </w:r>
          </w:p>
        </w:tc>
        <w:tc>
          <w:tcPr>
            <w:tcW w:w="5098" w:type="dxa"/>
            <w:shd w:val="clear" w:color="auto" w:fill="auto"/>
            <w:noWrap/>
            <w:vAlign w:val="center"/>
            <w:hideMark/>
          </w:tcPr>
          <w:p w14:paraId="6986A3F9" w14:textId="77777777" w:rsidR="00A17914" w:rsidRDefault="004709F5">
            <w:pPr>
              <w:jc w:val="center"/>
              <w:rPr>
                <w:szCs w:val="24"/>
              </w:rPr>
            </w:pPr>
            <w:r>
              <w:rPr>
                <w:szCs w:val="24"/>
              </w:rPr>
              <w:t>0,0112</w:t>
            </w:r>
          </w:p>
        </w:tc>
      </w:tr>
      <w:tr w:rsidR="00A17914" w14:paraId="6986A3FD" w14:textId="77777777" w:rsidTr="00081080">
        <w:trPr>
          <w:trHeight w:val="310"/>
        </w:trPr>
        <w:tc>
          <w:tcPr>
            <w:tcW w:w="5097" w:type="dxa"/>
            <w:shd w:val="clear" w:color="auto" w:fill="auto"/>
            <w:vAlign w:val="center"/>
            <w:hideMark/>
          </w:tcPr>
          <w:p w14:paraId="6986A3FB" w14:textId="77777777" w:rsidR="00A17914" w:rsidRDefault="004709F5">
            <w:pPr>
              <w:rPr>
                <w:szCs w:val="24"/>
              </w:rPr>
            </w:pPr>
            <w:r>
              <w:rPr>
                <w:szCs w:val="24"/>
              </w:rPr>
              <w:t>10.3. Terapija ir reabilitacija</w:t>
            </w:r>
          </w:p>
        </w:tc>
        <w:tc>
          <w:tcPr>
            <w:tcW w:w="5098" w:type="dxa"/>
            <w:shd w:val="clear" w:color="auto" w:fill="auto"/>
            <w:noWrap/>
            <w:vAlign w:val="center"/>
            <w:hideMark/>
          </w:tcPr>
          <w:p w14:paraId="6986A3FC" w14:textId="77777777" w:rsidR="00A17914" w:rsidRDefault="004709F5">
            <w:pPr>
              <w:jc w:val="center"/>
              <w:rPr>
                <w:szCs w:val="24"/>
              </w:rPr>
            </w:pPr>
            <w:r>
              <w:rPr>
                <w:szCs w:val="24"/>
              </w:rPr>
              <w:t>0,0112</w:t>
            </w:r>
          </w:p>
        </w:tc>
      </w:tr>
      <w:tr w:rsidR="00081080" w14:paraId="6986A400" w14:textId="77777777" w:rsidTr="00081080">
        <w:trPr>
          <w:trHeight w:val="310"/>
        </w:trPr>
        <w:tc>
          <w:tcPr>
            <w:tcW w:w="5097" w:type="dxa"/>
            <w:shd w:val="clear" w:color="auto" w:fill="auto"/>
            <w:vAlign w:val="center"/>
          </w:tcPr>
          <w:p w14:paraId="6986A3FE" w14:textId="77777777" w:rsidR="00081080" w:rsidRDefault="00081080">
            <w:pPr>
              <w:rPr>
                <w:szCs w:val="24"/>
              </w:rPr>
            </w:pPr>
            <w:r>
              <w:rPr>
                <w:szCs w:val="24"/>
              </w:rPr>
              <w:t>10.4. Kiti posričiai</w:t>
            </w:r>
          </w:p>
        </w:tc>
        <w:tc>
          <w:tcPr>
            <w:tcW w:w="5098" w:type="dxa"/>
            <w:shd w:val="clear" w:color="auto" w:fill="auto"/>
            <w:vAlign w:val="center"/>
          </w:tcPr>
          <w:p w14:paraId="6986A3FF" w14:textId="77777777" w:rsidR="00081080" w:rsidRDefault="009844E1">
            <w:pPr>
              <w:jc w:val="center"/>
              <w:rPr>
                <w:szCs w:val="24"/>
              </w:rPr>
            </w:pPr>
            <w:r>
              <w:rPr>
                <w:szCs w:val="24"/>
              </w:rPr>
              <w:t>0,0112</w:t>
            </w:r>
          </w:p>
        </w:tc>
      </w:tr>
      <w:tr w:rsidR="00A17914" w14:paraId="6986A403" w14:textId="77777777" w:rsidTr="00081080">
        <w:trPr>
          <w:trHeight w:val="310"/>
        </w:trPr>
        <w:tc>
          <w:tcPr>
            <w:tcW w:w="5097" w:type="dxa"/>
            <w:shd w:val="clear" w:color="auto" w:fill="auto"/>
            <w:vAlign w:val="center"/>
            <w:hideMark/>
          </w:tcPr>
          <w:p w14:paraId="6986A401" w14:textId="77777777" w:rsidR="00A17914" w:rsidRDefault="004709F5">
            <w:pPr>
              <w:rPr>
                <w:szCs w:val="24"/>
              </w:rPr>
            </w:pPr>
            <w:r>
              <w:rPr>
                <w:szCs w:val="24"/>
              </w:rPr>
              <w:t>11. Transporto paslaugos</w:t>
            </w:r>
          </w:p>
        </w:tc>
        <w:tc>
          <w:tcPr>
            <w:tcW w:w="5098" w:type="dxa"/>
            <w:shd w:val="clear" w:color="auto" w:fill="auto"/>
            <w:vAlign w:val="center"/>
            <w:hideMark/>
          </w:tcPr>
          <w:p w14:paraId="6986A402" w14:textId="77777777" w:rsidR="00A17914" w:rsidRDefault="004709F5">
            <w:pPr>
              <w:jc w:val="center"/>
              <w:rPr>
                <w:szCs w:val="24"/>
              </w:rPr>
            </w:pPr>
            <w:r>
              <w:rPr>
                <w:szCs w:val="24"/>
              </w:rPr>
              <w:t>x</w:t>
            </w:r>
          </w:p>
        </w:tc>
      </w:tr>
      <w:tr w:rsidR="00A17914" w14:paraId="6986A406" w14:textId="77777777" w:rsidTr="00081080">
        <w:trPr>
          <w:trHeight w:val="620"/>
        </w:trPr>
        <w:tc>
          <w:tcPr>
            <w:tcW w:w="5097" w:type="dxa"/>
            <w:shd w:val="clear" w:color="auto" w:fill="auto"/>
            <w:vAlign w:val="center"/>
            <w:hideMark/>
          </w:tcPr>
          <w:p w14:paraId="6986A404" w14:textId="77777777" w:rsidR="00A17914" w:rsidRDefault="004709F5">
            <w:pPr>
              <w:rPr>
                <w:szCs w:val="24"/>
              </w:rPr>
            </w:pPr>
            <w:r>
              <w:rPr>
                <w:szCs w:val="24"/>
              </w:rPr>
              <w:t xml:space="preserve">11.1. Transporto paslaugos (išskyrus kelių transporto programas) </w:t>
            </w:r>
          </w:p>
        </w:tc>
        <w:tc>
          <w:tcPr>
            <w:tcW w:w="5098" w:type="dxa"/>
            <w:shd w:val="clear" w:color="auto" w:fill="auto"/>
            <w:noWrap/>
            <w:vAlign w:val="center"/>
            <w:hideMark/>
          </w:tcPr>
          <w:p w14:paraId="6986A405" w14:textId="77777777" w:rsidR="00A17914" w:rsidRDefault="004709F5">
            <w:pPr>
              <w:jc w:val="center"/>
              <w:rPr>
                <w:szCs w:val="24"/>
              </w:rPr>
            </w:pPr>
            <w:r>
              <w:rPr>
                <w:szCs w:val="24"/>
              </w:rPr>
              <w:t>0,0245</w:t>
            </w:r>
          </w:p>
        </w:tc>
      </w:tr>
      <w:tr w:rsidR="00A17914" w14:paraId="6986A409" w14:textId="77777777" w:rsidTr="00081080">
        <w:trPr>
          <w:trHeight w:val="620"/>
        </w:trPr>
        <w:tc>
          <w:tcPr>
            <w:tcW w:w="5097" w:type="dxa"/>
            <w:shd w:val="clear" w:color="auto" w:fill="auto"/>
            <w:vAlign w:val="center"/>
            <w:hideMark/>
          </w:tcPr>
          <w:p w14:paraId="6986A407" w14:textId="77777777" w:rsidR="00A17914" w:rsidRDefault="004709F5">
            <w:pPr>
              <w:rPr>
                <w:szCs w:val="24"/>
              </w:rPr>
            </w:pPr>
            <w:r>
              <w:rPr>
                <w:szCs w:val="24"/>
              </w:rPr>
              <w:t xml:space="preserve">11.2. Transporto paslaugos (tik kelių transporto programoms) </w:t>
            </w:r>
          </w:p>
        </w:tc>
        <w:tc>
          <w:tcPr>
            <w:tcW w:w="5098" w:type="dxa"/>
            <w:shd w:val="clear" w:color="auto" w:fill="auto"/>
            <w:noWrap/>
            <w:vAlign w:val="center"/>
            <w:hideMark/>
          </w:tcPr>
          <w:p w14:paraId="6986A408" w14:textId="77777777" w:rsidR="00A17914" w:rsidRDefault="004709F5">
            <w:pPr>
              <w:jc w:val="center"/>
              <w:rPr>
                <w:szCs w:val="24"/>
              </w:rPr>
            </w:pPr>
            <w:r>
              <w:rPr>
                <w:szCs w:val="24"/>
              </w:rPr>
              <w:t>0,0333</w:t>
            </w:r>
          </w:p>
        </w:tc>
      </w:tr>
      <w:tr w:rsidR="00081080" w14:paraId="6986A40C" w14:textId="77777777" w:rsidTr="00081080">
        <w:trPr>
          <w:trHeight w:val="310"/>
        </w:trPr>
        <w:tc>
          <w:tcPr>
            <w:tcW w:w="5097" w:type="dxa"/>
            <w:shd w:val="clear" w:color="auto" w:fill="auto"/>
            <w:vAlign w:val="center"/>
          </w:tcPr>
          <w:p w14:paraId="6986A40A" w14:textId="77777777" w:rsidR="00081080" w:rsidRDefault="00081080">
            <w:pPr>
              <w:rPr>
                <w:szCs w:val="24"/>
              </w:rPr>
            </w:pPr>
            <w:r>
              <w:rPr>
                <w:szCs w:val="24"/>
              </w:rPr>
              <w:t>11.3. Kiti posričiai</w:t>
            </w:r>
          </w:p>
        </w:tc>
        <w:tc>
          <w:tcPr>
            <w:tcW w:w="5098" w:type="dxa"/>
            <w:shd w:val="clear" w:color="auto" w:fill="auto"/>
            <w:vAlign w:val="center"/>
          </w:tcPr>
          <w:p w14:paraId="6986A40B" w14:textId="77777777" w:rsidR="00081080" w:rsidRDefault="009844E1">
            <w:pPr>
              <w:jc w:val="center"/>
              <w:rPr>
                <w:szCs w:val="24"/>
              </w:rPr>
            </w:pPr>
            <w:r>
              <w:rPr>
                <w:szCs w:val="24"/>
              </w:rPr>
              <w:t>0,0245</w:t>
            </w:r>
          </w:p>
        </w:tc>
      </w:tr>
      <w:tr w:rsidR="00A17914" w14:paraId="6986A40F" w14:textId="77777777" w:rsidTr="00081080">
        <w:trPr>
          <w:trHeight w:val="310"/>
        </w:trPr>
        <w:tc>
          <w:tcPr>
            <w:tcW w:w="5097" w:type="dxa"/>
            <w:shd w:val="clear" w:color="auto" w:fill="auto"/>
            <w:vAlign w:val="center"/>
            <w:hideMark/>
          </w:tcPr>
          <w:p w14:paraId="6986A40D" w14:textId="77777777" w:rsidR="00A17914" w:rsidRDefault="004709F5">
            <w:pPr>
              <w:rPr>
                <w:szCs w:val="24"/>
              </w:rPr>
            </w:pPr>
            <w:r>
              <w:rPr>
                <w:szCs w:val="24"/>
              </w:rPr>
              <w:t>12. Verslas ir administravimas</w:t>
            </w:r>
          </w:p>
        </w:tc>
        <w:tc>
          <w:tcPr>
            <w:tcW w:w="5098" w:type="dxa"/>
            <w:shd w:val="clear" w:color="auto" w:fill="auto"/>
            <w:vAlign w:val="center"/>
            <w:hideMark/>
          </w:tcPr>
          <w:p w14:paraId="6986A40E" w14:textId="77777777" w:rsidR="00A17914" w:rsidRDefault="004709F5">
            <w:pPr>
              <w:jc w:val="center"/>
              <w:rPr>
                <w:szCs w:val="24"/>
              </w:rPr>
            </w:pPr>
            <w:r>
              <w:rPr>
                <w:szCs w:val="24"/>
              </w:rPr>
              <w:t>x</w:t>
            </w:r>
          </w:p>
        </w:tc>
      </w:tr>
      <w:tr w:rsidR="00A17914" w14:paraId="6986A412" w14:textId="77777777" w:rsidTr="00081080">
        <w:trPr>
          <w:trHeight w:val="310"/>
        </w:trPr>
        <w:tc>
          <w:tcPr>
            <w:tcW w:w="5097" w:type="dxa"/>
            <w:shd w:val="clear" w:color="auto" w:fill="auto"/>
            <w:vAlign w:val="center"/>
            <w:hideMark/>
          </w:tcPr>
          <w:p w14:paraId="6986A410" w14:textId="77777777" w:rsidR="00A17914" w:rsidRDefault="004709F5">
            <w:pPr>
              <w:rPr>
                <w:szCs w:val="24"/>
              </w:rPr>
            </w:pPr>
            <w:r>
              <w:rPr>
                <w:szCs w:val="24"/>
              </w:rPr>
              <w:t>12.1. Apskaita</w:t>
            </w:r>
          </w:p>
        </w:tc>
        <w:tc>
          <w:tcPr>
            <w:tcW w:w="5098" w:type="dxa"/>
            <w:shd w:val="clear" w:color="auto" w:fill="auto"/>
            <w:noWrap/>
            <w:vAlign w:val="center"/>
            <w:hideMark/>
          </w:tcPr>
          <w:p w14:paraId="6986A411" w14:textId="77777777" w:rsidR="00A17914" w:rsidRDefault="004709F5">
            <w:pPr>
              <w:jc w:val="center"/>
              <w:rPr>
                <w:szCs w:val="24"/>
              </w:rPr>
            </w:pPr>
            <w:r>
              <w:rPr>
                <w:szCs w:val="24"/>
              </w:rPr>
              <w:t>0,0055</w:t>
            </w:r>
          </w:p>
        </w:tc>
      </w:tr>
      <w:tr w:rsidR="00A17914" w14:paraId="6986A415" w14:textId="77777777" w:rsidTr="00081080">
        <w:trPr>
          <w:trHeight w:val="310"/>
        </w:trPr>
        <w:tc>
          <w:tcPr>
            <w:tcW w:w="5097" w:type="dxa"/>
            <w:shd w:val="clear" w:color="auto" w:fill="auto"/>
            <w:vAlign w:val="center"/>
            <w:hideMark/>
          </w:tcPr>
          <w:p w14:paraId="6986A413" w14:textId="77777777" w:rsidR="00A17914" w:rsidRDefault="004709F5">
            <w:pPr>
              <w:rPr>
                <w:szCs w:val="24"/>
              </w:rPr>
            </w:pPr>
            <w:r>
              <w:rPr>
                <w:szCs w:val="24"/>
              </w:rPr>
              <w:t>12.2. Biuro administravimas</w:t>
            </w:r>
          </w:p>
        </w:tc>
        <w:tc>
          <w:tcPr>
            <w:tcW w:w="5098" w:type="dxa"/>
            <w:shd w:val="clear" w:color="auto" w:fill="auto"/>
            <w:noWrap/>
            <w:vAlign w:val="center"/>
            <w:hideMark/>
          </w:tcPr>
          <w:p w14:paraId="6986A414" w14:textId="77777777" w:rsidR="00A17914" w:rsidRDefault="004709F5">
            <w:pPr>
              <w:jc w:val="center"/>
              <w:rPr>
                <w:szCs w:val="24"/>
              </w:rPr>
            </w:pPr>
            <w:r>
              <w:rPr>
                <w:szCs w:val="24"/>
              </w:rPr>
              <w:t>0,0055</w:t>
            </w:r>
          </w:p>
        </w:tc>
      </w:tr>
      <w:tr w:rsidR="00A17914" w14:paraId="6986A418" w14:textId="77777777" w:rsidTr="00081080">
        <w:trPr>
          <w:trHeight w:val="310"/>
        </w:trPr>
        <w:tc>
          <w:tcPr>
            <w:tcW w:w="5097" w:type="dxa"/>
            <w:shd w:val="clear" w:color="auto" w:fill="auto"/>
            <w:vAlign w:val="center"/>
            <w:hideMark/>
          </w:tcPr>
          <w:p w14:paraId="6986A416" w14:textId="77777777" w:rsidR="00A17914" w:rsidRDefault="004709F5">
            <w:pPr>
              <w:rPr>
                <w:szCs w:val="24"/>
              </w:rPr>
            </w:pPr>
            <w:r>
              <w:rPr>
                <w:szCs w:val="24"/>
              </w:rPr>
              <w:t>12.3. Darbo organizavimas</w:t>
            </w:r>
          </w:p>
        </w:tc>
        <w:tc>
          <w:tcPr>
            <w:tcW w:w="5098" w:type="dxa"/>
            <w:shd w:val="clear" w:color="auto" w:fill="auto"/>
            <w:noWrap/>
            <w:vAlign w:val="center"/>
            <w:hideMark/>
          </w:tcPr>
          <w:p w14:paraId="6986A417" w14:textId="77777777" w:rsidR="00A17914" w:rsidRDefault="004709F5">
            <w:pPr>
              <w:jc w:val="center"/>
              <w:rPr>
                <w:szCs w:val="24"/>
              </w:rPr>
            </w:pPr>
            <w:r>
              <w:rPr>
                <w:szCs w:val="24"/>
              </w:rPr>
              <w:t>0,0055</w:t>
            </w:r>
          </w:p>
        </w:tc>
      </w:tr>
      <w:tr w:rsidR="00A17914" w14:paraId="6986A41B" w14:textId="77777777" w:rsidTr="00081080">
        <w:trPr>
          <w:trHeight w:val="310"/>
        </w:trPr>
        <w:tc>
          <w:tcPr>
            <w:tcW w:w="5097" w:type="dxa"/>
            <w:shd w:val="clear" w:color="auto" w:fill="auto"/>
            <w:vAlign w:val="center"/>
            <w:hideMark/>
          </w:tcPr>
          <w:p w14:paraId="6986A419" w14:textId="77777777" w:rsidR="00A17914" w:rsidRDefault="004709F5">
            <w:pPr>
              <w:rPr>
                <w:szCs w:val="24"/>
              </w:rPr>
            </w:pPr>
            <w:r>
              <w:rPr>
                <w:szCs w:val="24"/>
              </w:rPr>
              <w:t>12.4. Didmeninė ir mažmeninė prekyba</w:t>
            </w:r>
          </w:p>
        </w:tc>
        <w:tc>
          <w:tcPr>
            <w:tcW w:w="5098" w:type="dxa"/>
            <w:shd w:val="clear" w:color="auto" w:fill="auto"/>
            <w:noWrap/>
            <w:vAlign w:val="center"/>
            <w:hideMark/>
          </w:tcPr>
          <w:p w14:paraId="6986A41A" w14:textId="77777777" w:rsidR="00A17914" w:rsidRDefault="004709F5">
            <w:pPr>
              <w:jc w:val="center"/>
              <w:rPr>
                <w:szCs w:val="24"/>
              </w:rPr>
            </w:pPr>
            <w:r>
              <w:rPr>
                <w:szCs w:val="24"/>
              </w:rPr>
              <w:t>0,0055</w:t>
            </w:r>
          </w:p>
        </w:tc>
      </w:tr>
      <w:tr w:rsidR="00A17914" w14:paraId="6986A41E" w14:textId="77777777" w:rsidTr="00081080">
        <w:trPr>
          <w:trHeight w:val="310"/>
        </w:trPr>
        <w:tc>
          <w:tcPr>
            <w:tcW w:w="5097" w:type="dxa"/>
            <w:shd w:val="clear" w:color="auto" w:fill="auto"/>
            <w:vAlign w:val="center"/>
            <w:hideMark/>
          </w:tcPr>
          <w:p w14:paraId="6986A41C" w14:textId="77777777" w:rsidR="00A17914" w:rsidRDefault="004709F5">
            <w:pPr>
              <w:rPr>
                <w:szCs w:val="24"/>
              </w:rPr>
            </w:pPr>
            <w:r>
              <w:rPr>
                <w:szCs w:val="24"/>
              </w:rPr>
              <w:t>12.5. Finansai, bankininkystė ir draudimas</w:t>
            </w:r>
          </w:p>
        </w:tc>
        <w:tc>
          <w:tcPr>
            <w:tcW w:w="5098" w:type="dxa"/>
            <w:shd w:val="clear" w:color="auto" w:fill="auto"/>
            <w:noWrap/>
            <w:vAlign w:val="center"/>
            <w:hideMark/>
          </w:tcPr>
          <w:p w14:paraId="6986A41D" w14:textId="77777777" w:rsidR="00A17914" w:rsidRDefault="004709F5">
            <w:pPr>
              <w:jc w:val="center"/>
              <w:rPr>
                <w:szCs w:val="24"/>
              </w:rPr>
            </w:pPr>
            <w:r>
              <w:rPr>
                <w:szCs w:val="24"/>
              </w:rPr>
              <w:t>0,0112</w:t>
            </w:r>
          </w:p>
        </w:tc>
      </w:tr>
      <w:tr w:rsidR="00A17914" w14:paraId="6986A421" w14:textId="77777777" w:rsidTr="00081080">
        <w:trPr>
          <w:trHeight w:val="310"/>
        </w:trPr>
        <w:tc>
          <w:tcPr>
            <w:tcW w:w="5097" w:type="dxa"/>
            <w:shd w:val="clear" w:color="auto" w:fill="auto"/>
            <w:vAlign w:val="center"/>
            <w:hideMark/>
          </w:tcPr>
          <w:p w14:paraId="6986A41F" w14:textId="77777777" w:rsidR="00A17914" w:rsidRDefault="004709F5">
            <w:pPr>
              <w:rPr>
                <w:szCs w:val="24"/>
              </w:rPr>
            </w:pPr>
            <w:r>
              <w:rPr>
                <w:szCs w:val="24"/>
              </w:rPr>
              <w:t>12.6. Rinkodara</w:t>
            </w:r>
          </w:p>
        </w:tc>
        <w:tc>
          <w:tcPr>
            <w:tcW w:w="5098" w:type="dxa"/>
            <w:shd w:val="clear" w:color="auto" w:fill="auto"/>
            <w:noWrap/>
            <w:vAlign w:val="center"/>
            <w:hideMark/>
          </w:tcPr>
          <w:p w14:paraId="6986A420" w14:textId="77777777" w:rsidR="00A17914" w:rsidRDefault="004709F5">
            <w:pPr>
              <w:jc w:val="center"/>
              <w:rPr>
                <w:szCs w:val="24"/>
              </w:rPr>
            </w:pPr>
            <w:r>
              <w:rPr>
                <w:szCs w:val="24"/>
              </w:rPr>
              <w:t>0,0055</w:t>
            </w:r>
          </w:p>
        </w:tc>
      </w:tr>
      <w:tr w:rsidR="00A17914" w14:paraId="6986A424" w14:textId="77777777" w:rsidTr="00081080">
        <w:trPr>
          <w:trHeight w:val="310"/>
        </w:trPr>
        <w:tc>
          <w:tcPr>
            <w:tcW w:w="5097" w:type="dxa"/>
            <w:shd w:val="clear" w:color="auto" w:fill="auto"/>
            <w:vAlign w:val="center"/>
            <w:hideMark/>
          </w:tcPr>
          <w:p w14:paraId="6986A422" w14:textId="77777777" w:rsidR="00A17914" w:rsidRDefault="004709F5">
            <w:pPr>
              <w:rPr>
                <w:szCs w:val="24"/>
              </w:rPr>
            </w:pPr>
            <w:r>
              <w:rPr>
                <w:szCs w:val="24"/>
              </w:rPr>
              <w:t>12.7. Vadyba ir administravimas</w:t>
            </w:r>
          </w:p>
        </w:tc>
        <w:tc>
          <w:tcPr>
            <w:tcW w:w="5098" w:type="dxa"/>
            <w:shd w:val="clear" w:color="auto" w:fill="auto"/>
            <w:noWrap/>
            <w:vAlign w:val="center"/>
            <w:hideMark/>
          </w:tcPr>
          <w:p w14:paraId="6986A423" w14:textId="77777777" w:rsidR="00A17914" w:rsidRDefault="004709F5">
            <w:pPr>
              <w:jc w:val="center"/>
              <w:rPr>
                <w:szCs w:val="24"/>
              </w:rPr>
            </w:pPr>
            <w:r>
              <w:rPr>
                <w:szCs w:val="24"/>
              </w:rPr>
              <w:t>0,0055</w:t>
            </w:r>
          </w:p>
        </w:tc>
      </w:tr>
      <w:tr w:rsidR="00081080" w14:paraId="6986A427" w14:textId="77777777" w:rsidTr="00081080">
        <w:trPr>
          <w:trHeight w:val="310"/>
        </w:trPr>
        <w:tc>
          <w:tcPr>
            <w:tcW w:w="5097" w:type="dxa"/>
            <w:shd w:val="clear" w:color="auto" w:fill="auto"/>
            <w:vAlign w:val="center"/>
          </w:tcPr>
          <w:p w14:paraId="6986A425" w14:textId="77777777" w:rsidR="00081080" w:rsidRDefault="00081080">
            <w:pPr>
              <w:rPr>
                <w:szCs w:val="24"/>
              </w:rPr>
            </w:pPr>
            <w:r>
              <w:rPr>
                <w:szCs w:val="24"/>
              </w:rPr>
              <w:t>12.8. Kiti posričiai</w:t>
            </w:r>
          </w:p>
        </w:tc>
        <w:tc>
          <w:tcPr>
            <w:tcW w:w="5098" w:type="dxa"/>
            <w:shd w:val="clear" w:color="auto" w:fill="auto"/>
            <w:vAlign w:val="center"/>
          </w:tcPr>
          <w:p w14:paraId="6986A426" w14:textId="77777777" w:rsidR="00081080" w:rsidRDefault="009844E1">
            <w:pPr>
              <w:jc w:val="center"/>
              <w:rPr>
                <w:szCs w:val="24"/>
              </w:rPr>
            </w:pPr>
            <w:r>
              <w:rPr>
                <w:szCs w:val="24"/>
              </w:rPr>
              <w:t>0,0055</w:t>
            </w:r>
          </w:p>
        </w:tc>
      </w:tr>
      <w:tr w:rsidR="00A17914" w14:paraId="6986A42A" w14:textId="77777777" w:rsidTr="00081080">
        <w:trPr>
          <w:trHeight w:val="310"/>
        </w:trPr>
        <w:tc>
          <w:tcPr>
            <w:tcW w:w="5097" w:type="dxa"/>
            <w:shd w:val="clear" w:color="auto" w:fill="auto"/>
            <w:vAlign w:val="center"/>
            <w:hideMark/>
          </w:tcPr>
          <w:p w14:paraId="6986A428" w14:textId="77777777" w:rsidR="00A17914" w:rsidRDefault="004709F5">
            <w:pPr>
              <w:rPr>
                <w:szCs w:val="24"/>
              </w:rPr>
            </w:pPr>
            <w:r>
              <w:rPr>
                <w:szCs w:val="24"/>
              </w:rPr>
              <w:lastRenderedPageBreak/>
              <w:t>13. Žemės ūkis</w:t>
            </w:r>
          </w:p>
        </w:tc>
        <w:tc>
          <w:tcPr>
            <w:tcW w:w="5098" w:type="dxa"/>
            <w:shd w:val="clear" w:color="auto" w:fill="auto"/>
            <w:vAlign w:val="center"/>
            <w:hideMark/>
          </w:tcPr>
          <w:p w14:paraId="6986A429" w14:textId="77777777" w:rsidR="00A17914" w:rsidRDefault="004709F5">
            <w:pPr>
              <w:jc w:val="center"/>
              <w:rPr>
                <w:szCs w:val="24"/>
              </w:rPr>
            </w:pPr>
            <w:r>
              <w:rPr>
                <w:szCs w:val="24"/>
              </w:rPr>
              <w:t>x</w:t>
            </w:r>
          </w:p>
        </w:tc>
      </w:tr>
      <w:tr w:rsidR="00A17914" w14:paraId="6986A42D" w14:textId="77777777" w:rsidTr="00081080">
        <w:trPr>
          <w:trHeight w:val="310"/>
        </w:trPr>
        <w:tc>
          <w:tcPr>
            <w:tcW w:w="5097" w:type="dxa"/>
            <w:shd w:val="clear" w:color="auto" w:fill="auto"/>
            <w:vAlign w:val="center"/>
            <w:hideMark/>
          </w:tcPr>
          <w:p w14:paraId="6986A42B" w14:textId="77777777" w:rsidR="00A17914" w:rsidRDefault="004709F5">
            <w:pPr>
              <w:rPr>
                <w:szCs w:val="24"/>
              </w:rPr>
            </w:pPr>
            <w:r>
              <w:rPr>
                <w:szCs w:val="24"/>
              </w:rPr>
              <w:t>13.1. Augalininkystė ir gyvulininkystė</w:t>
            </w:r>
          </w:p>
        </w:tc>
        <w:tc>
          <w:tcPr>
            <w:tcW w:w="5098" w:type="dxa"/>
            <w:shd w:val="clear" w:color="auto" w:fill="auto"/>
            <w:noWrap/>
            <w:vAlign w:val="center"/>
            <w:hideMark/>
          </w:tcPr>
          <w:p w14:paraId="6986A42C" w14:textId="77777777" w:rsidR="00A17914" w:rsidRDefault="004709F5">
            <w:pPr>
              <w:jc w:val="center"/>
              <w:rPr>
                <w:szCs w:val="24"/>
              </w:rPr>
            </w:pPr>
            <w:r>
              <w:rPr>
                <w:szCs w:val="24"/>
              </w:rPr>
              <w:t>0,0145</w:t>
            </w:r>
          </w:p>
        </w:tc>
      </w:tr>
      <w:tr w:rsidR="00A17914" w14:paraId="6986A430" w14:textId="77777777" w:rsidTr="00081080">
        <w:trPr>
          <w:trHeight w:val="310"/>
        </w:trPr>
        <w:tc>
          <w:tcPr>
            <w:tcW w:w="5097" w:type="dxa"/>
            <w:shd w:val="clear" w:color="auto" w:fill="auto"/>
            <w:vAlign w:val="center"/>
            <w:hideMark/>
          </w:tcPr>
          <w:p w14:paraId="6986A42E" w14:textId="77777777" w:rsidR="00A17914" w:rsidRDefault="004709F5">
            <w:pPr>
              <w:rPr>
                <w:szCs w:val="24"/>
              </w:rPr>
            </w:pPr>
            <w:r>
              <w:rPr>
                <w:szCs w:val="24"/>
              </w:rPr>
              <w:t>13.2. Sodininkystė</w:t>
            </w:r>
          </w:p>
        </w:tc>
        <w:tc>
          <w:tcPr>
            <w:tcW w:w="5098" w:type="dxa"/>
            <w:shd w:val="clear" w:color="auto" w:fill="auto"/>
            <w:noWrap/>
            <w:vAlign w:val="center"/>
            <w:hideMark/>
          </w:tcPr>
          <w:p w14:paraId="6986A42F" w14:textId="77777777" w:rsidR="00A17914" w:rsidRDefault="004709F5">
            <w:pPr>
              <w:jc w:val="center"/>
              <w:rPr>
                <w:szCs w:val="24"/>
              </w:rPr>
            </w:pPr>
            <w:r>
              <w:rPr>
                <w:szCs w:val="24"/>
              </w:rPr>
              <w:t>0,0145</w:t>
            </w:r>
          </w:p>
        </w:tc>
      </w:tr>
      <w:tr w:rsidR="009844E1" w14:paraId="6986A433" w14:textId="77777777" w:rsidTr="00081080">
        <w:trPr>
          <w:trHeight w:val="310"/>
        </w:trPr>
        <w:tc>
          <w:tcPr>
            <w:tcW w:w="5097" w:type="dxa"/>
            <w:shd w:val="clear" w:color="auto" w:fill="auto"/>
            <w:vAlign w:val="center"/>
          </w:tcPr>
          <w:p w14:paraId="6986A431" w14:textId="77777777" w:rsidR="009844E1" w:rsidRDefault="009844E1" w:rsidP="009844E1">
            <w:pPr>
              <w:rPr>
                <w:szCs w:val="24"/>
              </w:rPr>
            </w:pPr>
            <w:r>
              <w:rPr>
                <w:szCs w:val="24"/>
              </w:rPr>
              <w:t>13.3. Kiti posričiai</w:t>
            </w:r>
          </w:p>
        </w:tc>
        <w:tc>
          <w:tcPr>
            <w:tcW w:w="5098" w:type="dxa"/>
            <w:shd w:val="clear" w:color="auto" w:fill="auto"/>
            <w:vAlign w:val="center"/>
          </w:tcPr>
          <w:p w14:paraId="6986A432" w14:textId="77777777" w:rsidR="009844E1" w:rsidRDefault="009844E1" w:rsidP="009844E1">
            <w:pPr>
              <w:jc w:val="center"/>
              <w:rPr>
                <w:szCs w:val="24"/>
              </w:rPr>
            </w:pPr>
            <w:r>
              <w:rPr>
                <w:szCs w:val="24"/>
              </w:rPr>
              <w:t>0,0145</w:t>
            </w:r>
          </w:p>
        </w:tc>
      </w:tr>
      <w:tr w:rsidR="009844E1" w14:paraId="6986A436" w14:textId="77777777" w:rsidTr="00081080">
        <w:trPr>
          <w:trHeight w:val="310"/>
        </w:trPr>
        <w:tc>
          <w:tcPr>
            <w:tcW w:w="5097" w:type="dxa"/>
            <w:shd w:val="clear" w:color="auto" w:fill="auto"/>
            <w:vAlign w:val="center"/>
            <w:hideMark/>
          </w:tcPr>
          <w:p w14:paraId="6986A434" w14:textId="77777777" w:rsidR="009844E1" w:rsidRDefault="009844E1" w:rsidP="009844E1">
            <w:pPr>
              <w:rPr>
                <w:szCs w:val="24"/>
              </w:rPr>
            </w:pPr>
            <w:r>
              <w:rPr>
                <w:szCs w:val="24"/>
              </w:rPr>
              <w:t>14. Žuvininkystė</w:t>
            </w:r>
          </w:p>
        </w:tc>
        <w:tc>
          <w:tcPr>
            <w:tcW w:w="5098" w:type="dxa"/>
            <w:shd w:val="clear" w:color="auto" w:fill="auto"/>
            <w:vAlign w:val="center"/>
            <w:hideMark/>
          </w:tcPr>
          <w:p w14:paraId="6986A435" w14:textId="77777777" w:rsidR="009844E1" w:rsidRDefault="009844E1" w:rsidP="009844E1">
            <w:pPr>
              <w:jc w:val="center"/>
              <w:rPr>
                <w:szCs w:val="24"/>
              </w:rPr>
            </w:pPr>
            <w:r>
              <w:rPr>
                <w:szCs w:val="24"/>
              </w:rPr>
              <w:t>x</w:t>
            </w:r>
          </w:p>
        </w:tc>
      </w:tr>
      <w:tr w:rsidR="009844E1" w14:paraId="6986A439" w14:textId="77777777" w:rsidTr="00081080">
        <w:trPr>
          <w:trHeight w:val="310"/>
        </w:trPr>
        <w:tc>
          <w:tcPr>
            <w:tcW w:w="5097" w:type="dxa"/>
            <w:shd w:val="clear" w:color="auto" w:fill="auto"/>
            <w:vAlign w:val="center"/>
            <w:hideMark/>
          </w:tcPr>
          <w:p w14:paraId="6986A437" w14:textId="77777777" w:rsidR="009844E1" w:rsidRDefault="009844E1" w:rsidP="009844E1">
            <w:pPr>
              <w:rPr>
                <w:szCs w:val="24"/>
              </w:rPr>
            </w:pPr>
            <w:r>
              <w:rPr>
                <w:szCs w:val="24"/>
              </w:rPr>
              <w:t>14.1. Žuvininkystė</w:t>
            </w:r>
          </w:p>
        </w:tc>
        <w:tc>
          <w:tcPr>
            <w:tcW w:w="5098" w:type="dxa"/>
            <w:shd w:val="clear" w:color="auto" w:fill="auto"/>
            <w:noWrap/>
            <w:vAlign w:val="center"/>
            <w:hideMark/>
          </w:tcPr>
          <w:p w14:paraId="6986A438" w14:textId="77777777" w:rsidR="009844E1" w:rsidRDefault="009844E1" w:rsidP="009844E1">
            <w:pPr>
              <w:jc w:val="center"/>
              <w:rPr>
                <w:szCs w:val="24"/>
              </w:rPr>
            </w:pPr>
            <w:r>
              <w:rPr>
                <w:szCs w:val="24"/>
              </w:rPr>
              <w:t>0,0145</w:t>
            </w:r>
          </w:p>
        </w:tc>
      </w:tr>
      <w:tr w:rsidR="009844E1" w14:paraId="6986A43C" w14:textId="77777777" w:rsidTr="00081080">
        <w:trPr>
          <w:trHeight w:val="310"/>
        </w:trPr>
        <w:tc>
          <w:tcPr>
            <w:tcW w:w="5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6A43A" w14:textId="77777777" w:rsidR="009844E1" w:rsidRDefault="009844E1" w:rsidP="009844E1">
            <w:pPr>
              <w:rPr>
                <w:szCs w:val="24"/>
              </w:rPr>
            </w:pPr>
            <w:r>
              <w:rPr>
                <w:szCs w:val="24"/>
              </w:rPr>
              <w:t>14.2. Kiti posričiai</w:t>
            </w:r>
          </w:p>
        </w:tc>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6A43B" w14:textId="77777777" w:rsidR="009844E1" w:rsidRDefault="009844E1" w:rsidP="009844E1">
            <w:pPr>
              <w:jc w:val="center"/>
              <w:rPr>
                <w:szCs w:val="24"/>
              </w:rPr>
            </w:pPr>
            <w:r>
              <w:rPr>
                <w:szCs w:val="24"/>
              </w:rPr>
              <w:t>0,0145</w:t>
            </w:r>
          </w:p>
        </w:tc>
      </w:tr>
    </w:tbl>
    <w:p w14:paraId="6986A43D" w14:textId="77777777" w:rsidR="00A17914" w:rsidRDefault="00A17914">
      <w:pPr>
        <w:jc w:val="both"/>
        <w:rPr>
          <w:szCs w:val="24"/>
          <w:lang w:eastAsia="lt-LT"/>
        </w:rPr>
      </w:pPr>
    </w:p>
    <w:p w14:paraId="6986A43E" w14:textId="77777777" w:rsidR="00A17914" w:rsidRDefault="004709F5">
      <w:pPr>
        <w:jc w:val="center"/>
      </w:pPr>
      <w:r>
        <w:t>_____________________</w:t>
      </w:r>
    </w:p>
    <w:p w14:paraId="6986A43F" w14:textId="77777777" w:rsidR="00A17914" w:rsidRDefault="00A17914">
      <w:pPr>
        <w:jc w:val="both"/>
        <w:rPr>
          <w:szCs w:val="24"/>
          <w:lang w:eastAsia="lt-LT"/>
        </w:rPr>
      </w:pPr>
    </w:p>
    <w:sectPr w:rsidR="00A17914">
      <w:pgSz w:w="11906" w:h="16838" w:code="9"/>
      <w:pgMar w:top="1134" w:right="567" w:bottom="1134" w:left="1134" w:header="567" w:footer="567" w:gutter="0"/>
      <w:pgNumType w:start="1"/>
      <w:cols w:space="1296"/>
      <w:titlePg/>
      <w:docGrid w:linePitch="326"/>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AD286" w16cid:durableId="20B68F8C"/>
  <w16cid:commentId w16cid:paraId="085CFD8B" w16cid:durableId="20B690A7"/>
  <w16cid:commentId w16cid:paraId="7215DA8E" w16cid:durableId="20B695EA"/>
  <w16cid:commentId w16cid:paraId="67640E32" w16cid:durableId="20B69218"/>
  <w16cid:commentId w16cid:paraId="1B2B08B4" w16cid:durableId="20B69A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6A442" w14:textId="77777777" w:rsidR="00B474CA" w:rsidRDefault="00B474CA">
      <w:pPr>
        <w:rPr>
          <w:lang w:eastAsia="lt-LT"/>
        </w:rPr>
      </w:pPr>
      <w:r>
        <w:rPr>
          <w:lang w:eastAsia="lt-LT"/>
        </w:rPr>
        <w:separator/>
      </w:r>
    </w:p>
  </w:endnote>
  <w:endnote w:type="continuationSeparator" w:id="0">
    <w:p w14:paraId="6986A443" w14:textId="77777777" w:rsidR="00B474CA" w:rsidRDefault="00B474C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A448" w14:textId="77777777" w:rsidR="00A17914" w:rsidRDefault="00A179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A449" w14:textId="77777777" w:rsidR="00A17914" w:rsidRDefault="00A179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A44B" w14:textId="77777777" w:rsidR="00A17914" w:rsidRDefault="00A179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6A440" w14:textId="77777777" w:rsidR="00B474CA" w:rsidRDefault="00B474CA">
      <w:pPr>
        <w:rPr>
          <w:lang w:eastAsia="lt-LT"/>
        </w:rPr>
      </w:pPr>
      <w:r>
        <w:rPr>
          <w:lang w:eastAsia="lt-LT"/>
        </w:rPr>
        <w:separator/>
      </w:r>
    </w:p>
  </w:footnote>
  <w:footnote w:type="continuationSeparator" w:id="0">
    <w:p w14:paraId="6986A441" w14:textId="77777777" w:rsidR="00B474CA" w:rsidRDefault="00B474CA">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A444" w14:textId="77777777" w:rsidR="00A17914" w:rsidRDefault="004709F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986A445" w14:textId="77777777" w:rsidR="00A17914" w:rsidRDefault="00A179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A446" w14:textId="7FD67694" w:rsidR="00A17914" w:rsidRDefault="004709F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A93B1C">
      <w:rPr>
        <w:noProof/>
        <w:lang w:eastAsia="lt-LT"/>
      </w:rPr>
      <w:t>3</w:t>
    </w:r>
    <w:r>
      <w:rPr>
        <w:lang w:eastAsia="lt-LT"/>
      </w:rPr>
      <w:fldChar w:fldCharType="end"/>
    </w:r>
  </w:p>
  <w:p w14:paraId="6986A447" w14:textId="77777777" w:rsidR="00A17914" w:rsidRDefault="00A179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A44A" w14:textId="77777777" w:rsidR="00A17914" w:rsidRDefault="00A1791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2173"/>
    <w:rsid w:val="0004252B"/>
    <w:rsid w:val="00081080"/>
    <w:rsid w:val="000B2D04"/>
    <w:rsid w:val="001E3D34"/>
    <w:rsid w:val="00246E45"/>
    <w:rsid w:val="00274352"/>
    <w:rsid w:val="00327E99"/>
    <w:rsid w:val="003C47E8"/>
    <w:rsid w:val="004709F5"/>
    <w:rsid w:val="004C66E7"/>
    <w:rsid w:val="00582836"/>
    <w:rsid w:val="00663D2F"/>
    <w:rsid w:val="006833D4"/>
    <w:rsid w:val="00693D42"/>
    <w:rsid w:val="00705352"/>
    <w:rsid w:val="007356CC"/>
    <w:rsid w:val="00750414"/>
    <w:rsid w:val="008545D4"/>
    <w:rsid w:val="008768F0"/>
    <w:rsid w:val="00891F51"/>
    <w:rsid w:val="008B5554"/>
    <w:rsid w:val="009844E1"/>
    <w:rsid w:val="009C600E"/>
    <w:rsid w:val="009F3D82"/>
    <w:rsid w:val="00A17914"/>
    <w:rsid w:val="00A36CB5"/>
    <w:rsid w:val="00A93B1C"/>
    <w:rsid w:val="00AD4DD6"/>
    <w:rsid w:val="00AF0F39"/>
    <w:rsid w:val="00B474CA"/>
    <w:rsid w:val="00BB6E3B"/>
    <w:rsid w:val="00CC3DDC"/>
    <w:rsid w:val="00CD0EE1"/>
    <w:rsid w:val="00D10895"/>
    <w:rsid w:val="00D57816"/>
    <w:rsid w:val="00DE59A6"/>
    <w:rsid w:val="00E50CDF"/>
    <w:rsid w:val="00E869AF"/>
    <w:rsid w:val="00EC4BE7"/>
    <w:rsid w:val="00ED79B6"/>
    <w:rsid w:val="00F2189C"/>
    <w:rsid w:val="00F91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86A2F9"/>
  <w15:docId w15:val="{8B9782E6-C150-4A67-97F6-825E3518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E3D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E3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1234865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6246373">
      <w:bodyDiv w:val="1"/>
      <w:marLeft w:val="0"/>
      <w:marRight w:val="0"/>
      <w:marTop w:val="0"/>
      <w:marBottom w:val="0"/>
      <w:divBdr>
        <w:top w:val="none" w:sz="0" w:space="0" w:color="auto"/>
        <w:left w:val="none" w:sz="0" w:space="0" w:color="auto"/>
        <w:bottom w:val="none" w:sz="0" w:space="0" w:color="auto"/>
        <w:right w:val="none" w:sz="0" w:space="0" w:color="auto"/>
      </w:divBdr>
    </w:div>
    <w:div w:id="152524662">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5962170">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4863188">
      <w:bodyDiv w:val="1"/>
      <w:marLeft w:val="0"/>
      <w:marRight w:val="0"/>
      <w:marTop w:val="0"/>
      <w:marBottom w:val="0"/>
      <w:divBdr>
        <w:top w:val="none" w:sz="0" w:space="0" w:color="auto"/>
        <w:left w:val="none" w:sz="0" w:space="0" w:color="auto"/>
        <w:bottom w:val="none" w:sz="0" w:space="0" w:color="auto"/>
        <w:right w:val="none" w:sz="0" w:space="0" w:color="auto"/>
      </w:divBdr>
    </w:div>
    <w:div w:id="343754193">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24624690">
      <w:bodyDiv w:val="1"/>
      <w:marLeft w:val="0"/>
      <w:marRight w:val="0"/>
      <w:marTop w:val="0"/>
      <w:marBottom w:val="0"/>
      <w:divBdr>
        <w:top w:val="none" w:sz="0" w:space="0" w:color="auto"/>
        <w:left w:val="none" w:sz="0" w:space="0" w:color="auto"/>
        <w:bottom w:val="none" w:sz="0" w:space="0" w:color="auto"/>
        <w:right w:val="none" w:sz="0" w:space="0" w:color="auto"/>
      </w:divBdr>
    </w:div>
    <w:div w:id="868643358">
      <w:bodyDiv w:val="1"/>
      <w:marLeft w:val="0"/>
      <w:marRight w:val="0"/>
      <w:marTop w:val="0"/>
      <w:marBottom w:val="0"/>
      <w:divBdr>
        <w:top w:val="none" w:sz="0" w:space="0" w:color="auto"/>
        <w:left w:val="none" w:sz="0" w:space="0" w:color="auto"/>
        <w:bottom w:val="none" w:sz="0" w:space="0" w:color="auto"/>
        <w:right w:val="none" w:sz="0" w:space="0" w:color="auto"/>
      </w:divBdr>
    </w:div>
    <w:div w:id="896892922">
      <w:bodyDiv w:val="1"/>
      <w:marLeft w:val="0"/>
      <w:marRight w:val="0"/>
      <w:marTop w:val="0"/>
      <w:marBottom w:val="0"/>
      <w:divBdr>
        <w:top w:val="none" w:sz="0" w:space="0" w:color="auto"/>
        <w:left w:val="none" w:sz="0" w:space="0" w:color="auto"/>
        <w:bottom w:val="none" w:sz="0" w:space="0" w:color="auto"/>
        <w:right w:val="none" w:sz="0" w:space="0" w:color="auto"/>
      </w:divBdr>
    </w:div>
    <w:div w:id="941885190">
      <w:bodyDiv w:val="1"/>
      <w:marLeft w:val="0"/>
      <w:marRight w:val="0"/>
      <w:marTop w:val="0"/>
      <w:marBottom w:val="0"/>
      <w:divBdr>
        <w:top w:val="none" w:sz="0" w:space="0" w:color="auto"/>
        <w:left w:val="none" w:sz="0" w:space="0" w:color="auto"/>
        <w:bottom w:val="none" w:sz="0" w:space="0" w:color="auto"/>
        <w:right w:val="none" w:sz="0" w:space="0" w:color="auto"/>
      </w:divBdr>
    </w:div>
    <w:div w:id="945043352">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077616">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0764625">
      <w:bodyDiv w:val="1"/>
      <w:marLeft w:val="0"/>
      <w:marRight w:val="0"/>
      <w:marTop w:val="0"/>
      <w:marBottom w:val="0"/>
      <w:divBdr>
        <w:top w:val="none" w:sz="0" w:space="0" w:color="auto"/>
        <w:left w:val="none" w:sz="0" w:space="0" w:color="auto"/>
        <w:bottom w:val="none" w:sz="0" w:space="0" w:color="auto"/>
        <w:right w:val="none" w:sz="0" w:space="0" w:color="auto"/>
      </w:divBdr>
    </w:div>
    <w:div w:id="132620571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018038">
      <w:bodyDiv w:val="1"/>
      <w:marLeft w:val="0"/>
      <w:marRight w:val="0"/>
      <w:marTop w:val="0"/>
      <w:marBottom w:val="0"/>
      <w:divBdr>
        <w:top w:val="none" w:sz="0" w:space="0" w:color="auto"/>
        <w:left w:val="none" w:sz="0" w:space="0" w:color="auto"/>
        <w:bottom w:val="none" w:sz="0" w:space="0" w:color="auto"/>
        <w:right w:val="none" w:sz="0" w:space="0" w:color="auto"/>
      </w:divBdr>
    </w:div>
    <w:div w:id="1417434936">
      <w:bodyDiv w:val="1"/>
      <w:marLeft w:val="0"/>
      <w:marRight w:val="0"/>
      <w:marTop w:val="0"/>
      <w:marBottom w:val="0"/>
      <w:divBdr>
        <w:top w:val="none" w:sz="0" w:space="0" w:color="auto"/>
        <w:left w:val="none" w:sz="0" w:space="0" w:color="auto"/>
        <w:bottom w:val="none" w:sz="0" w:space="0" w:color="auto"/>
        <w:right w:val="none" w:sz="0" w:space="0" w:color="auto"/>
      </w:divBdr>
      <w:divsChild>
        <w:div w:id="457837563">
          <w:marLeft w:val="0"/>
          <w:marRight w:val="0"/>
          <w:marTop w:val="0"/>
          <w:marBottom w:val="0"/>
          <w:divBdr>
            <w:top w:val="none" w:sz="0" w:space="0" w:color="auto"/>
            <w:left w:val="none" w:sz="0" w:space="0" w:color="auto"/>
            <w:bottom w:val="none" w:sz="0" w:space="0" w:color="auto"/>
            <w:right w:val="none" w:sz="0" w:space="0" w:color="auto"/>
          </w:divBdr>
        </w:div>
        <w:div w:id="620112866">
          <w:marLeft w:val="0"/>
          <w:marRight w:val="0"/>
          <w:marTop w:val="0"/>
          <w:marBottom w:val="0"/>
          <w:divBdr>
            <w:top w:val="none" w:sz="0" w:space="0" w:color="auto"/>
            <w:left w:val="none" w:sz="0" w:space="0" w:color="auto"/>
            <w:bottom w:val="none" w:sz="0" w:space="0" w:color="auto"/>
            <w:right w:val="none" w:sz="0" w:space="0" w:color="auto"/>
          </w:divBdr>
        </w:div>
        <w:div w:id="101656217">
          <w:marLeft w:val="0"/>
          <w:marRight w:val="0"/>
          <w:marTop w:val="0"/>
          <w:marBottom w:val="0"/>
          <w:divBdr>
            <w:top w:val="none" w:sz="0" w:space="0" w:color="auto"/>
            <w:left w:val="none" w:sz="0" w:space="0" w:color="auto"/>
            <w:bottom w:val="none" w:sz="0" w:space="0" w:color="auto"/>
            <w:right w:val="none" w:sz="0" w:space="0" w:color="auto"/>
          </w:divBdr>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202964">
      <w:bodyDiv w:val="1"/>
      <w:marLeft w:val="0"/>
      <w:marRight w:val="0"/>
      <w:marTop w:val="0"/>
      <w:marBottom w:val="0"/>
      <w:divBdr>
        <w:top w:val="none" w:sz="0" w:space="0" w:color="auto"/>
        <w:left w:val="none" w:sz="0" w:space="0" w:color="auto"/>
        <w:bottom w:val="none" w:sz="0" w:space="0" w:color="auto"/>
        <w:right w:val="none" w:sz="0" w:space="0" w:color="auto"/>
      </w:divBdr>
    </w:div>
    <w:div w:id="1593976742">
      <w:bodyDiv w:val="1"/>
      <w:marLeft w:val="0"/>
      <w:marRight w:val="0"/>
      <w:marTop w:val="0"/>
      <w:marBottom w:val="0"/>
      <w:divBdr>
        <w:top w:val="none" w:sz="0" w:space="0" w:color="auto"/>
        <w:left w:val="none" w:sz="0" w:space="0" w:color="auto"/>
        <w:bottom w:val="none" w:sz="0" w:space="0" w:color="auto"/>
        <w:right w:val="none" w:sz="0" w:space="0" w:color="auto"/>
      </w:divBdr>
      <w:divsChild>
        <w:div w:id="1188327693">
          <w:marLeft w:val="0"/>
          <w:marRight w:val="0"/>
          <w:marTop w:val="0"/>
          <w:marBottom w:val="0"/>
          <w:divBdr>
            <w:top w:val="none" w:sz="0" w:space="0" w:color="auto"/>
            <w:left w:val="none" w:sz="0" w:space="0" w:color="auto"/>
            <w:bottom w:val="none" w:sz="0" w:space="0" w:color="auto"/>
            <w:right w:val="none" w:sz="0" w:space="0" w:color="auto"/>
          </w:divBdr>
        </w:div>
        <w:div w:id="993532438">
          <w:marLeft w:val="0"/>
          <w:marRight w:val="0"/>
          <w:marTop w:val="0"/>
          <w:marBottom w:val="0"/>
          <w:divBdr>
            <w:top w:val="none" w:sz="0" w:space="0" w:color="auto"/>
            <w:left w:val="none" w:sz="0" w:space="0" w:color="auto"/>
            <w:bottom w:val="none" w:sz="0" w:space="0" w:color="auto"/>
            <w:right w:val="none" w:sz="0" w:space="0" w:color="auto"/>
          </w:divBdr>
        </w:div>
      </w:divsChild>
    </w:div>
    <w:div w:id="1623606291">
      <w:bodyDiv w:val="1"/>
      <w:marLeft w:val="0"/>
      <w:marRight w:val="0"/>
      <w:marTop w:val="0"/>
      <w:marBottom w:val="0"/>
      <w:divBdr>
        <w:top w:val="none" w:sz="0" w:space="0" w:color="auto"/>
        <w:left w:val="none" w:sz="0" w:space="0" w:color="auto"/>
        <w:bottom w:val="none" w:sz="0" w:space="0" w:color="auto"/>
        <w:right w:val="none" w:sz="0" w:space="0" w:color="auto"/>
      </w:divBdr>
    </w:div>
    <w:div w:id="1805193728">
      <w:bodyDiv w:val="1"/>
      <w:marLeft w:val="0"/>
      <w:marRight w:val="0"/>
      <w:marTop w:val="0"/>
      <w:marBottom w:val="0"/>
      <w:divBdr>
        <w:top w:val="none" w:sz="0" w:space="0" w:color="auto"/>
        <w:left w:val="none" w:sz="0" w:space="0" w:color="auto"/>
        <w:bottom w:val="none" w:sz="0" w:space="0" w:color="auto"/>
        <w:right w:val="none" w:sz="0" w:space="0" w:color="auto"/>
      </w:divBdr>
      <w:divsChild>
        <w:div w:id="1826703411">
          <w:marLeft w:val="0"/>
          <w:marRight w:val="0"/>
          <w:marTop w:val="0"/>
          <w:marBottom w:val="0"/>
          <w:divBdr>
            <w:top w:val="none" w:sz="0" w:space="0" w:color="auto"/>
            <w:left w:val="none" w:sz="0" w:space="0" w:color="auto"/>
            <w:bottom w:val="none" w:sz="0" w:space="0" w:color="auto"/>
            <w:right w:val="none" w:sz="0" w:space="0" w:color="auto"/>
          </w:divBdr>
        </w:div>
      </w:divsChild>
    </w:div>
    <w:div w:id="19289961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46443195">
      <w:bodyDiv w:val="1"/>
      <w:marLeft w:val="0"/>
      <w:marRight w:val="0"/>
      <w:marTop w:val="0"/>
      <w:marBottom w:val="0"/>
      <w:divBdr>
        <w:top w:val="none" w:sz="0" w:space="0" w:color="auto"/>
        <w:left w:val="none" w:sz="0" w:space="0" w:color="auto"/>
        <w:bottom w:val="none" w:sz="0" w:space="0" w:color="auto"/>
        <w:right w:val="none" w:sz="0" w:space="0" w:color="auto"/>
      </w:divBdr>
    </w:div>
    <w:div w:id="2074768027">
      <w:bodyDiv w:val="1"/>
      <w:marLeft w:val="0"/>
      <w:marRight w:val="0"/>
      <w:marTop w:val="0"/>
      <w:marBottom w:val="0"/>
      <w:divBdr>
        <w:top w:val="none" w:sz="0" w:space="0" w:color="auto"/>
        <w:left w:val="none" w:sz="0" w:space="0" w:color="auto"/>
        <w:bottom w:val="none" w:sz="0" w:space="0" w:color="auto"/>
        <w:right w:val="none" w:sz="0" w:space="0" w:color="auto"/>
      </w:divBdr>
    </w:div>
    <w:div w:id="21463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20"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FDC2911-06F2-4AFA-BC26-9D92770E092A}">
  <ds:schemaRefs>
    <ds:schemaRef ds:uri="http://schemas.microsoft.com/sharepoint/v3/contenttype/forms"/>
  </ds:schemaRefs>
</ds:datastoreItem>
</file>

<file path=customXml/itemProps2.xml><?xml version="1.0" encoding="utf-8"?>
<ds:datastoreItem xmlns:ds="http://schemas.openxmlformats.org/officeDocument/2006/customXml" ds:itemID="{457C4AD0-4239-4F08-9CD7-0090DCB60ECF}"/>
</file>

<file path=customXml/itemProps3.xml><?xml version="1.0" encoding="utf-8"?>
<ds:datastoreItem xmlns:ds="http://schemas.openxmlformats.org/officeDocument/2006/customXml" ds:itemID="{78D2CACE-0460-45A0-848C-34A9FD36593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EF0C73E-B43E-4320-8EAD-97F0D874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10278</Words>
  <Characters>5859</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3c73e09f-7120-41e3-8937-ffdc4627cf1a</vt:lpstr>
      <vt:lpstr>3c73e09f-7120-41e3-8937-ffdc4627cf1a</vt:lpstr>
    </vt:vector>
  </TitlesOfParts>
  <Company>LRVK</Company>
  <LinksUpToDate>false</LinksUpToDate>
  <CharactersWithSpaces>16105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2019-08-20T11:15:00Z</dcterms:created>
  <dc:creator>lrvk</dc:creator>
  <cp:lastModifiedBy>Naudžiuvienė Vitalija</cp:lastModifiedBy>
  <cp:lastPrinted>2019-08-20T05:56:00Z</cp:lastPrinted>
  <dcterms:modified xsi:type="dcterms:W3CDTF">2019-08-20T12:06:00Z</dcterms:modified>
  <cp:revision>3</cp:revision>
  <dc:title>ac1cab4e-4671-4cb5-a397-d6a36201cfea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