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019F9" w14:textId="370BAE2B" w:rsidR="0020099D" w:rsidRDefault="000E1D5E" w:rsidP="000E1D5E">
      <w:pPr>
        <w:pStyle w:val="Antrat2"/>
        <w:tabs>
          <w:tab w:val="left" w:pos="8931"/>
        </w:tabs>
        <w:ind w:firstLine="0"/>
        <w:jc w:val="center"/>
        <w:rPr>
          <w:bCs/>
          <w:color w:val="000000"/>
          <w:sz w:val="24"/>
          <w:szCs w:val="24"/>
          <w:lang w:eastAsia="lt-LT"/>
        </w:rPr>
      </w:pPr>
      <w:r w:rsidRPr="000E1D5E">
        <w:rPr>
          <w:sz w:val="24"/>
          <w:szCs w:val="24"/>
        </w:rPr>
        <w:t>DERINIMO PAŽYMA DĖL LIETUVOS RESPUBLIKOS SAUGAUS EISMO AUTOMOBILIŲ KELIAIS ĮSTATYMO NR. VIII-2043 2</w:t>
      </w:r>
      <w:r w:rsidR="00EA63EF">
        <w:rPr>
          <w:sz w:val="24"/>
          <w:szCs w:val="24"/>
        </w:rPr>
        <w:t>0 IR 27</w:t>
      </w:r>
      <w:r w:rsidRPr="000E1D5E">
        <w:rPr>
          <w:sz w:val="24"/>
          <w:szCs w:val="24"/>
        </w:rPr>
        <w:t xml:space="preserve"> STRAIPSNIŲ PAKEITIMO ĮSTATYMO PROJEKTO</w:t>
      </w:r>
      <w:r>
        <w:rPr>
          <w:sz w:val="24"/>
          <w:szCs w:val="24"/>
        </w:rPr>
        <w:t xml:space="preserve"> </w:t>
      </w:r>
      <w:r w:rsidR="008967F6">
        <w:rPr>
          <w:sz w:val="24"/>
          <w:szCs w:val="24"/>
        </w:rPr>
        <w:t>(</w:t>
      </w:r>
      <w:r w:rsidR="00F056F5">
        <w:rPr>
          <w:sz w:val="24"/>
          <w:szCs w:val="24"/>
        </w:rPr>
        <w:t>TOLIAU – PROJEKTAS</w:t>
      </w:r>
      <w:r w:rsidR="008967F6">
        <w:rPr>
          <w:sz w:val="24"/>
          <w:szCs w:val="24"/>
        </w:rPr>
        <w:t>)</w:t>
      </w:r>
    </w:p>
    <w:p w14:paraId="2280FA69" w14:textId="77777777" w:rsidR="000E1D5E" w:rsidRPr="000E1D5E" w:rsidRDefault="000E1D5E" w:rsidP="000E1D5E">
      <w:pPr>
        <w:rPr>
          <w:lang w:eastAsia="lt-LT"/>
        </w:rPr>
      </w:pPr>
    </w:p>
    <w:tbl>
      <w:tblPr>
        <w:tblStyle w:val="Lentelstinklelis"/>
        <w:tblW w:w="15168" w:type="dxa"/>
        <w:tblInd w:w="-147" w:type="dxa"/>
        <w:tblLayout w:type="fixed"/>
        <w:tblLook w:val="04A0" w:firstRow="1" w:lastRow="0" w:firstColumn="1" w:lastColumn="0" w:noHBand="0" w:noVBand="1"/>
      </w:tblPr>
      <w:tblGrid>
        <w:gridCol w:w="1702"/>
        <w:gridCol w:w="7087"/>
        <w:gridCol w:w="6379"/>
      </w:tblGrid>
      <w:tr w:rsidR="00D32280" w:rsidRPr="00AA2663" w14:paraId="230102DE" w14:textId="77777777" w:rsidTr="0079027E">
        <w:trPr>
          <w:trHeight w:val="1015"/>
        </w:trPr>
        <w:tc>
          <w:tcPr>
            <w:tcW w:w="1702" w:type="dxa"/>
            <w:vAlign w:val="center"/>
          </w:tcPr>
          <w:p w14:paraId="69510E11" w14:textId="465CD443" w:rsidR="002E2DE6" w:rsidRPr="00AA2663" w:rsidRDefault="002E2DE6" w:rsidP="0067247D">
            <w:pPr>
              <w:rPr>
                <w:b/>
                <w:szCs w:val="24"/>
              </w:rPr>
            </w:pPr>
            <w:r w:rsidRPr="00AA2663">
              <w:rPr>
                <w:b/>
                <w:szCs w:val="24"/>
              </w:rPr>
              <w:t>Institucijos pavadinimas (rašto data ir Nr.)</w:t>
            </w:r>
          </w:p>
        </w:tc>
        <w:tc>
          <w:tcPr>
            <w:tcW w:w="7087" w:type="dxa"/>
            <w:vAlign w:val="center"/>
          </w:tcPr>
          <w:p w14:paraId="65958D3F" w14:textId="77777777" w:rsidR="002E2DE6" w:rsidRPr="00AA2663" w:rsidRDefault="002E2DE6" w:rsidP="0067247D">
            <w:pPr>
              <w:jc w:val="center"/>
              <w:rPr>
                <w:b/>
                <w:szCs w:val="24"/>
              </w:rPr>
            </w:pPr>
            <w:r w:rsidRPr="00AA2663">
              <w:rPr>
                <w:b/>
                <w:szCs w:val="24"/>
              </w:rPr>
              <w:t>Pastabos ir pasiūlymai</w:t>
            </w:r>
          </w:p>
        </w:tc>
        <w:tc>
          <w:tcPr>
            <w:tcW w:w="6379" w:type="dxa"/>
            <w:vAlign w:val="center"/>
          </w:tcPr>
          <w:p w14:paraId="35589962" w14:textId="77777777" w:rsidR="002E2DE6" w:rsidRPr="00AA2663" w:rsidRDefault="002E2DE6" w:rsidP="0067247D">
            <w:pPr>
              <w:jc w:val="center"/>
              <w:rPr>
                <w:b/>
                <w:szCs w:val="24"/>
              </w:rPr>
            </w:pPr>
            <w:r w:rsidRPr="00AA2663">
              <w:rPr>
                <w:b/>
                <w:szCs w:val="24"/>
              </w:rPr>
              <w:t>Paaiškinimai dėl pastabų</w:t>
            </w:r>
          </w:p>
        </w:tc>
      </w:tr>
      <w:tr w:rsidR="00EA63EF" w:rsidRPr="00AA2663" w14:paraId="75B41B77" w14:textId="77777777" w:rsidTr="0079027E">
        <w:tc>
          <w:tcPr>
            <w:tcW w:w="1702" w:type="dxa"/>
          </w:tcPr>
          <w:p w14:paraId="4F1D3A05" w14:textId="6CC42A56" w:rsidR="00EA63EF" w:rsidRPr="00AA2663" w:rsidRDefault="00381720" w:rsidP="00EA63EF">
            <w:pPr>
              <w:pStyle w:val="Preformatted"/>
              <w:rPr>
                <w:rFonts w:ascii="Times New Roman" w:hAnsi="Times New Roman"/>
                <w:sz w:val="24"/>
                <w:szCs w:val="24"/>
              </w:rPr>
            </w:pPr>
            <w:r>
              <w:rPr>
                <w:rFonts w:ascii="Times New Roman" w:hAnsi="Times New Roman"/>
                <w:sz w:val="24"/>
                <w:szCs w:val="24"/>
              </w:rPr>
              <w:t>Lietuvos Respublikos e</w:t>
            </w:r>
            <w:r w:rsidR="00EA63EF" w:rsidRPr="00AA2663">
              <w:rPr>
                <w:rFonts w:ascii="Times New Roman" w:hAnsi="Times New Roman"/>
                <w:sz w:val="24"/>
                <w:szCs w:val="24"/>
              </w:rPr>
              <w:t xml:space="preserve">konomikos ir inovacijų ministerija </w:t>
            </w:r>
          </w:p>
          <w:p w14:paraId="5BB82AE5" w14:textId="49EC7394" w:rsidR="00EA63EF" w:rsidRPr="00AA2663" w:rsidRDefault="00EA63EF" w:rsidP="00EA63EF">
            <w:pPr>
              <w:pStyle w:val="Bodytext20"/>
              <w:shd w:val="clear" w:color="auto" w:fill="auto"/>
              <w:tabs>
                <w:tab w:val="left" w:pos="740"/>
              </w:tabs>
              <w:spacing w:before="0" w:after="0" w:line="240" w:lineRule="auto"/>
              <w:jc w:val="left"/>
            </w:pPr>
            <w:r w:rsidRPr="00AA2663">
              <w:t>(2019-09-19 raštas Nr. 3-3507)</w:t>
            </w:r>
          </w:p>
          <w:p w14:paraId="24D33765" w14:textId="77777777" w:rsidR="00EA63EF" w:rsidRPr="00AA2663" w:rsidRDefault="00EA63EF" w:rsidP="0067247D">
            <w:pPr>
              <w:pStyle w:val="Bodytext20"/>
              <w:shd w:val="clear" w:color="auto" w:fill="auto"/>
              <w:tabs>
                <w:tab w:val="left" w:pos="740"/>
              </w:tabs>
              <w:spacing w:before="0" w:after="0" w:line="240" w:lineRule="auto"/>
            </w:pPr>
          </w:p>
        </w:tc>
        <w:tc>
          <w:tcPr>
            <w:tcW w:w="7087" w:type="dxa"/>
          </w:tcPr>
          <w:p w14:paraId="329850FB" w14:textId="77777777" w:rsidR="00EA63EF" w:rsidRPr="00AA2663" w:rsidRDefault="00EA63EF" w:rsidP="00AA2663">
            <w:pPr>
              <w:pStyle w:val="Betarp"/>
              <w:tabs>
                <w:tab w:val="left" w:pos="317"/>
              </w:tabs>
              <w:jc w:val="both"/>
              <w:rPr>
                <w:szCs w:val="24"/>
                <w:lang w:val="lt-LT"/>
              </w:rPr>
            </w:pPr>
            <w:r w:rsidRPr="001C4B0C">
              <w:rPr>
                <w:szCs w:val="24"/>
                <w:lang w:val="lt-LT"/>
              </w:rPr>
              <w:t xml:space="preserve">1. </w:t>
            </w:r>
            <w:r w:rsidRPr="00AA2663">
              <w:rPr>
                <w:szCs w:val="24"/>
                <w:lang w:val="lt-LT"/>
              </w:rPr>
              <w:t>Projektu yra nustatomos prekių (Lietuvos Respublikoje parduodamų arba įsigyjamų transporto priemonių) pardavimo sąlygos (privalomas transporto priemonės pirkimo–pardavimo sandorio deklaravimas Lietuvos Respublikos kelių transporto priemonių registro tvarkytojui). Įvertinus tai, kad šias prekes Lietuvos Respublikoje galės parduoti ir (ar) įsigyti ir ES valstybių narių subjektai, Projektas turėtų būti vertinamas kaip nacionalinė techninė taisyklė, turinti įtakos prekių judėjimui ES vidaus rinkoje.</w:t>
            </w:r>
          </w:p>
          <w:p w14:paraId="18677890" w14:textId="2864B765" w:rsidR="00EA63EF" w:rsidRPr="00AA2663" w:rsidRDefault="00EA63EF" w:rsidP="00AA2663">
            <w:pPr>
              <w:pStyle w:val="Betarp"/>
              <w:jc w:val="both"/>
              <w:rPr>
                <w:szCs w:val="24"/>
                <w:lang w:val="lt-LT"/>
              </w:rPr>
            </w:pPr>
            <w:r w:rsidRPr="00AA2663">
              <w:rPr>
                <w:szCs w:val="24"/>
                <w:lang w:val="lt-LT"/>
              </w:rPr>
              <w:t>Primintina, kad Informacijos apie techninius reglamentus ir atitikties įvertinimo procedūras teikimo taisyklės, patvirtintos Lietuvos Respublikos Vyriausybės 1999 m. gegužės 20 d. nutarimu Nr. 617 „Dėl Informacijos apie techninius reglamentus ir atitikties įvertinimo procedūras teikimo taisyklių patvirtinimo“ (toliau – Taisyklės), nustato techninių taisyklių projektų notifikavimo Europos Komisijai ir kitoms ES valstybėms narėms tvarką. Pažymėtina, kad notifikavimas nėra savitikslis: ES vidaus rinkos kontekste ši procedūra suteikia galimybę valstybei narei pasitikrinti, ar jos planuojamas priimti teisės akto projektas yra suderinamas su ES teise; skaidrių, viešų, patrauklių ir iš anksto numatomų verslo sąlygų kontekste ši procedūra tampa pagrindu sklandžiam kitų ES valstybių narių ūkio subjektų pasirengimui prisitaikyti prie pasikeitusių atitinkamos ES valstybės narės nacionalinių reikalavimų.</w:t>
            </w:r>
          </w:p>
          <w:p w14:paraId="5600F43C" w14:textId="503404F0" w:rsidR="00EA63EF" w:rsidRPr="001C4B0C" w:rsidRDefault="00EA63EF" w:rsidP="00AA2663">
            <w:pPr>
              <w:pStyle w:val="Betarp"/>
              <w:jc w:val="both"/>
              <w:rPr>
                <w:szCs w:val="24"/>
                <w:lang w:val="lt-LT"/>
              </w:rPr>
            </w:pPr>
            <w:r w:rsidRPr="00AA2663">
              <w:rPr>
                <w:szCs w:val="24"/>
                <w:lang w:val="lt-LT"/>
              </w:rPr>
              <w:t>Atsižvelgiant į tai, kas išdėstyta, ir siekiant didesnio teisinio tikrumo ir skaidrumo ūkio subjektams, norėsiantiems Lietuvoje parduoti ar įsigyti transporto priemonę, apie Projektą turėtų būti pranešta Europos Komisijai ir kitoms ES valstybėms narėms Taisyklių nustatyta tvarka ir terminais.</w:t>
            </w:r>
          </w:p>
        </w:tc>
        <w:tc>
          <w:tcPr>
            <w:tcW w:w="6379" w:type="dxa"/>
          </w:tcPr>
          <w:p w14:paraId="6A04CCA3" w14:textId="77777777" w:rsidR="00EA63EF" w:rsidRDefault="001A2FB3" w:rsidP="001A2FB3">
            <w:pPr>
              <w:tabs>
                <w:tab w:val="left" w:pos="1134"/>
              </w:tabs>
              <w:suppressAutoHyphens/>
              <w:autoSpaceDN w:val="0"/>
              <w:jc w:val="both"/>
              <w:textAlignment w:val="baseline"/>
              <w:rPr>
                <w:b/>
                <w:szCs w:val="24"/>
              </w:rPr>
            </w:pPr>
            <w:r>
              <w:rPr>
                <w:b/>
                <w:szCs w:val="24"/>
              </w:rPr>
              <w:t>Neatsižvelgta.</w:t>
            </w:r>
          </w:p>
          <w:p w14:paraId="317353B3" w14:textId="71668E84" w:rsidR="001A2FB3" w:rsidRPr="001A2FB3" w:rsidRDefault="00445387" w:rsidP="003B55BB">
            <w:pPr>
              <w:tabs>
                <w:tab w:val="left" w:pos="1134"/>
              </w:tabs>
              <w:suppressAutoHyphens/>
              <w:autoSpaceDN w:val="0"/>
              <w:jc w:val="both"/>
              <w:textAlignment w:val="baseline"/>
              <w:rPr>
                <w:rFonts w:eastAsia="Calibri"/>
                <w:szCs w:val="24"/>
              </w:rPr>
            </w:pPr>
            <w:r>
              <w:rPr>
                <w:szCs w:val="24"/>
              </w:rPr>
              <w:t>Projektu s</w:t>
            </w:r>
            <w:r w:rsidR="001A2FB3" w:rsidRPr="001A2FB3">
              <w:rPr>
                <w:rFonts w:eastAsia="Calibri"/>
                <w:szCs w:val="24"/>
              </w:rPr>
              <w:t>iūlomas įteisin</w:t>
            </w:r>
            <w:r w:rsidR="003B55BB">
              <w:rPr>
                <w:rFonts w:eastAsia="Calibri"/>
                <w:szCs w:val="24"/>
              </w:rPr>
              <w:t>ti pranešimas apie parduodamą transporto priemonę</w:t>
            </w:r>
            <w:r w:rsidR="001A2FB3" w:rsidRPr="001A2FB3">
              <w:rPr>
                <w:rFonts w:eastAsia="Calibri"/>
                <w:szCs w:val="24"/>
              </w:rPr>
              <w:t xml:space="preserve"> bus privalomas iki sandorio</w:t>
            </w:r>
            <w:r w:rsidR="00800A7A">
              <w:rPr>
                <w:rFonts w:eastAsia="Calibri"/>
                <w:szCs w:val="24"/>
              </w:rPr>
              <w:t xml:space="preserve"> sudarymo</w:t>
            </w:r>
            <w:r w:rsidR="001A2FB3" w:rsidRPr="001A2FB3">
              <w:rPr>
                <w:rFonts w:eastAsia="Calibri"/>
                <w:szCs w:val="24"/>
              </w:rPr>
              <w:t xml:space="preserve">, o </w:t>
            </w:r>
            <w:r>
              <w:rPr>
                <w:rFonts w:eastAsia="Calibri"/>
                <w:szCs w:val="24"/>
              </w:rPr>
              <w:t>šiuo pranešimu nesiekiama reguliuoti pat</w:t>
            </w:r>
            <w:r w:rsidR="004419C2">
              <w:rPr>
                <w:rFonts w:eastAsia="Calibri"/>
                <w:szCs w:val="24"/>
              </w:rPr>
              <w:t>ies sandorio</w:t>
            </w:r>
            <w:r>
              <w:rPr>
                <w:rFonts w:eastAsia="Calibri"/>
                <w:szCs w:val="24"/>
              </w:rPr>
              <w:t>. T</w:t>
            </w:r>
            <w:r w:rsidR="001A2FB3" w:rsidRPr="001A2FB3">
              <w:rPr>
                <w:rFonts w:eastAsia="Calibri"/>
                <w:szCs w:val="24"/>
              </w:rPr>
              <w:t>ai</w:t>
            </w:r>
            <w:r>
              <w:rPr>
                <w:rFonts w:eastAsia="Calibri"/>
                <w:szCs w:val="24"/>
              </w:rPr>
              <w:t xml:space="preserve"> </w:t>
            </w:r>
            <w:r w:rsidR="001A2FB3" w:rsidRPr="001A2FB3">
              <w:rPr>
                <w:rFonts w:eastAsia="Calibri"/>
                <w:szCs w:val="24"/>
              </w:rPr>
              <w:t>netur</w:t>
            </w:r>
            <w:r>
              <w:rPr>
                <w:rFonts w:eastAsia="Calibri"/>
                <w:szCs w:val="24"/>
              </w:rPr>
              <w:t>ės</w:t>
            </w:r>
            <w:r w:rsidR="001A2FB3" w:rsidRPr="001A2FB3">
              <w:rPr>
                <w:rFonts w:eastAsia="Calibri"/>
                <w:szCs w:val="24"/>
              </w:rPr>
              <w:t xml:space="preserve"> jokios įtakos prekių judėjimui ES viduje</w:t>
            </w:r>
            <w:r>
              <w:rPr>
                <w:rFonts w:eastAsia="Calibri"/>
                <w:szCs w:val="24"/>
              </w:rPr>
              <w:t>, todėl neturėtų būti vertinama</w:t>
            </w:r>
            <w:r w:rsidR="00F056F5">
              <w:rPr>
                <w:rFonts w:eastAsia="Calibri"/>
                <w:szCs w:val="24"/>
              </w:rPr>
              <w:t>s</w:t>
            </w:r>
            <w:r w:rsidRPr="00445387">
              <w:rPr>
                <w:rFonts w:eastAsia="Calibri"/>
                <w:szCs w:val="24"/>
              </w:rPr>
              <w:t xml:space="preserve"> kaip nacionalinė techninė taisyklė, </w:t>
            </w:r>
            <w:r w:rsidR="004419C2">
              <w:rPr>
                <w:rFonts w:eastAsia="Calibri"/>
                <w:szCs w:val="24"/>
              </w:rPr>
              <w:t>ribojanti prekių judėjimą</w:t>
            </w:r>
            <w:r w:rsidRPr="00445387">
              <w:rPr>
                <w:rFonts w:eastAsia="Calibri"/>
                <w:szCs w:val="24"/>
              </w:rPr>
              <w:t xml:space="preserve"> ES vidaus rinkoje</w:t>
            </w:r>
            <w:r w:rsidR="001A2FB3" w:rsidRPr="001A2FB3">
              <w:rPr>
                <w:rFonts w:eastAsia="Calibri"/>
                <w:szCs w:val="24"/>
              </w:rPr>
              <w:t>.</w:t>
            </w:r>
          </w:p>
          <w:p w14:paraId="7DA673C4" w14:textId="5A70DBCC" w:rsidR="001A2FB3" w:rsidRPr="00AA2663" w:rsidRDefault="001A2FB3" w:rsidP="001A2FB3">
            <w:pPr>
              <w:tabs>
                <w:tab w:val="left" w:pos="1134"/>
              </w:tabs>
              <w:suppressAutoHyphens/>
              <w:autoSpaceDN w:val="0"/>
              <w:jc w:val="both"/>
              <w:textAlignment w:val="baseline"/>
              <w:rPr>
                <w:b/>
                <w:szCs w:val="24"/>
              </w:rPr>
            </w:pPr>
          </w:p>
        </w:tc>
      </w:tr>
      <w:tr w:rsidR="00EA63EF" w:rsidRPr="00AA2663" w14:paraId="24E20EEE" w14:textId="77777777" w:rsidTr="0079027E">
        <w:tc>
          <w:tcPr>
            <w:tcW w:w="1702" w:type="dxa"/>
          </w:tcPr>
          <w:p w14:paraId="080E57F3" w14:textId="552B86DE" w:rsidR="00EA63EF" w:rsidRPr="00AA2663" w:rsidRDefault="00EA63EF" w:rsidP="0067247D">
            <w:pPr>
              <w:pStyle w:val="Bodytext20"/>
              <w:shd w:val="clear" w:color="auto" w:fill="auto"/>
              <w:tabs>
                <w:tab w:val="left" w:pos="740"/>
              </w:tabs>
              <w:spacing w:before="0" w:after="0" w:line="240" w:lineRule="auto"/>
            </w:pPr>
          </w:p>
        </w:tc>
        <w:tc>
          <w:tcPr>
            <w:tcW w:w="7087" w:type="dxa"/>
          </w:tcPr>
          <w:p w14:paraId="2950BBD4" w14:textId="419C5A42" w:rsidR="00EA63EF" w:rsidRPr="001C4B0C" w:rsidRDefault="00EA63EF" w:rsidP="00AA2663">
            <w:pPr>
              <w:pStyle w:val="Betarp"/>
              <w:tabs>
                <w:tab w:val="left" w:pos="175"/>
              </w:tabs>
              <w:jc w:val="both"/>
              <w:rPr>
                <w:szCs w:val="24"/>
                <w:lang w:val="lt-LT"/>
              </w:rPr>
            </w:pPr>
            <w:r w:rsidRPr="00AA2663">
              <w:rPr>
                <w:szCs w:val="24"/>
                <w:lang w:val="lt-LT"/>
              </w:rPr>
              <w:t>3. Papildomai atkreipiame dėmesį tai, kad Projektas sukelia reikšmingą administracinę naštą ūkio subjektams. Pabrėžtina, kad Administracinės naštos mažinimo įstatyme nustatytas bendras visų institucijų tikslas – užtikrinti darnų administracinės naštos mažinimo procesą, orientuotą į piliečių, verslo subjektų ir valstybės interesus, kuo mažesnėmis sąnaudomis pasiekti teisės aktuose nustatytus tikslus ir laikytis administracinės naštos mažinimo principų (pvz., turi būti siekiama panaikinti nereikalingų ataskaitų, patikrinimų, duomenų ir informacijos reikalavimą, sumažinti laiko sąnaudas, pildant įvairius duomenų ir (ar) informacijos pateikimo dokumentus). Suprantame, kad tam tikrais atvejais naujų informacinių įpareigojimų įtraukimas į teisinį reguliavimą yra neišvengiamas, tačiau jie turi būti proporcingi ir pagrįsti, o atsakinga institucija, vadovaudamasi Vyriausybės 2012 m. sausio 11 d. nutarimo Nr. 4 „Dėl Administracinės naštos ūkio subjektams nustatymo metodikos patvirtinimo“ 21 punkte suformuluotu individualiu administracinės naštos mažinimo tikslu, turėtų peržiūrėti taikomą savo kompetencijos srities teisinį reguliavimą ir surasti būdą sumažinti esamą administracinę naštą.</w:t>
            </w:r>
          </w:p>
        </w:tc>
        <w:tc>
          <w:tcPr>
            <w:tcW w:w="6379" w:type="dxa"/>
          </w:tcPr>
          <w:p w14:paraId="6027C0F4" w14:textId="77777777" w:rsidR="00FC799F" w:rsidRPr="00FC799F" w:rsidRDefault="00FC799F" w:rsidP="00FC799F">
            <w:pPr>
              <w:tabs>
                <w:tab w:val="left" w:pos="1134"/>
              </w:tabs>
              <w:suppressAutoHyphens/>
              <w:autoSpaceDN w:val="0"/>
              <w:jc w:val="both"/>
              <w:textAlignment w:val="baseline"/>
              <w:rPr>
                <w:rFonts w:eastAsia="Calibri"/>
                <w:b/>
                <w:color w:val="00000A"/>
                <w:kern w:val="3"/>
                <w:szCs w:val="24"/>
                <w:lang w:eastAsia="lt-LT"/>
              </w:rPr>
            </w:pPr>
            <w:r w:rsidRPr="00FC799F">
              <w:rPr>
                <w:rFonts w:eastAsia="Calibri"/>
                <w:b/>
                <w:color w:val="00000A"/>
                <w:kern w:val="3"/>
                <w:szCs w:val="24"/>
                <w:lang w:eastAsia="lt-LT"/>
              </w:rPr>
              <w:t>Neatsižvelgta.</w:t>
            </w:r>
          </w:p>
          <w:p w14:paraId="7E3C08BA" w14:textId="3B3C727F" w:rsidR="00FC799F" w:rsidRPr="00FC799F" w:rsidRDefault="00C43289" w:rsidP="00FC799F">
            <w:pPr>
              <w:tabs>
                <w:tab w:val="left" w:pos="1134"/>
              </w:tabs>
              <w:suppressAutoHyphens/>
              <w:autoSpaceDN w:val="0"/>
              <w:jc w:val="both"/>
              <w:textAlignment w:val="baseline"/>
              <w:rPr>
                <w:color w:val="00000A"/>
                <w:szCs w:val="24"/>
                <w:lang w:eastAsia="lt-LT"/>
              </w:rPr>
            </w:pPr>
            <w:r>
              <w:rPr>
                <w:rFonts w:eastAsia="Helvetica"/>
                <w:color w:val="00000A"/>
                <w:kern w:val="3"/>
                <w:szCs w:val="24"/>
                <w:lang w:eastAsia="lt-LT"/>
              </w:rPr>
              <w:t xml:space="preserve">VRM nuomone, </w:t>
            </w:r>
            <w:r w:rsidR="00F056F5">
              <w:rPr>
                <w:rFonts w:eastAsia="Helvetica"/>
                <w:color w:val="00000A"/>
                <w:kern w:val="3"/>
                <w:szCs w:val="24"/>
                <w:lang w:eastAsia="lt-LT"/>
              </w:rPr>
              <w:t>P</w:t>
            </w:r>
            <w:r>
              <w:rPr>
                <w:rFonts w:eastAsia="Helvetica"/>
                <w:color w:val="00000A"/>
                <w:kern w:val="3"/>
                <w:szCs w:val="24"/>
                <w:lang w:eastAsia="lt-LT"/>
              </w:rPr>
              <w:t xml:space="preserve">rojekte siūlomos teisinio reguliavimo priemonės yra pagrįstos ir proporcingos, nes leis </w:t>
            </w:r>
            <w:r w:rsidRPr="0061304A">
              <w:t xml:space="preserve">užkardyti fiktyvių </w:t>
            </w:r>
            <w:r w:rsidR="00445387">
              <w:t>sandor</w:t>
            </w:r>
            <w:r w:rsidR="00445387" w:rsidRPr="0061304A">
              <w:t xml:space="preserve">ių </w:t>
            </w:r>
            <w:r w:rsidRPr="0061304A">
              <w:t>sudarymą transporto priemonių prekybos srityje,</w:t>
            </w:r>
            <w:r w:rsidR="00445387">
              <w:t xml:space="preserve"> vengti privalomų mokesčių priskaičiavimo,</w:t>
            </w:r>
            <w:r w:rsidRPr="0061304A">
              <w:t xml:space="preserve"> sudary</w:t>
            </w:r>
            <w:r w:rsidR="00445387">
              <w:t>s</w:t>
            </w:r>
            <w:r w:rsidRPr="0061304A">
              <w:t xml:space="preserve"> galimybes kontrolės institucijoms nustatyti tikruosius transporto priemonių pardavėjus (perp</w:t>
            </w:r>
            <w:r>
              <w:t>ardavinėtojus) ir savininkus,</w:t>
            </w:r>
            <w:r w:rsidRPr="0061304A">
              <w:t xml:space="preserve"> užtikrinti jiems tenkančių mokestinių prievolių neišvengiamumą</w:t>
            </w:r>
            <w:r>
              <w:t>, s</w:t>
            </w:r>
            <w:r>
              <w:rPr>
                <w:rFonts w:eastAsia="Helvetica"/>
                <w:color w:val="00000A"/>
                <w:kern w:val="3"/>
                <w:szCs w:val="24"/>
                <w:lang w:eastAsia="lt-LT"/>
              </w:rPr>
              <w:t xml:space="preserve">umažinti PVM atotrūkį. </w:t>
            </w:r>
            <w:r w:rsidR="00FC799F">
              <w:rPr>
                <w:rFonts w:eastAsia="Calibri"/>
                <w:color w:val="00000A"/>
                <w:kern w:val="3"/>
                <w:szCs w:val="24"/>
                <w:lang w:eastAsia="lt-LT"/>
              </w:rPr>
              <w:t>Atkreiptinas dėmesys į tai, kad</w:t>
            </w:r>
            <w:r w:rsidR="007D3C0F">
              <w:rPr>
                <w:rFonts w:eastAsia="Calibri"/>
                <w:color w:val="00000A"/>
                <w:kern w:val="3"/>
                <w:szCs w:val="24"/>
                <w:lang w:eastAsia="lt-LT"/>
              </w:rPr>
              <w:t>,</w:t>
            </w:r>
            <w:r w:rsidR="00FC799F">
              <w:rPr>
                <w:rFonts w:eastAsia="Calibri"/>
                <w:color w:val="00000A"/>
                <w:kern w:val="3"/>
                <w:szCs w:val="24"/>
                <w:lang w:eastAsia="lt-LT"/>
              </w:rPr>
              <w:t xml:space="preserve"> kaip nurodyta projekto aiškinamajame rašte, </w:t>
            </w:r>
            <w:r w:rsidR="00FC799F" w:rsidRPr="00FC799F">
              <w:rPr>
                <w:rFonts w:eastAsia="Calibri"/>
                <w:color w:val="00000A"/>
                <w:kern w:val="3"/>
                <w:szCs w:val="24"/>
                <w:lang w:eastAsia="lt-LT"/>
              </w:rPr>
              <w:t xml:space="preserve">Valstybinės mokesčių inspekcijos prie </w:t>
            </w:r>
            <w:r w:rsidR="00FC799F">
              <w:rPr>
                <w:rFonts w:eastAsia="Calibri"/>
                <w:color w:val="00000A"/>
                <w:kern w:val="3"/>
                <w:szCs w:val="24"/>
                <w:lang w:eastAsia="lt-LT"/>
              </w:rPr>
              <w:t>FM</w:t>
            </w:r>
            <w:r w:rsidR="00FC799F" w:rsidRPr="00FC799F">
              <w:rPr>
                <w:rFonts w:eastAsia="Calibri"/>
                <w:color w:val="00000A"/>
                <w:kern w:val="3"/>
                <w:szCs w:val="24"/>
                <w:lang w:eastAsia="lt-LT"/>
              </w:rPr>
              <w:t xml:space="preserve"> duomenimis (vadovaujantis Analizės, modeliavimo ir rizikos valdymo kompetencijų centro ir Kauno technologijos universiteto atliktu 2018 m. Lietuvos PVM atotrūkio vertinimu), </w:t>
            </w:r>
            <w:r w:rsidR="00FC799F" w:rsidRPr="00FC799F">
              <w:rPr>
                <w:rFonts w:eastAsia="Calibri"/>
                <w:bCs/>
                <w:color w:val="00000A"/>
                <w:kern w:val="3"/>
                <w:szCs w:val="24"/>
                <w:lang w:eastAsia="lt-LT"/>
              </w:rPr>
              <w:t xml:space="preserve">automobilių prekybos srityje PVM atotrūkis siekė </w:t>
            </w:r>
            <w:r w:rsidR="00FC799F">
              <w:rPr>
                <w:rFonts w:eastAsia="Calibri"/>
                <w:bCs/>
                <w:color w:val="00000A"/>
                <w:kern w:val="3"/>
                <w:szCs w:val="24"/>
                <w:lang w:eastAsia="lt-LT"/>
              </w:rPr>
              <w:t xml:space="preserve">net </w:t>
            </w:r>
            <w:r w:rsidR="00FC799F" w:rsidRPr="00FC799F">
              <w:rPr>
                <w:rFonts w:eastAsia="Calibri"/>
                <w:bCs/>
                <w:color w:val="00000A"/>
                <w:kern w:val="3"/>
                <w:szCs w:val="24"/>
                <w:lang w:eastAsia="lt-LT"/>
              </w:rPr>
              <w:t>38 mln. eurų</w:t>
            </w:r>
            <w:r w:rsidR="00FC799F">
              <w:rPr>
                <w:rFonts w:eastAsia="Calibri"/>
                <w:color w:val="00000A"/>
                <w:kern w:val="3"/>
                <w:szCs w:val="24"/>
                <w:lang w:eastAsia="lt-LT"/>
              </w:rPr>
              <w:t xml:space="preserve">. </w:t>
            </w:r>
            <w:r w:rsidR="00445387">
              <w:rPr>
                <w:rFonts w:eastAsia="Calibri"/>
                <w:color w:val="00000A"/>
                <w:kern w:val="3"/>
                <w:szCs w:val="24"/>
                <w:lang w:eastAsia="lt-LT"/>
              </w:rPr>
              <w:t>Atsižvelgiant į tai, darytina išvada, kad projektu sukeliama papildoma administracinė našta yra pagrįsta</w:t>
            </w:r>
            <w:r w:rsidR="00FC799F" w:rsidRPr="00FC799F">
              <w:rPr>
                <w:rFonts w:eastAsia="Helvetica"/>
                <w:color w:val="00000A"/>
                <w:kern w:val="3"/>
                <w:szCs w:val="24"/>
                <w:lang w:eastAsia="lt-LT"/>
              </w:rPr>
              <w:t>.</w:t>
            </w:r>
            <w:r w:rsidR="00FC799F">
              <w:rPr>
                <w:rFonts w:eastAsia="Helvetica"/>
                <w:color w:val="00000A"/>
                <w:kern w:val="3"/>
                <w:szCs w:val="24"/>
                <w:lang w:eastAsia="lt-LT"/>
              </w:rPr>
              <w:t xml:space="preserve"> </w:t>
            </w:r>
          </w:p>
          <w:p w14:paraId="1942707C" w14:textId="77777777" w:rsidR="00EA63EF" w:rsidRPr="00AA2663" w:rsidRDefault="00EA63EF" w:rsidP="0067247D">
            <w:pPr>
              <w:pStyle w:val="Bodytext20"/>
              <w:shd w:val="clear" w:color="auto" w:fill="auto"/>
              <w:tabs>
                <w:tab w:val="left" w:pos="740"/>
              </w:tabs>
              <w:spacing w:before="0" w:after="0" w:line="240" w:lineRule="auto"/>
              <w:rPr>
                <w:b/>
              </w:rPr>
            </w:pPr>
          </w:p>
        </w:tc>
      </w:tr>
      <w:tr w:rsidR="00EA63EF" w:rsidRPr="00AA2663" w14:paraId="03C632B0" w14:textId="77777777" w:rsidTr="0079027E">
        <w:tc>
          <w:tcPr>
            <w:tcW w:w="1702" w:type="dxa"/>
          </w:tcPr>
          <w:p w14:paraId="35B283F7" w14:textId="3EC0377D" w:rsidR="00381720" w:rsidRDefault="00E02C86" w:rsidP="00381720">
            <w:pPr>
              <w:pStyle w:val="Preformatted"/>
              <w:rPr>
                <w:rFonts w:ascii="Times New Roman" w:hAnsi="Times New Roman"/>
                <w:sz w:val="24"/>
                <w:szCs w:val="24"/>
              </w:rPr>
            </w:pPr>
            <w:r>
              <w:rPr>
                <w:rFonts w:ascii="Times New Roman" w:hAnsi="Times New Roman"/>
                <w:sz w:val="24"/>
                <w:szCs w:val="24"/>
              </w:rPr>
              <w:t xml:space="preserve">Valstybinė mokesčių inspekcija prie </w:t>
            </w:r>
            <w:r w:rsidR="00381720">
              <w:rPr>
                <w:rFonts w:ascii="Times New Roman" w:hAnsi="Times New Roman"/>
                <w:sz w:val="24"/>
                <w:szCs w:val="24"/>
              </w:rPr>
              <w:t>Lietuvos Respublikos finansų ministerijos</w:t>
            </w:r>
            <w:r w:rsidR="00F056F5">
              <w:rPr>
                <w:rFonts w:ascii="Times New Roman" w:hAnsi="Times New Roman"/>
                <w:sz w:val="24"/>
                <w:szCs w:val="24"/>
              </w:rPr>
              <w:t xml:space="preserve"> (toliau – VMI)</w:t>
            </w:r>
          </w:p>
          <w:p w14:paraId="1E92C232" w14:textId="553BD9F0" w:rsidR="00E02C86" w:rsidRPr="00AA2663" w:rsidRDefault="00E02C86" w:rsidP="00381720">
            <w:pPr>
              <w:pStyle w:val="Preformatted"/>
              <w:rPr>
                <w:rFonts w:ascii="Times New Roman" w:hAnsi="Times New Roman"/>
                <w:sz w:val="24"/>
                <w:szCs w:val="24"/>
              </w:rPr>
            </w:pPr>
            <w:r w:rsidRPr="00AA2663">
              <w:rPr>
                <w:rFonts w:ascii="Times New Roman" w:hAnsi="Times New Roman"/>
                <w:sz w:val="24"/>
                <w:szCs w:val="24"/>
              </w:rPr>
              <w:t>(2019-09-</w:t>
            </w:r>
            <w:r w:rsidR="0094470D">
              <w:rPr>
                <w:rFonts w:ascii="Times New Roman" w:hAnsi="Times New Roman"/>
                <w:sz w:val="24"/>
                <w:szCs w:val="24"/>
              </w:rPr>
              <w:t>25</w:t>
            </w:r>
            <w:r w:rsidRPr="00AA2663">
              <w:rPr>
                <w:rFonts w:ascii="Times New Roman" w:hAnsi="Times New Roman"/>
                <w:sz w:val="24"/>
                <w:szCs w:val="24"/>
              </w:rPr>
              <w:t xml:space="preserve"> raštas Nr. </w:t>
            </w:r>
            <w:r w:rsidR="0094470D">
              <w:rPr>
                <w:rFonts w:ascii="Times New Roman" w:hAnsi="Times New Roman"/>
                <w:sz w:val="24"/>
                <w:szCs w:val="24"/>
              </w:rPr>
              <w:t>R-5254</w:t>
            </w:r>
            <w:r w:rsidRPr="00AA2663">
              <w:rPr>
                <w:rFonts w:ascii="Times New Roman" w:hAnsi="Times New Roman"/>
                <w:sz w:val="24"/>
                <w:szCs w:val="24"/>
              </w:rPr>
              <w:t>)</w:t>
            </w:r>
          </w:p>
          <w:p w14:paraId="4969A980" w14:textId="77777777" w:rsidR="00EA63EF" w:rsidRPr="00AA2663" w:rsidRDefault="00EA63EF" w:rsidP="0067247D">
            <w:pPr>
              <w:pStyle w:val="Bodytext20"/>
              <w:shd w:val="clear" w:color="auto" w:fill="auto"/>
              <w:tabs>
                <w:tab w:val="left" w:pos="740"/>
              </w:tabs>
              <w:spacing w:before="0" w:after="0" w:line="240" w:lineRule="auto"/>
            </w:pPr>
          </w:p>
        </w:tc>
        <w:tc>
          <w:tcPr>
            <w:tcW w:w="7087" w:type="dxa"/>
          </w:tcPr>
          <w:p w14:paraId="03AD3C0D" w14:textId="76897DCE" w:rsidR="00EA63EF" w:rsidRPr="00AA2663" w:rsidRDefault="00AA2663" w:rsidP="00AA2663">
            <w:pPr>
              <w:pStyle w:val="Betarp"/>
              <w:jc w:val="both"/>
              <w:rPr>
                <w:bCs/>
                <w:szCs w:val="24"/>
                <w:lang w:val="lt-LT"/>
              </w:rPr>
            </w:pPr>
            <w:r>
              <w:rPr>
                <w:bCs/>
                <w:szCs w:val="24"/>
                <w:lang w:val="lt-LT"/>
              </w:rPr>
              <w:t xml:space="preserve">1.1. </w:t>
            </w:r>
            <w:r w:rsidR="00EA63EF" w:rsidRPr="00AA2663">
              <w:rPr>
                <w:bCs/>
                <w:szCs w:val="24"/>
                <w:lang w:val="lt-LT"/>
              </w:rPr>
              <w:t>SEAKĮ projekto 20 straipsnio 5 dalyje</w:t>
            </w:r>
            <w:r w:rsidR="00EA63EF" w:rsidRPr="00AA2663">
              <w:rPr>
                <w:szCs w:val="24"/>
                <w:lang w:val="lt-LT"/>
              </w:rPr>
              <w:t xml:space="preserve"> nurodyta, </w:t>
            </w:r>
            <w:r w:rsidR="00EA63EF" w:rsidRPr="00274A0B">
              <w:rPr>
                <w:szCs w:val="24"/>
                <w:lang w:val="lt-LT"/>
              </w:rPr>
              <w:t>kad Motorinės transporto priemonės ir (ar) priekabos savininkas privalo Vyriausybės įgaliotos institucijos nustatyta tvarka deklaruoti</w:t>
            </w:r>
            <w:r w:rsidR="00EA63EF" w:rsidRPr="00AA2663">
              <w:rPr>
                <w:szCs w:val="24"/>
                <w:lang w:val="lt-LT"/>
              </w:rPr>
              <w:t xml:space="preserve"> apie Lietuvos Respublikoje ir užsienio valstybėje turimą, įgytą, parduotą ar kitu pagrindu perleistą nuosavybės teisę į motorinę transporto priemonę ir (ar) priekabą Lietuvos Respublikos kelių transporto priemonių registro tvarkytojui per 5 darbo dienas</w:t>
            </w:r>
            <w:r w:rsidR="00EA63EF" w:rsidRPr="00AA2663">
              <w:rPr>
                <w:color w:val="00000A"/>
                <w:szCs w:val="24"/>
                <w:lang w:val="lt-LT"/>
              </w:rPr>
              <w:t xml:space="preserve"> </w:t>
            </w:r>
            <w:r w:rsidR="00EA63EF" w:rsidRPr="00AA2663">
              <w:rPr>
                <w:szCs w:val="24"/>
                <w:lang w:val="lt-LT"/>
              </w:rPr>
              <w:t>nuo šių aplinkybių atsiradimo dienos.</w:t>
            </w:r>
            <w:r w:rsidR="00EA63EF" w:rsidRPr="00AA2663">
              <w:rPr>
                <w:bCs/>
                <w:szCs w:val="24"/>
                <w:lang w:val="lt-LT"/>
              </w:rPr>
              <w:t xml:space="preserve"> </w:t>
            </w:r>
          </w:p>
          <w:p w14:paraId="27E57E7D" w14:textId="257D1C69" w:rsidR="00EA63EF" w:rsidRPr="00AA2663" w:rsidRDefault="00EA63EF" w:rsidP="00AA2663">
            <w:pPr>
              <w:pStyle w:val="Betarp"/>
              <w:jc w:val="both"/>
              <w:rPr>
                <w:bCs/>
                <w:szCs w:val="24"/>
                <w:lang w:val="lt-LT"/>
              </w:rPr>
            </w:pPr>
            <w:r w:rsidRPr="00AA2663">
              <w:rPr>
                <w:bCs/>
                <w:szCs w:val="24"/>
                <w:lang w:val="lt-LT"/>
              </w:rPr>
              <w:t>Pagal šią projekto nuostatą nėra aišku, ar ši dalis taikoma užsienio piliečiui — motorinės</w:t>
            </w:r>
            <w:r w:rsidRPr="00AA2663">
              <w:rPr>
                <w:szCs w:val="24"/>
                <w:lang w:val="lt-LT"/>
              </w:rPr>
              <w:t xml:space="preserve"> </w:t>
            </w:r>
            <w:r w:rsidRPr="00AA2663">
              <w:rPr>
                <w:bCs/>
                <w:szCs w:val="24"/>
                <w:lang w:val="lt-LT"/>
              </w:rPr>
              <w:t>transporto priemonės ir (ar) priekabos savininkui, turinčiam užsienio valstybėje įregistruotą transporto priemonę ir važinėjančiam Lietuvos Respublikos teritorijoje. Ar įvažiavęs į Lietuvą užsienietis turi deklaruoti savo transporto priemonę, su kuria</w:t>
            </w:r>
            <w:r w:rsidR="001C4B0C">
              <w:rPr>
                <w:bCs/>
                <w:szCs w:val="24"/>
                <w:lang w:val="lt-LT"/>
              </w:rPr>
              <w:t>,</w:t>
            </w:r>
            <w:r w:rsidRPr="00AA2663">
              <w:rPr>
                <w:bCs/>
                <w:szCs w:val="24"/>
                <w:lang w:val="lt-LT"/>
              </w:rPr>
              <w:t xml:space="preserve"> pvz.</w:t>
            </w:r>
            <w:r w:rsidR="001C4B0C">
              <w:rPr>
                <w:bCs/>
                <w:szCs w:val="24"/>
                <w:lang w:val="lt-LT"/>
              </w:rPr>
              <w:t>,</w:t>
            </w:r>
            <w:r w:rsidRPr="00AA2663">
              <w:rPr>
                <w:bCs/>
                <w:szCs w:val="24"/>
                <w:lang w:val="lt-LT"/>
              </w:rPr>
              <w:t xml:space="preserve"> važinėja Lietuvos teritorijoje verslo reikalais 6 dienas, ar būnant komandiruotėje. Todėl manome, kad šią nuostatą reikėtų patikslinti. </w:t>
            </w:r>
          </w:p>
          <w:p w14:paraId="2A324AFE" w14:textId="638872FE" w:rsidR="00EA63EF" w:rsidRPr="00AA2663" w:rsidRDefault="00EA63EF" w:rsidP="00AA2663">
            <w:pPr>
              <w:pStyle w:val="Betarp"/>
              <w:jc w:val="both"/>
              <w:rPr>
                <w:bCs/>
                <w:szCs w:val="24"/>
                <w:lang w:val="lt-LT"/>
              </w:rPr>
            </w:pPr>
            <w:r w:rsidRPr="00AA2663">
              <w:rPr>
                <w:bCs/>
                <w:szCs w:val="24"/>
                <w:lang w:val="lt-LT"/>
              </w:rPr>
              <w:t>Taip pat manome, kad</w:t>
            </w:r>
            <w:r w:rsidRPr="00AA2663">
              <w:rPr>
                <w:szCs w:val="24"/>
                <w:lang w:val="lt-LT"/>
              </w:rPr>
              <w:t xml:space="preserve"> </w:t>
            </w:r>
            <w:r w:rsidRPr="00AA2663">
              <w:rPr>
                <w:bCs/>
                <w:szCs w:val="24"/>
                <w:lang w:val="lt-LT"/>
              </w:rPr>
              <w:t>SEAKĮ projekto 20 straipsnio 5 dalyje numatytas deklaravimo terminas „per 5 darbo dienas“ bus sunkiai sukontroliuojamas, nes perpardavinėtojas turės galimybę pirkimo-</w:t>
            </w:r>
            <w:r w:rsidRPr="00AA2663">
              <w:rPr>
                <w:bCs/>
                <w:szCs w:val="24"/>
                <w:lang w:val="lt-LT"/>
              </w:rPr>
              <w:lastRenderedPageBreak/>
              <w:t xml:space="preserve">pardavimo sutartyje nurodyti tokią datą, kuri formaliai nepažeis SEAKĮ projekto 20 straipsnio 5 dalyje nustatyto termino. Todėl manome, kad apie ketinimą įsigyti transporto priemonę turi būti deklaruojama ne vėliau kaip sandorio sudarymo dieną. </w:t>
            </w:r>
          </w:p>
          <w:p w14:paraId="6673B3FC" w14:textId="04B06C65" w:rsidR="00EA63EF" w:rsidRPr="00AA2663" w:rsidRDefault="00EA63EF" w:rsidP="00AA2663">
            <w:pPr>
              <w:pStyle w:val="Betarp"/>
              <w:jc w:val="both"/>
              <w:rPr>
                <w:bCs/>
                <w:szCs w:val="24"/>
                <w:lang w:val="lt-LT"/>
              </w:rPr>
            </w:pPr>
            <w:r w:rsidRPr="00AA2663">
              <w:rPr>
                <w:bCs/>
                <w:szCs w:val="24"/>
                <w:lang w:val="lt-LT"/>
              </w:rPr>
              <w:t>Atsižvelgdami į tai, kas aukščiau išdėstyta, SEAKĮ projekto 20 straipsnio 5 dalį siūlome išdėstyti taip:</w:t>
            </w:r>
          </w:p>
          <w:p w14:paraId="759875F4" w14:textId="4A1BEE8E" w:rsidR="003F461E" w:rsidRPr="001C4B0C" w:rsidRDefault="00EA63EF" w:rsidP="001C4B0C">
            <w:pPr>
              <w:pStyle w:val="Betarp"/>
              <w:jc w:val="both"/>
              <w:rPr>
                <w:szCs w:val="24"/>
                <w:lang w:val="lt-LT"/>
              </w:rPr>
            </w:pPr>
            <w:r w:rsidRPr="00AA2663">
              <w:rPr>
                <w:bCs/>
                <w:szCs w:val="24"/>
                <w:lang w:val="lt-LT"/>
              </w:rPr>
              <w:t xml:space="preserve">„5. </w:t>
            </w:r>
            <w:r w:rsidRPr="00AA2663">
              <w:rPr>
                <w:szCs w:val="24"/>
                <w:lang w:val="lt-LT"/>
              </w:rPr>
              <w:t>Motorinės transporto priemonės ir (ar) priekabos savininkas,</w:t>
            </w:r>
            <w:r w:rsidRPr="00AA2663">
              <w:rPr>
                <w:b/>
                <w:szCs w:val="24"/>
                <w:lang w:val="lt-LT"/>
              </w:rPr>
              <w:t xml:space="preserve"> kuris yra Lietuvos Respublikos pilietis arba asmuo, kurio gyvenamoji vieta yra deklaruota Lietuvos Respublikoje,</w:t>
            </w:r>
            <w:r w:rsidRPr="00AA2663">
              <w:rPr>
                <w:szCs w:val="24"/>
                <w:lang w:val="lt-LT"/>
              </w:rPr>
              <w:t xml:space="preserve"> privalo Vyriausybės įgaliotos institucijos nustatyta tvarka deklaruoti apie Lietuvos Respublikoje ir užsienio valstybėje turimą, įgytą, parduotą ar kitu pagrindu perleistą nuosavybės teisę į motorinę transporto priemonę ir (ar) priekabą Lietuvos Respublikos kelių transporto priemonių registro tvarkytojui ne vėliau kaip </w:t>
            </w:r>
            <w:r w:rsidRPr="00AA2663">
              <w:rPr>
                <w:strike/>
                <w:szCs w:val="24"/>
                <w:lang w:val="lt-LT"/>
              </w:rPr>
              <w:t>per 5 darbo dienas nuo</w:t>
            </w:r>
            <w:r w:rsidRPr="00AA2663">
              <w:rPr>
                <w:szCs w:val="24"/>
                <w:lang w:val="lt-LT"/>
              </w:rPr>
              <w:t xml:space="preserve"> šių aplinkybių atsiradimo dieną.</w:t>
            </w:r>
            <w:r w:rsidRPr="00AA2663">
              <w:rPr>
                <w:bCs/>
                <w:szCs w:val="24"/>
                <w:lang w:val="lt-LT"/>
              </w:rPr>
              <w:t>“</w:t>
            </w:r>
          </w:p>
        </w:tc>
        <w:tc>
          <w:tcPr>
            <w:tcW w:w="6379" w:type="dxa"/>
          </w:tcPr>
          <w:p w14:paraId="41AF15BA" w14:textId="33E1C2B5" w:rsidR="00EA63EF" w:rsidRDefault="007D3C0F" w:rsidP="0067247D">
            <w:pPr>
              <w:pStyle w:val="Bodytext20"/>
              <w:shd w:val="clear" w:color="auto" w:fill="auto"/>
              <w:tabs>
                <w:tab w:val="left" w:pos="740"/>
              </w:tabs>
              <w:spacing w:before="0" w:after="0" w:line="240" w:lineRule="auto"/>
              <w:rPr>
                <w:b/>
              </w:rPr>
            </w:pPr>
            <w:r>
              <w:rPr>
                <w:b/>
              </w:rPr>
              <w:lastRenderedPageBreak/>
              <w:t>Neatsižvelgta</w:t>
            </w:r>
            <w:r w:rsidR="00254C3B">
              <w:rPr>
                <w:b/>
              </w:rPr>
              <w:t>.</w:t>
            </w:r>
          </w:p>
          <w:p w14:paraId="5E932B5E" w14:textId="7E035152" w:rsidR="00254C3B" w:rsidRDefault="007D3C0F" w:rsidP="009C2819">
            <w:pPr>
              <w:jc w:val="both"/>
            </w:pPr>
            <w:r>
              <w:t xml:space="preserve">Pagal </w:t>
            </w:r>
            <w:r w:rsidR="001260B8" w:rsidRPr="00F908AB">
              <w:t xml:space="preserve">Lietuvos Respublikos saugaus eismo automobilių keliais įstatymo </w:t>
            </w:r>
            <w:r w:rsidR="001260B8">
              <w:t xml:space="preserve">(toliau – </w:t>
            </w:r>
            <w:r w:rsidR="001A2969">
              <w:t>SEAKĮ</w:t>
            </w:r>
            <w:r w:rsidR="001260B8">
              <w:t>)</w:t>
            </w:r>
            <w:r w:rsidR="001A2969">
              <w:t xml:space="preserve"> 25 straipsnio 2 dalį, </w:t>
            </w:r>
            <w:r w:rsidR="001A2969" w:rsidRPr="0046538A">
              <w:t xml:space="preserve">viešajame eisme leidžiama </w:t>
            </w:r>
            <w:r w:rsidR="00135790">
              <w:t xml:space="preserve">dalyvauti </w:t>
            </w:r>
            <w:r w:rsidR="001A2969" w:rsidRPr="0046538A">
              <w:t>nustatyta tvarka įregistruotoms motorinėms transporto priemonėms ir (ar) priekaboms, kurių privalomoji techninė apžiūra atlikta ir galioja ir kurių valdytojai yra apsidraudę transporto priemonių valdytojų civilinės atsakomybės privalomuoju draudimu ir sumokėję valstybės nustatytus su transporto priemone ar su jos dalyvavimu viešajame eisme susijusius mokesčius.</w:t>
            </w:r>
            <w:r>
              <w:t xml:space="preserve"> </w:t>
            </w:r>
            <w:r w:rsidR="001A2969">
              <w:t>Tai reiškia, kad nesvarbu</w:t>
            </w:r>
            <w:r w:rsidR="001260B8">
              <w:t>,</w:t>
            </w:r>
            <w:r w:rsidR="001A2969">
              <w:t xml:space="preserve"> kur transporto priemonė yra </w:t>
            </w:r>
            <w:r w:rsidR="002A5306">
              <w:t>į</w:t>
            </w:r>
            <w:r w:rsidR="001A2969">
              <w:t>registruota (Lietuvoje ar kitoje šalyje), dalyvauti viešajame eisme galima tik atitinkant išvard</w:t>
            </w:r>
            <w:r w:rsidR="002A5306">
              <w:t>y</w:t>
            </w:r>
            <w:r w:rsidR="001A2969">
              <w:t xml:space="preserve">tas sąlygas. </w:t>
            </w:r>
            <w:r>
              <w:t xml:space="preserve">Tuo tarpu </w:t>
            </w:r>
            <w:r w:rsidR="001260B8">
              <w:t>P</w:t>
            </w:r>
            <w:r>
              <w:t>rojekto 20 straipsnio 5 dalis skirta ne dalyvavimo viešajame eisme teisėtum</w:t>
            </w:r>
            <w:r w:rsidR="002A5306">
              <w:t>ui</w:t>
            </w:r>
            <w:r>
              <w:t xml:space="preserve"> užtikrin</w:t>
            </w:r>
            <w:r w:rsidR="002A5306">
              <w:t>t</w:t>
            </w:r>
            <w:r>
              <w:t xml:space="preserve">i, o </w:t>
            </w:r>
            <w:r w:rsidR="002A5306">
              <w:t xml:space="preserve">įtvirtinti </w:t>
            </w:r>
            <w:r>
              <w:t>pareig</w:t>
            </w:r>
            <w:r w:rsidR="002A5306">
              <w:t>ą</w:t>
            </w:r>
            <w:r>
              <w:t xml:space="preserve"> išviešinti transporto priemonės nuosavybės teisę. Tokios pareigos joks šiuo metu galiojantis Lietuvos Respublikos teisės aktas nenustato. </w:t>
            </w:r>
            <w:r w:rsidR="00B35648">
              <w:t>V</w:t>
            </w:r>
            <w:r>
              <w:t xml:space="preserve">isi konkretūs subjektai, kurie privalės </w:t>
            </w:r>
            <w:r>
              <w:lastRenderedPageBreak/>
              <w:t>deklaruoti nuosavybės teisę Kelių transporto priemonių registro tvarkytojui</w:t>
            </w:r>
            <w:r w:rsidR="002A5306">
              <w:t>,</w:t>
            </w:r>
            <w:r>
              <w:t xml:space="preserve"> bus nustatyti šį straipsnį įgyvendinančiame teisės akte, lygiai taip </w:t>
            </w:r>
            <w:r w:rsidR="00B35648">
              <w:t>pat, kaip šiuo metu reguliuojama</w:t>
            </w:r>
            <w:r>
              <w:t>s transporto priemonių r</w:t>
            </w:r>
            <w:r w:rsidR="00B35648">
              <w:t>egistravimas (t.</w:t>
            </w:r>
            <w:r w:rsidR="002A5306">
              <w:t xml:space="preserve"> </w:t>
            </w:r>
            <w:r w:rsidR="00B35648">
              <w:t xml:space="preserve">y. </w:t>
            </w:r>
            <w:r>
              <w:t xml:space="preserve">SEAKĮ nustato, kad visos transporto priemonės turi būti </w:t>
            </w:r>
            <w:r w:rsidR="002A5306">
              <w:t>į</w:t>
            </w:r>
            <w:r>
              <w:t xml:space="preserve">registruotos, tačiau nenustato, kas ir kaip turi </w:t>
            </w:r>
            <w:r w:rsidR="002A5306">
              <w:t>į</w:t>
            </w:r>
            <w:r>
              <w:t>re</w:t>
            </w:r>
            <w:r w:rsidR="00B35648">
              <w:t>gistruoti. Visus subjektus ir</w:t>
            </w:r>
            <w:r>
              <w:t xml:space="preserve"> registravimo tvarką apibrėžia Motorinių transporto priemonių ir jų p</w:t>
            </w:r>
            <w:r w:rsidR="009C2819">
              <w:t xml:space="preserve">riekabų registravimo taisyklės, </w:t>
            </w:r>
            <w:r w:rsidR="00B35648">
              <w:t>patvirtintos Lietuvos Respublikos vidaus reikalų ministro 2001 m. gegužės 25 d. įsakymu Nr. 260).</w:t>
            </w:r>
            <w:r w:rsidR="00135790">
              <w:t xml:space="preserve"> Analogiškas teisinis reguliavimas bus nustatytas ir transporto priemonės nuosavybės teisės deklaravimo atveju, įgyvendinant SEAKĮ projekto 20 straipsnio 5 dalį.</w:t>
            </w:r>
          </w:p>
          <w:p w14:paraId="74F20567" w14:textId="7B27B2A2" w:rsidR="009C2819" w:rsidRPr="00AA2663" w:rsidRDefault="009C2819" w:rsidP="00E62295">
            <w:pPr>
              <w:jc w:val="both"/>
              <w:rPr>
                <w:b/>
              </w:rPr>
            </w:pPr>
            <w:r>
              <w:t xml:space="preserve">Taip pat informuojame, kad VRM nepritaria VMI pasiūlymui tikslinti Projekto 20 straipsnio 5 dalyje numatytą terminą numatant, kad apie </w:t>
            </w:r>
            <w:r w:rsidRPr="00AA2663">
              <w:rPr>
                <w:bCs/>
                <w:szCs w:val="24"/>
              </w:rPr>
              <w:t>ketinimą įsigyti transporto priemonę turi būti deklaruojama ne vėliau kaip sandorio sudarymo dieną</w:t>
            </w:r>
            <w:r>
              <w:rPr>
                <w:bCs/>
                <w:szCs w:val="24"/>
              </w:rPr>
              <w:t>. VRM nuomone</w:t>
            </w:r>
            <w:r w:rsidR="00E62295">
              <w:rPr>
                <w:bCs/>
                <w:szCs w:val="24"/>
              </w:rPr>
              <w:t>,</w:t>
            </w:r>
            <w:r>
              <w:rPr>
                <w:bCs/>
                <w:szCs w:val="24"/>
              </w:rPr>
              <w:t xml:space="preserve"> toks terminas būtų akivaizdžiai per trumpas.</w:t>
            </w:r>
          </w:p>
        </w:tc>
      </w:tr>
      <w:tr w:rsidR="00EA63EF" w:rsidRPr="00AA2663" w14:paraId="2DB8D2AB" w14:textId="77777777" w:rsidTr="0079027E">
        <w:tc>
          <w:tcPr>
            <w:tcW w:w="1702" w:type="dxa"/>
          </w:tcPr>
          <w:p w14:paraId="36D179DF" w14:textId="1E0F8BC1" w:rsidR="00EA63EF" w:rsidRPr="00AA2663" w:rsidRDefault="00EA63EF" w:rsidP="0067247D">
            <w:pPr>
              <w:pStyle w:val="Bodytext20"/>
              <w:shd w:val="clear" w:color="auto" w:fill="auto"/>
              <w:tabs>
                <w:tab w:val="left" w:pos="740"/>
              </w:tabs>
              <w:spacing w:before="0" w:after="0" w:line="240" w:lineRule="auto"/>
            </w:pPr>
          </w:p>
        </w:tc>
        <w:tc>
          <w:tcPr>
            <w:tcW w:w="7087" w:type="dxa"/>
          </w:tcPr>
          <w:p w14:paraId="1D3D258C" w14:textId="2F6E08E5" w:rsidR="00EA63EF" w:rsidRPr="001C4B0C" w:rsidRDefault="00AA2663" w:rsidP="001C4B0C">
            <w:pPr>
              <w:pStyle w:val="Betarp"/>
              <w:jc w:val="both"/>
              <w:rPr>
                <w:bCs/>
                <w:szCs w:val="24"/>
                <w:lang w:val="lt-LT"/>
              </w:rPr>
            </w:pPr>
            <w:r w:rsidRPr="00AA2663">
              <w:rPr>
                <w:szCs w:val="24"/>
                <w:lang w:val="lt-LT"/>
              </w:rPr>
              <w:t xml:space="preserve">1.2. </w:t>
            </w:r>
            <w:r w:rsidR="00EA63EF" w:rsidRPr="00AA2663">
              <w:rPr>
                <w:szCs w:val="24"/>
                <w:lang w:val="lt-LT"/>
              </w:rPr>
              <w:t>Manome, kad bus sunku įrodyti faktą, jog į Lietuvą įvežta motorinė transporto priemonė yra parduodama. Pardavėjai (perpardavinėtojai, Lietuvos piliečiai) važinėtų Lietuvos teritorijoje su užsienio transporto priemonės registracijos pažymėjimu, kuriame savininkas bus nurodytas užsienio pilietis, tol, kol transporto priemonė nebus parduota galutiniam Lietuvos pirkėjui, sutikusiam savo vardu transporto priemonę deklaruoti ir įregistruoti, t. y. pardavėjai (perpardavinėtojai, Lietuvos piliečiai) liks „šešėlyje“.</w:t>
            </w:r>
            <w:r w:rsidR="00254C3B">
              <w:rPr>
                <w:szCs w:val="24"/>
                <w:lang w:val="lt-LT"/>
              </w:rPr>
              <w:t xml:space="preserve"> </w:t>
            </w:r>
            <w:r w:rsidR="00EA63EF" w:rsidRPr="00AA2663">
              <w:rPr>
                <w:bCs/>
                <w:szCs w:val="24"/>
                <w:lang w:val="lt-LT"/>
              </w:rPr>
              <w:t>Atkreipiame dėmesį, kad pagal Latvijoje esantį teisinį reguliavimą, asmeniui, kurio gyvenamoji vieta yra deklaruota Latvijos Respublikoje, leista vairuoti užsienyje registruotą M1 arba N1 kategorijos transporto priemonę, jei sumokėtas transporto priemonės mokestis: 10 Eur už parą arba 250 Eur už mėnesį, arba 600 Eur už 6 mėnesius, arba 1000 Eur už metus. Atsižvelgiant į išdėstytą, siūlome vadovautis Latvijoje įvestu teisiniu reguliavimo pavyzdžiu ir Lietuvoje įvesti užsienyje įregistruotos transporto priemonės vairavimo mokestį.</w:t>
            </w:r>
          </w:p>
        </w:tc>
        <w:tc>
          <w:tcPr>
            <w:tcW w:w="6379" w:type="dxa"/>
          </w:tcPr>
          <w:p w14:paraId="20029A30" w14:textId="77777777" w:rsidR="00254C3B" w:rsidRDefault="00254C3B" w:rsidP="00254C3B">
            <w:pPr>
              <w:pStyle w:val="Bodytext20"/>
              <w:shd w:val="clear" w:color="auto" w:fill="auto"/>
              <w:tabs>
                <w:tab w:val="left" w:pos="740"/>
              </w:tabs>
              <w:spacing w:before="0" w:after="0" w:line="240" w:lineRule="auto"/>
              <w:rPr>
                <w:b/>
              </w:rPr>
            </w:pPr>
            <w:r>
              <w:rPr>
                <w:b/>
              </w:rPr>
              <w:t>Neatsižvelgta.</w:t>
            </w:r>
          </w:p>
          <w:p w14:paraId="4DD634EA" w14:textId="2B580E89" w:rsidR="00EA63EF" w:rsidRPr="00AA2663" w:rsidRDefault="00254C3B" w:rsidP="002A5306">
            <w:pPr>
              <w:pStyle w:val="Bodytext20"/>
              <w:shd w:val="clear" w:color="auto" w:fill="auto"/>
              <w:tabs>
                <w:tab w:val="left" w:pos="740"/>
              </w:tabs>
              <w:spacing w:before="0" w:after="0" w:line="240" w:lineRule="auto"/>
              <w:rPr>
                <w:b/>
              </w:rPr>
            </w:pPr>
            <w:r>
              <w:t>Pastaboje s</w:t>
            </w:r>
            <w:r w:rsidRPr="00F908AB">
              <w:t xml:space="preserve">iūlomos priemonės yra ne </w:t>
            </w:r>
            <w:r w:rsidR="001260B8">
              <w:t xml:space="preserve">SEAKĮ </w:t>
            </w:r>
            <w:r w:rsidRPr="00F908AB">
              <w:t>reguliavimo dalykas.</w:t>
            </w:r>
            <w:r w:rsidR="008967F6">
              <w:t xml:space="preserve"> </w:t>
            </w:r>
            <w:r w:rsidR="007D4C6C">
              <w:t>Projektu nesiekiam</w:t>
            </w:r>
            <w:r w:rsidR="00F056F5">
              <w:t>a</w:t>
            </w:r>
            <w:r w:rsidR="007D4C6C">
              <w:t xml:space="preserve"> riboti asmenų naudojimosi transporto priemonėmis, jų </w:t>
            </w:r>
            <w:r w:rsidR="00F056F5">
              <w:t>pardavimo</w:t>
            </w:r>
            <w:r w:rsidR="007D4C6C">
              <w:t xml:space="preserve">. Siekiama užtikrinti, kad transporto priemonių pardavėjai nustatyta tvarka praneštų apie parduodamą transporto priemonę. Tai bus privalu padaryti iki pardavimo pradžios. Įstatyme nustatytų pareigų vykdymas bus užtikrinamas kontrolės priemonėmis ir taikant administracinę atsakomybę. </w:t>
            </w:r>
            <w:r w:rsidR="008967F6">
              <w:t>Be to, Projekto tikslai nesusiję su reikalavimais pačiam sandoriui</w:t>
            </w:r>
            <w:r w:rsidR="007D4C6C">
              <w:t>, o siūlymas</w:t>
            </w:r>
            <w:r w:rsidR="008967F6">
              <w:t xml:space="preserve"> įvesti naujus transporto priemonių naudojimo mokesčius</w:t>
            </w:r>
            <w:r w:rsidR="00F056F5">
              <w:t xml:space="preserve"> visų </w:t>
            </w:r>
            <w:r w:rsidR="008967F6">
              <w:t>pirma turėtų būti suderintas su Finansų ministerija ir</w:t>
            </w:r>
            <w:r w:rsidR="007D4C6C">
              <w:t xml:space="preserve"> siūlomas įteisinti visiškai atskirais, naujai parengtais teisės aktais.</w:t>
            </w:r>
            <w:r w:rsidR="008967F6">
              <w:t xml:space="preserve">   </w:t>
            </w:r>
          </w:p>
        </w:tc>
      </w:tr>
      <w:tr w:rsidR="00EA63EF" w:rsidRPr="00AA2663" w14:paraId="59A75DF7" w14:textId="77777777" w:rsidTr="0079027E">
        <w:tc>
          <w:tcPr>
            <w:tcW w:w="1702" w:type="dxa"/>
          </w:tcPr>
          <w:p w14:paraId="201A6312" w14:textId="77777777" w:rsidR="00EA63EF" w:rsidRPr="00AA2663" w:rsidRDefault="00EA63EF" w:rsidP="0067247D">
            <w:pPr>
              <w:pStyle w:val="Bodytext20"/>
              <w:shd w:val="clear" w:color="auto" w:fill="auto"/>
              <w:tabs>
                <w:tab w:val="left" w:pos="740"/>
              </w:tabs>
              <w:spacing w:before="0" w:after="0" w:line="240" w:lineRule="auto"/>
            </w:pPr>
          </w:p>
        </w:tc>
        <w:tc>
          <w:tcPr>
            <w:tcW w:w="7087" w:type="dxa"/>
          </w:tcPr>
          <w:p w14:paraId="5E68790C" w14:textId="00C359F4" w:rsidR="00EA63EF" w:rsidRPr="00AA2663" w:rsidRDefault="00AA2663" w:rsidP="00AA2663">
            <w:pPr>
              <w:pStyle w:val="Betarp"/>
              <w:jc w:val="both"/>
              <w:rPr>
                <w:bCs/>
                <w:szCs w:val="24"/>
                <w:lang w:val="lt-LT"/>
              </w:rPr>
            </w:pPr>
            <w:r w:rsidRPr="001C4B0C">
              <w:rPr>
                <w:szCs w:val="24"/>
                <w:lang w:val="lt-LT"/>
              </w:rPr>
              <w:t xml:space="preserve">2. </w:t>
            </w:r>
            <w:r w:rsidR="007A3EF4">
              <w:rPr>
                <w:szCs w:val="24"/>
                <w:lang w:val="lt-LT"/>
              </w:rPr>
              <w:t xml:space="preserve">Siekiant sumažinti „šešėlį“ </w:t>
            </w:r>
            <w:r w:rsidR="00EA63EF" w:rsidRPr="00AA2663">
              <w:rPr>
                <w:szCs w:val="24"/>
                <w:lang w:val="lt-LT"/>
              </w:rPr>
              <w:t>transporto priemonių prekybos srityje, manome, kad kompleksiškai turėtų būti keičiami ir kiti teisės aktai.</w:t>
            </w:r>
          </w:p>
          <w:p w14:paraId="68F89AF9" w14:textId="5D9A81AC" w:rsidR="00EA63EF" w:rsidRPr="00AA2663" w:rsidRDefault="00EA63EF" w:rsidP="00AA2663">
            <w:pPr>
              <w:pStyle w:val="Betarp"/>
              <w:jc w:val="both"/>
              <w:rPr>
                <w:bCs/>
                <w:szCs w:val="24"/>
                <w:lang w:val="lt-LT"/>
              </w:rPr>
            </w:pPr>
            <w:r w:rsidRPr="00AA2663">
              <w:rPr>
                <w:bCs/>
                <w:szCs w:val="24"/>
                <w:lang w:val="lt-LT"/>
              </w:rPr>
              <w:lastRenderedPageBreak/>
              <w:t>Pagal Lietuvos Respublikos administracinių nusižengimų kodekso (toliau</w:t>
            </w:r>
            <w:r w:rsidR="003762E1">
              <w:rPr>
                <w:bCs/>
                <w:szCs w:val="24"/>
                <w:lang w:val="lt-LT"/>
              </w:rPr>
              <w:t xml:space="preserve"> </w:t>
            </w:r>
            <w:r w:rsidR="001C4B0C">
              <w:rPr>
                <w:bCs/>
                <w:szCs w:val="24"/>
                <w:lang w:val="lt-LT"/>
              </w:rPr>
              <w:t>–</w:t>
            </w:r>
            <w:r w:rsidRPr="00AA2663">
              <w:rPr>
                <w:bCs/>
                <w:szCs w:val="24"/>
                <w:lang w:val="lt-LT"/>
              </w:rPr>
              <w:t xml:space="preserve"> ANK) 589 straipsnį, Valstybinei mokesčių inspekcijai (toliau </w:t>
            </w:r>
            <w:r w:rsidR="001C4B0C">
              <w:rPr>
                <w:bCs/>
                <w:szCs w:val="24"/>
                <w:lang w:val="lt-LT"/>
              </w:rPr>
              <w:t>–</w:t>
            </w:r>
            <w:r w:rsidRPr="00AA2663">
              <w:rPr>
                <w:bCs/>
                <w:szCs w:val="24"/>
                <w:lang w:val="lt-LT"/>
              </w:rPr>
              <w:t xml:space="preserve"> VMI), Finansinių nusikaltimų tyrimo tarnybai </w:t>
            </w:r>
            <w:r w:rsidRPr="00AA2663">
              <w:rPr>
                <w:color w:val="000000"/>
                <w:szCs w:val="24"/>
                <w:lang w:val="lt-LT"/>
              </w:rPr>
              <w:t xml:space="preserve">prie Vidaus reikalų ministerijos </w:t>
            </w:r>
            <w:r w:rsidRPr="00AA2663">
              <w:rPr>
                <w:bCs/>
                <w:szCs w:val="24"/>
                <w:lang w:val="lt-LT"/>
              </w:rPr>
              <w:t>nesuteiktos teisės tirti ir surašyti protokolus pagal ANK 431 straipsnį.</w:t>
            </w:r>
          </w:p>
          <w:p w14:paraId="245E2597" w14:textId="326686D4" w:rsidR="00EA63EF" w:rsidRPr="00AA2663" w:rsidRDefault="00EA63EF" w:rsidP="00AA2663">
            <w:pPr>
              <w:pStyle w:val="Betarp"/>
              <w:jc w:val="both"/>
              <w:rPr>
                <w:bCs/>
                <w:szCs w:val="24"/>
                <w:lang w:val="lt-LT"/>
              </w:rPr>
            </w:pPr>
            <w:r w:rsidRPr="00AA2663">
              <w:rPr>
                <w:bCs/>
                <w:szCs w:val="24"/>
                <w:lang w:val="lt-LT"/>
              </w:rPr>
              <w:t>Atsižvelg</w:t>
            </w:r>
            <w:r w:rsidR="001C4B0C">
              <w:rPr>
                <w:bCs/>
                <w:szCs w:val="24"/>
                <w:lang w:val="lt-LT"/>
              </w:rPr>
              <w:t>dami</w:t>
            </w:r>
            <w:r w:rsidRPr="00AA2663">
              <w:rPr>
                <w:bCs/>
                <w:szCs w:val="24"/>
                <w:lang w:val="lt-LT"/>
              </w:rPr>
              <w:t xml:space="preserve"> į tai, siūlome</w:t>
            </w:r>
            <w:r w:rsidRPr="00AA2663">
              <w:rPr>
                <w:rFonts w:eastAsia="Calibri"/>
                <w:bCs/>
                <w:kern w:val="3"/>
                <w:szCs w:val="24"/>
                <w:lang w:val="lt-LT"/>
              </w:rPr>
              <w:t xml:space="preserve"> inicijuoti ANK pakeitimus, suteikiant teisę VMI</w:t>
            </w:r>
            <w:r w:rsidRPr="00AA2663">
              <w:rPr>
                <w:bCs/>
                <w:szCs w:val="24"/>
                <w:lang w:val="lt-LT"/>
              </w:rPr>
              <w:t xml:space="preserve">, </w:t>
            </w:r>
            <w:r w:rsidRPr="00AA2663">
              <w:rPr>
                <w:rFonts w:eastAsia="Calibri"/>
                <w:bCs/>
                <w:kern w:val="3"/>
                <w:szCs w:val="24"/>
                <w:lang w:val="lt-LT"/>
              </w:rPr>
              <w:t xml:space="preserve">tirti ir surašyti </w:t>
            </w:r>
            <w:r w:rsidRPr="00AA2663">
              <w:rPr>
                <w:bCs/>
                <w:szCs w:val="24"/>
                <w:lang w:val="lt-LT"/>
              </w:rPr>
              <w:t>protokolus pagal ANK 431 straipsnį.</w:t>
            </w:r>
          </w:p>
          <w:p w14:paraId="4AD4D13F" w14:textId="537BA1D1" w:rsidR="00EA63EF" w:rsidRPr="00AA2663" w:rsidRDefault="00EA63EF" w:rsidP="00AA2663">
            <w:pPr>
              <w:pStyle w:val="Betarp"/>
              <w:jc w:val="both"/>
              <w:rPr>
                <w:bCs/>
                <w:szCs w:val="24"/>
                <w:lang w:val="lt-LT"/>
              </w:rPr>
            </w:pPr>
            <w:r w:rsidRPr="00AA2663">
              <w:rPr>
                <w:bCs/>
                <w:szCs w:val="24"/>
                <w:lang w:val="lt-LT"/>
              </w:rPr>
              <w:t>Taip pat atkreipiame dėmesį, kad, vadovaujantis ANK 431 straipsnio 1 dalies nuostatomis, transporto priemonės savininkui (valdytojui) SEAKĮ nustatytų reikalavimų nevykdymas užtraukia baudą nuo 150 iki 300 eurų (pagal ANK 431 straipsnio 2 dalį nusižengimą padarius pakartotinai — nuo 440 iki 600 eurų).</w:t>
            </w:r>
          </w:p>
          <w:p w14:paraId="616C2AFC" w14:textId="48FBA6F7" w:rsidR="00EA63EF" w:rsidRPr="00AA2663" w:rsidRDefault="00EA63EF" w:rsidP="00AA2663">
            <w:pPr>
              <w:pStyle w:val="Betarp"/>
              <w:jc w:val="both"/>
              <w:rPr>
                <w:bCs/>
                <w:szCs w:val="24"/>
                <w:lang w:val="lt-LT"/>
              </w:rPr>
            </w:pPr>
            <w:r w:rsidRPr="00AA2663">
              <w:rPr>
                <w:bCs/>
                <w:szCs w:val="24"/>
                <w:lang w:val="lt-LT"/>
              </w:rPr>
              <w:t xml:space="preserve">Mūsų žiniomis, praktikoje pirmą kartą padariusiam nusižengimą asmeniui surašomas administracinių nusižengimų protokolas su administraciniu nurodymu sumokėti 75 Eur, o pakartotinumas nustatomas itin retai. Todėl manome, kad tokios sankcijos neskatins perpardavinėtojo registruoti transporto priemonės. </w:t>
            </w:r>
          </w:p>
          <w:p w14:paraId="2F575AFE" w14:textId="56A6D563" w:rsidR="00EA63EF" w:rsidRPr="001C4B0C" w:rsidRDefault="00EA63EF" w:rsidP="002A5306">
            <w:pPr>
              <w:pStyle w:val="Betarp"/>
              <w:jc w:val="both"/>
              <w:rPr>
                <w:bCs/>
                <w:szCs w:val="24"/>
                <w:lang w:val="lt-LT"/>
              </w:rPr>
            </w:pPr>
            <w:r w:rsidRPr="00AA2663">
              <w:rPr>
                <w:bCs/>
                <w:szCs w:val="24"/>
                <w:lang w:val="lt-LT"/>
              </w:rPr>
              <w:t>Atsižvelgdami į tai, siūlome vadovautis Latvijos pavyzdžiu ir už disponavimą neregistruota transporto priemone numatyti transporto priemonės konfiskavimą arba padidinti</w:t>
            </w:r>
            <w:r w:rsidRPr="00AA2663" w:rsidDel="00364DE6">
              <w:rPr>
                <w:bCs/>
                <w:szCs w:val="24"/>
                <w:lang w:val="lt-LT"/>
              </w:rPr>
              <w:t xml:space="preserve"> </w:t>
            </w:r>
            <w:r w:rsidRPr="00AA2663">
              <w:rPr>
                <w:bCs/>
                <w:szCs w:val="24"/>
                <w:lang w:val="lt-LT"/>
              </w:rPr>
              <w:t>baudą.</w:t>
            </w:r>
          </w:p>
        </w:tc>
        <w:tc>
          <w:tcPr>
            <w:tcW w:w="6379" w:type="dxa"/>
          </w:tcPr>
          <w:p w14:paraId="64623033" w14:textId="77777777" w:rsidR="00EA63EF" w:rsidRPr="000E5A82" w:rsidRDefault="00F056F5" w:rsidP="0067247D">
            <w:pPr>
              <w:pStyle w:val="Bodytext20"/>
              <w:shd w:val="clear" w:color="auto" w:fill="auto"/>
              <w:tabs>
                <w:tab w:val="left" w:pos="740"/>
              </w:tabs>
              <w:spacing w:before="0" w:after="0" w:line="240" w:lineRule="auto"/>
              <w:rPr>
                <w:b/>
              </w:rPr>
            </w:pPr>
            <w:r w:rsidRPr="000E5A82">
              <w:rPr>
                <w:b/>
              </w:rPr>
              <w:lastRenderedPageBreak/>
              <w:t>Atsižvelgta iš dalies.</w:t>
            </w:r>
          </w:p>
          <w:p w14:paraId="1AA3DCAC" w14:textId="0AE8C7BA" w:rsidR="00F056F5" w:rsidRPr="000E5A82" w:rsidRDefault="00F056F5" w:rsidP="00F056F5">
            <w:pPr>
              <w:pStyle w:val="Bodytext20"/>
              <w:shd w:val="clear" w:color="auto" w:fill="auto"/>
              <w:tabs>
                <w:tab w:val="left" w:pos="740"/>
              </w:tabs>
              <w:spacing w:before="0" w:after="0" w:line="240" w:lineRule="auto"/>
              <w:rPr>
                <w:color w:val="000000"/>
              </w:rPr>
            </w:pPr>
            <w:r w:rsidRPr="000E5A82">
              <w:t>Atsi</w:t>
            </w:r>
            <w:r w:rsidR="00125D7F" w:rsidRPr="000E5A82">
              <w:t>žvelgus į VMI pastabą, parengti</w:t>
            </w:r>
            <w:r w:rsidRPr="000E5A82">
              <w:t xml:space="preserve"> L</w:t>
            </w:r>
            <w:r w:rsidRPr="000E5A82">
              <w:rPr>
                <w:bCs/>
              </w:rPr>
              <w:t>ietuvos Respublikos administracinių nusižengimų kodekso 589 straipsnio pakeitim</w:t>
            </w:r>
            <w:r w:rsidR="00125D7F" w:rsidRPr="000E5A82">
              <w:rPr>
                <w:bCs/>
              </w:rPr>
              <w:t xml:space="preserve">ai, </w:t>
            </w:r>
            <w:r w:rsidR="00125D7F" w:rsidRPr="000E5A82">
              <w:rPr>
                <w:bCs/>
              </w:rPr>
              <w:lastRenderedPageBreak/>
              <w:t xml:space="preserve">kuriais </w:t>
            </w:r>
            <w:r w:rsidRPr="000E5A82">
              <w:rPr>
                <w:bCs/>
              </w:rPr>
              <w:t>siūloma VMI suteikti teisę</w:t>
            </w:r>
            <w:r w:rsidRPr="000E5A82">
              <w:t xml:space="preserve"> pradėti a</w:t>
            </w:r>
            <w:r w:rsidRPr="000E5A82">
              <w:rPr>
                <w:color w:val="000000"/>
              </w:rPr>
              <w:t>dministracinių nusižengimų teiseną, atlikti administracinių nusižengimų tyrimą ir surašyti administracinių nusižengimų protokolus už ANK 431 straipsnyje numatytus nusižengimus.</w:t>
            </w:r>
          </w:p>
          <w:p w14:paraId="454A979E" w14:textId="1153EDFC" w:rsidR="00F056F5" w:rsidRPr="000E5A82" w:rsidRDefault="00F056F5" w:rsidP="00F056F5">
            <w:pPr>
              <w:pStyle w:val="Bodytext20"/>
              <w:shd w:val="clear" w:color="auto" w:fill="auto"/>
              <w:tabs>
                <w:tab w:val="left" w:pos="740"/>
              </w:tabs>
              <w:spacing w:before="0" w:after="0" w:line="240" w:lineRule="auto"/>
            </w:pPr>
            <w:r w:rsidRPr="000E5A82">
              <w:rPr>
                <w:color w:val="000000"/>
              </w:rPr>
              <w:t xml:space="preserve">Nepritariame VMI pasiūlymui griežtinti administracinę atsakomybę, nes Projekto </w:t>
            </w:r>
            <w:r w:rsidR="004E75BF" w:rsidRPr="000E5A82">
              <w:rPr>
                <w:color w:val="000000"/>
              </w:rPr>
              <w:t xml:space="preserve">pagrindinis </w:t>
            </w:r>
            <w:r w:rsidRPr="000E5A82">
              <w:rPr>
                <w:color w:val="000000"/>
              </w:rPr>
              <w:t xml:space="preserve">tikslas </w:t>
            </w:r>
            <w:r w:rsidR="004E75BF" w:rsidRPr="000E5A82">
              <w:rPr>
                <w:color w:val="000000"/>
              </w:rPr>
              <w:t xml:space="preserve">– užtikrinti </w:t>
            </w:r>
            <w:r w:rsidR="004E75BF" w:rsidRPr="000E5A82">
              <w:t xml:space="preserve">mokestinių prievolių ir (ar) kitos teisinės atsakomybės </w:t>
            </w:r>
            <w:r w:rsidR="00C94221" w:rsidRPr="000E5A82">
              <w:t>už nustatytus teisės pažeidimus</w:t>
            </w:r>
            <w:r w:rsidR="004E75BF" w:rsidRPr="000E5A82">
              <w:t xml:space="preserve"> neišvengiamumą ir keisti visuomenės įpročius skatinant</w:t>
            </w:r>
            <w:r w:rsidR="004E75BF" w:rsidRPr="000E5A82">
              <w:rPr>
                <w:lang w:eastAsia="lt-LT"/>
              </w:rPr>
              <w:t xml:space="preserve"> tiek pardavėjų, tiek pirkėjų suinteresuotumą veikti sąžiningai.</w:t>
            </w:r>
          </w:p>
        </w:tc>
      </w:tr>
      <w:tr w:rsidR="00EA63EF" w:rsidRPr="00AA2663" w14:paraId="77E07928" w14:textId="77777777" w:rsidTr="0079027E">
        <w:tc>
          <w:tcPr>
            <w:tcW w:w="1702" w:type="dxa"/>
          </w:tcPr>
          <w:p w14:paraId="432E64DC" w14:textId="1B55788B" w:rsidR="00EA63EF" w:rsidRPr="00AA2663" w:rsidRDefault="00EA63EF" w:rsidP="0067247D">
            <w:pPr>
              <w:pStyle w:val="Bodytext20"/>
              <w:shd w:val="clear" w:color="auto" w:fill="auto"/>
              <w:tabs>
                <w:tab w:val="left" w:pos="740"/>
              </w:tabs>
              <w:spacing w:before="0" w:after="0" w:line="240" w:lineRule="auto"/>
            </w:pPr>
          </w:p>
        </w:tc>
        <w:tc>
          <w:tcPr>
            <w:tcW w:w="7087" w:type="dxa"/>
          </w:tcPr>
          <w:p w14:paraId="65E015E0" w14:textId="595522A3" w:rsidR="00EA63EF" w:rsidRPr="001C4B0C" w:rsidRDefault="00AA2663" w:rsidP="002A5306">
            <w:pPr>
              <w:pStyle w:val="Betarp"/>
              <w:jc w:val="both"/>
              <w:rPr>
                <w:bCs/>
                <w:szCs w:val="24"/>
                <w:lang w:val="lt-LT"/>
              </w:rPr>
            </w:pPr>
            <w:r w:rsidRPr="001C4B0C">
              <w:rPr>
                <w:bCs/>
                <w:szCs w:val="24"/>
                <w:lang w:val="lt-LT"/>
              </w:rPr>
              <w:t xml:space="preserve">3. </w:t>
            </w:r>
            <w:r w:rsidR="00EA63EF" w:rsidRPr="00AA2663">
              <w:rPr>
                <w:bCs/>
                <w:szCs w:val="24"/>
                <w:lang w:val="lt-LT"/>
              </w:rPr>
              <w:t xml:space="preserve">Aiškinamajame rašte nurodyta, kad </w:t>
            </w:r>
            <w:r w:rsidR="00EA63EF" w:rsidRPr="00AA2663">
              <w:rPr>
                <w:szCs w:val="24"/>
                <w:lang w:val="lt-LT"/>
              </w:rPr>
              <w:t xml:space="preserve">transporto priemonės savininko deklaravimo kodas (toliau </w:t>
            </w:r>
            <w:r w:rsidR="002A5306">
              <w:rPr>
                <w:szCs w:val="24"/>
                <w:lang w:val="lt-LT"/>
              </w:rPr>
              <w:t>–</w:t>
            </w:r>
            <w:r w:rsidR="00EA63EF" w:rsidRPr="00AA2663">
              <w:rPr>
                <w:szCs w:val="24"/>
                <w:lang w:val="lt-LT"/>
              </w:rPr>
              <w:t xml:space="preserve"> </w:t>
            </w:r>
            <w:r w:rsidR="00EA63EF" w:rsidRPr="00AA2663">
              <w:rPr>
                <w:bCs/>
                <w:szCs w:val="24"/>
                <w:lang w:val="lt-LT"/>
              </w:rPr>
              <w:t>SDK) taip pat turėtų būti naudojamas parduodant Lietuvos Respublikoje bet kurią transporto priemonę. Tačiau nėra aprašyta SKD skelbimo tvarka, ar bus numatytos prievolės skelbimų tinklalapiams, pardavimo aikštelėms skelbti SDK, kokiuose teisės aktuose tai bus numatyta ir kokia atsakomybė už teisės aktų nesilaikymą bus taikoma, kokiame ANK straipsnyje ar kitame teisės akte įtvirtinta.</w:t>
            </w:r>
          </w:p>
        </w:tc>
        <w:tc>
          <w:tcPr>
            <w:tcW w:w="6379" w:type="dxa"/>
          </w:tcPr>
          <w:p w14:paraId="16DD1AEE" w14:textId="77777777" w:rsidR="00EA63EF" w:rsidRDefault="00497C02" w:rsidP="0067247D">
            <w:pPr>
              <w:pStyle w:val="Bodytext20"/>
              <w:shd w:val="clear" w:color="auto" w:fill="auto"/>
              <w:tabs>
                <w:tab w:val="left" w:pos="740"/>
              </w:tabs>
              <w:spacing w:before="0" w:after="0" w:line="240" w:lineRule="auto"/>
              <w:rPr>
                <w:b/>
              </w:rPr>
            </w:pPr>
            <w:r>
              <w:rPr>
                <w:b/>
              </w:rPr>
              <w:t>Neatsižvelgta.</w:t>
            </w:r>
          </w:p>
          <w:p w14:paraId="60B416ED" w14:textId="321EA1BB" w:rsidR="00497C02" w:rsidRPr="00497C02" w:rsidRDefault="00497C02" w:rsidP="002A5306">
            <w:pPr>
              <w:pStyle w:val="Bodytext20"/>
              <w:shd w:val="clear" w:color="auto" w:fill="auto"/>
              <w:tabs>
                <w:tab w:val="left" w:pos="740"/>
              </w:tabs>
              <w:spacing w:before="0" w:after="0" w:line="240" w:lineRule="auto"/>
            </w:pPr>
            <w:r w:rsidRPr="00497C02">
              <w:rPr>
                <w:rFonts w:eastAsia="Calibri"/>
              </w:rPr>
              <w:t xml:space="preserve">SEAKĮ projekte numatyta, kad </w:t>
            </w:r>
            <w:r w:rsidRPr="00093E6B">
              <w:rPr>
                <w:rFonts w:eastAsia="Calibri"/>
              </w:rPr>
              <w:t>Motorinės transporto priemonės ir (</w:t>
            </w:r>
            <w:r>
              <w:rPr>
                <w:rFonts w:eastAsia="Calibri"/>
              </w:rPr>
              <w:t>ar) priekabos savininkas privalės</w:t>
            </w:r>
            <w:r w:rsidRPr="00093E6B">
              <w:rPr>
                <w:rFonts w:eastAsia="Calibri"/>
              </w:rPr>
              <w:t xml:space="preserve"> deklaruoti </w:t>
            </w:r>
            <w:r>
              <w:rPr>
                <w:rFonts w:eastAsia="Calibri"/>
              </w:rPr>
              <w:t xml:space="preserve"> parduodamą transporto priemonę </w:t>
            </w:r>
            <w:r w:rsidRPr="00093E6B">
              <w:rPr>
                <w:rFonts w:eastAsia="Calibri"/>
              </w:rPr>
              <w:t>Vyriausybės įgaliotos institucijos nustatyta tvarka</w:t>
            </w:r>
            <w:r>
              <w:rPr>
                <w:rFonts w:eastAsia="Calibri"/>
              </w:rPr>
              <w:t xml:space="preserve">, todėl detali </w:t>
            </w:r>
            <w:r w:rsidRPr="00AA2663">
              <w:t>transporto priem</w:t>
            </w:r>
            <w:r>
              <w:t>onės savininko deklaravimo kodo</w:t>
            </w:r>
            <w:r w:rsidRPr="00AA2663">
              <w:t xml:space="preserve"> </w:t>
            </w:r>
            <w:r>
              <w:t>suteikimo ir naudojimo tvarka bus reglamentuota įstatymo įgyvendinamajame teisės akte.</w:t>
            </w:r>
          </w:p>
        </w:tc>
      </w:tr>
      <w:tr w:rsidR="00EA63EF" w:rsidRPr="00AA2663" w14:paraId="26AE8A11" w14:textId="77777777" w:rsidTr="0079027E">
        <w:tc>
          <w:tcPr>
            <w:tcW w:w="1702" w:type="dxa"/>
          </w:tcPr>
          <w:p w14:paraId="5D529121" w14:textId="3B5EDC60" w:rsidR="00EA63EF" w:rsidRPr="00AA2663" w:rsidRDefault="00EA63EF" w:rsidP="0067247D">
            <w:pPr>
              <w:pStyle w:val="Bodytext20"/>
              <w:shd w:val="clear" w:color="auto" w:fill="auto"/>
              <w:tabs>
                <w:tab w:val="left" w:pos="740"/>
              </w:tabs>
              <w:spacing w:before="0" w:after="0" w:line="240" w:lineRule="auto"/>
            </w:pPr>
          </w:p>
        </w:tc>
        <w:tc>
          <w:tcPr>
            <w:tcW w:w="7087" w:type="dxa"/>
          </w:tcPr>
          <w:p w14:paraId="4396808C" w14:textId="1CB40FE2" w:rsidR="00EA63EF" w:rsidRPr="003762E1" w:rsidRDefault="00EA63EF" w:rsidP="00B8140B">
            <w:pPr>
              <w:pStyle w:val="Betarp"/>
              <w:jc w:val="both"/>
              <w:rPr>
                <w:bCs/>
                <w:szCs w:val="24"/>
                <w:lang w:val="lt-LT"/>
              </w:rPr>
            </w:pPr>
            <w:r w:rsidRPr="001C4B0C">
              <w:rPr>
                <w:bCs/>
                <w:szCs w:val="24"/>
                <w:lang w:val="lt-LT"/>
              </w:rPr>
              <w:t xml:space="preserve">4. </w:t>
            </w:r>
            <w:r w:rsidRPr="00AA2663">
              <w:rPr>
                <w:bCs/>
                <w:szCs w:val="24"/>
                <w:lang w:val="lt-LT"/>
              </w:rPr>
              <w:t>Aiškinamajame rašte kaip viena iš palankių aplinkybių šešėliui įvardijamas atsiskaitymas grynais. Atkreipiame dėmesį, kad pagal Latvijos Respublikoje esantį reglamentavimą, atsiskaitant grynaisiais pinigais ir sandorio sumai viršijus 7</w:t>
            </w:r>
            <w:r w:rsidR="002A5306">
              <w:rPr>
                <w:bCs/>
                <w:szCs w:val="24"/>
                <w:lang w:val="lt-LT"/>
              </w:rPr>
              <w:t> </w:t>
            </w:r>
            <w:r w:rsidRPr="00AA2663">
              <w:rPr>
                <w:bCs/>
                <w:szCs w:val="24"/>
                <w:lang w:val="lt-LT"/>
              </w:rPr>
              <w:t>200 Eur, visas sandoris apmokestinamas taikant 15 proc. tarifą.</w:t>
            </w:r>
            <w:r w:rsidRPr="00AA2663">
              <w:rPr>
                <w:szCs w:val="24"/>
                <w:lang w:val="lt-LT"/>
              </w:rPr>
              <w:t xml:space="preserve"> Siūlome svarstyti ribojimą atsiskaitymų </w:t>
            </w:r>
            <w:hyperlink r:id="rId8" w:tgtFrame="_blank" w:history="1">
              <w:r w:rsidRPr="00AA2663">
                <w:rPr>
                  <w:szCs w:val="24"/>
                  <w:lang w:val="lt-LT"/>
                </w:rPr>
                <w:t>grynaisiais pinigais</w:t>
              </w:r>
            </w:hyperlink>
            <w:r w:rsidRPr="00AA2663">
              <w:rPr>
                <w:szCs w:val="24"/>
                <w:lang w:val="lt-LT"/>
              </w:rPr>
              <w:t>.</w:t>
            </w:r>
          </w:p>
        </w:tc>
        <w:tc>
          <w:tcPr>
            <w:tcW w:w="6379" w:type="dxa"/>
          </w:tcPr>
          <w:p w14:paraId="3BB5BEEA" w14:textId="77777777" w:rsidR="00EA63EF" w:rsidRDefault="00F908AB" w:rsidP="0067247D">
            <w:pPr>
              <w:pStyle w:val="Bodytext20"/>
              <w:shd w:val="clear" w:color="auto" w:fill="auto"/>
              <w:tabs>
                <w:tab w:val="left" w:pos="740"/>
              </w:tabs>
              <w:spacing w:before="0" w:after="0" w:line="240" w:lineRule="auto"/>
              <w:rPr>
                <w:b/>
              </w:rPr>
            </w:pPr>
            <w:r>
              <w:rPr>
                <w:b/>
              </w:rPr>
              <w:t>Neatsižvelgta.</w:t>
            </w:r>
          </w:p>
          <w:p w14:paraId="7FCE415D" w14:textId="457E28EB" w:rsidR="00F908AB" w:rsidRPr="00F908AB" w:rsidRDefault="00254C3B" w:rsidP="00EC6749">
            <w:pPr>
              <w:pStyle w:val="Bodytext20"/>
              <w:shd w:val="clear" w:color="auto" w:fill="auto"/>
              <w:tabs>
                <w:tab w:val="left" w:pos="740"/>
              </w:tabs>
              <w:spacing w:before="0" w:after="0" w:line="240" w:lineRule="auto"/>
            </w:pPr>
            <w:r>
              <w:t>Pastaboje s</w:t>
            </w:r>
            <w:r w:rsidR="00F908AB" w:rsidRPr="00F908AB">
              <w:t xml:space="preserve">iūlomos priemonės yra ne </w:t>
            </w:r>
            <w:r w:rsidR="00EC6749">
              <w:t>SEAKĮ</w:t>
            </w:r>
            <w:r w:rsidR="00F908AB" w:rsidRPr="00F908AB">
              <w:t xml:space="preserve"> reguliavimo dalykas.</w:t>
            </w:r>
            <w:r w:rsidR="00F100B9">
              <w:t xml:space="preserve"> </w:t>
            </w:r>
            <w:r w:rsidR="00F100B9" w:rsidRPr="00F100B9">
              <w:t xml:space="preserve">Be to, Projekto tikslai nesusiję su reikalavimais pačiam sandoriui, o </w:t>
            </w:r>
            <w:r w:rsidR="00EC6749">
              <w:t>pa</w:t>
            </w:r>
            <w:r w:rsidR="00F100B9" w:rsidRPr="00F100B9">
              <w:t xml:space="preserve">siūlymas </w:t>
            </w:r>
            <w:r w:rsidR="00EC6749">
              <w:t xml:space="preserve">įtvirtinti </w:t>
            </w:r>
            <w:r w:rsidR="00F100B9">
              <w:t>atsiskaitymą grynaisiais pinigais</w:t>
            </w:r>
            <w:r w:rsidR="00F100B9" w:rsidRPr="00F100B9">
              <w:t xml:space="preserve">, </w:t>
            </w:r>
            <w:r w:rsidR="00A12BF8">
              <w:t xml:space="preserve">visų </w:t>
            </w:r>
            <w:r w:rsidR="00F100B9" w:rsidRPr="00F100B9">
              <w:t>pirma</w:t>
            </w:r>
            <w:r w:rsidR="00EC6749">
              <w:t>,</w:t>
            </w:r>
            <w:r w:rsidR="00F100B9" w:rsidRPr="00F100B9">
              <w:t xml:space="preserve"> turėtų būti suderintas su Finansų ministerija ir siūlomas įteisinti visiškai atskirais, naujai parengtais teisės aktais.   </w:t>
            </w:r>
          </w:p>
        </w:tc>
      </w:tr>
      <w:tr w:rsidR="00FC1C7E" w:rsidRPr="00AA2663" w14:paraId="73B71A73" w14:textId="77777777" w:rsidTr="0079027E">
        <w:tc>
          <w:tcPr>
            <w:tcW w:w="1702" w:type="dxa"/>
          </w:tcPr>
          <w:p w14:paraId="1E16E624" w14:textId="30B36BD7" w:rsidR="00FC1C7E" w:rsidRDefault="00FC1C7E" w:rsidP="00FC1C7E">
            <w:pPr>
              <w:pStyle w:val="Preformatted"/>
              <w:rPr>
                <w:rFonts w:ascii="Times New Roman" w:hAnsi="Times New Roman"/>
                <w:sz w:val="24"/>
                <w:szCs w:val="24"/>
              </w:rPr>
            </w:pPr>
            <w:r>
              <w:rPr>
                <w:rFonts w:ascii="Times New Roman" w:hAnsi="Times New Roman"/>
                <w:sz w:val="24"/>
                <w:szCs w:val="24"/>
              </w:rPr>
              <w:lastRenderedPageBreak/>
              <w:t>Muitinės departamentas prie Lietuvos Respublikos finansų ministerijos</w:t>
            </w:r>
          </w:p>
          <w:p w14:paraId="6F87AC65" w14:textId="66ABCA65" w:rsidR="00FC1C7E" w:rsidRPr="00AA2663" w:rsidRDefault="00FC1C7E" w:rsidP="00FC1C7E">
            <w:pPr>
              <w:pStyle w:val="Preformatted"/>
              <w:rPr>
                <w:rFonts w:ascii="Times New Roman" w:hAnsi="Times New Roman"/>
                <w:sz w:val="24"/>
                <w:szCs w:val="24"/>
              </w:rPr>
            </w:pPr>
            <w:r w:rsidRPr="00AA2663">
              <w:rPr>
                <w:rFonts w:ascii="Times New Roman" w:hAnsi="Times New Roman"/>
                <w:sz w:val="24"/>
                <w:szCs w:val="24"/>
              </w:rPr>
              <w:t>(2019-09-</w:t>
            </w:r>
            <w:r>
              <w:rPr>
                <w:rFonts w:ascii="Times New Roman" w:hAnsi="Times New Roman"/>
                <w:sz w:val="24"/>
                <w:szCs w:val="24"/>
              </w:rPr>
              <w:t>20</w:t>
            </w:r>
            <w:r w:rsidRPr="00AA2663">
              <w:rPr>
                <w:rFonts w:ascii="Times New Roman" w:hAnsi="Times New Roman"/>
                <w:sz w:val="24"/>
                <w:szCs w:val="24"/>
              </w:rPr>
              <w:t xml:space="preserve"> raštas Nr. </w:t>
            </w:r>
            <w:r>
              <w:rPr>
                <w:rFonts w:ascii="Times New Roman" w:hAnsi="Times New Roman"/>
                <w:sz w:val="24"/>
                <w:szCs w:val="24"/>
              </w:rPr>
              <w:t>(17.2/6</w:t>
            </w:r>
            <w:r w:rsidRPr="00AA2663">
              <w:rPr>
                <w:rFonts w:ascii="Times New Roman" w:hAnsi="Times New Roman"/>
                <w:sz w:val="24"/>
                <w:szCs w:val="24"/>
              </w:rPr>
              <w:t>)</w:t>
            </w:r>
            <w:r>
              <w:rPr>
                <w:rFonts w:ascii="Times New Roman" w:hAnsi="Times New Roman"/>
                <w:sz w:val="24"/>
                <w:szCs w:val="24"/>
              </w:rPr>
              <w:t>3B-7462)</w:t>
            </w:r>
          </w:p>
          <w:p w14:paraId="6B83B47A" w14:textId="77777777" w:rsidR="00FC1C7E" w:rsidRPr="00AA2663" w:rsidRDefault="00FC1C7E" w:rsidP="0067247D">
            <w:pPr>
              <w:pStyle w:val="Bodytext20"/>
              <w:shd w:val="clear" w:color="auto" w:fill="auto"/>
              <w:tabs>
                <w:tab w:val="left" w:pos="740"/>
              </w:tabs>
              <w:spacing w:before="0" w:after="0" w:line="240" w:lineRule="auto"/>
            </w:pPr>
          </w:p>
        </w:tc>
        <w:tc>
          <w:tcPr>
            <w:tcW w:w="7087" w:type="dxa"/>
          </w:tcPr>
          <w:p w14:paraId="36AFA555" w14:textId="6D516061" w:rsidR="00FC1C7E" w:rsidRPr="00AA2663" w:rsidRDefault="00FC1C7E" w:rsidP="003975D0">
            <w:pPr>
              <w:pStyle w:val="Antrats"/>
              <w:tabs>
                <w:tab w:val="left" w:pos="720"/>
              </w:tabs>
              <w:jc w:val="both"/>
              <w:rPr>
                <w:bCs/>
                <w:szCs w:val="24"/>
              </w:rPr>
            </w:pPr>
            <w:r>
              <w:t>Muitinės departamentas prie Lietuvos Respublikos finansų ministerijos išnagr</w:t>
            </w:r>
            <w:r w:rsidR="00F100B9">
              <w:t>i</w:t>
            </w:r>
            <w:r>
              <w:t xml:space="preserve">nėjo papildytą Lietuvos Respublikos saugaus eismo automobilių keliais įstatymo Nr. VIII-2043 20 ir 27 straipsnių pakeitimo įstatymo projektą (toliau – Projektas) ir, atsižvelgiant į tai, kad pagal </w:t>
            </w:r>
            <w:r w:rsidRPr="00D84C67">
              <w:t>2013 m. spalio 9 d.</w:t>
            </w:r>
            <w:r>
              <w:t xml:space="preserve"> </w:t>
            </w:r>
            <w:r w:rsidRPr="00D84C67">
              <w:t>Europos Parlamento ir Tarybos reglament</w:t>
            </w:r>
            <w:r>
              <w:t xml:space="preserve">o (ES) Nr. 953/2013, </w:t>
            </w:r>
            <w:r w:rsidRPr="00D84C67">
              <w:t>kuriuo nustatomas Sąjungos muitinės kodeksas</w:t>
            </w:r>
            <w:r>
              <w:t xml:space="preserve"> nuostatas, nustatyti importo mokesčiai turi būti mokami tik kai prekės (transporto priemonės) deklaruotos išleidimui į laisvą apyvartą muitinės procedūrai, o importo muitas – tai Europos Sąjungos nustatytas mokestis, siūlome, Projekto 2 straipsnio 2 dalyje (27 str. 4 dalies pakeitimas) vietoje žodžių „neatliktos privalomos muitinės procedūros ir nesumokėti valstybės nustatyti mokesčiai“ įrašyti žodžius „neatlikti išleidimo į laisvą apyvartą muitinės formalumai“. </w:t>
            </w:r>
          </w:p>
        </w:tc>
        <w:tc>
          <w:tcPr>
            <w:tcW w:w="6379" w:type="dxa"/>
          </w:tcPr>
          <w:p w14:paraId="67806832" w14:textId="77777777" w:rsidR="00FC1C7E" w:rsidRDefault="00FC1C7E" w:rsidP="0067247D">
            <w:pPr>
              <w:pStyle w:val="Bodytext20"/>
              <w:shd w:val="clear" w:color="auto" w:fill="auto"/>
              <w:tabs>
                <w:tab w:val="left" w:pos="740"/>
              </w:tabs>
              <w:spacing w:before="0" w:after="0" w:line="240" w:lineRule="auto"/>
              <w:rPr>
                <w:b/>
              </w:rPr>
            </w:pPr>
            <w:r>
              <w:rPr>
                <w:b/>
              </w:rPr>
              <w:t>Atsižvelgta iš dalies.</w:t>
            </w:r>
          </w:p>
          <w:p w14:paraId="1C745EAF" w14:textId="77777777" w:rsidR="00134DE4" w:rsidRDefault="00134DE4" w:rsidP="0067247D">
            <w:pPr>
              <w:pStyle w:val="Bodytext20"/>
              <w:shd w:val="clear" w:color="auto" w:fill="auto"/>
              <w:tabs>
                <w:tab w:val="left" w:pos="740"/>
              </w:tabs>
              <w:spacing w:before="0" w:after="0" w:line="240" w:lineRule="auto"/>
              <w:rPr>
                <w:color w:val="000000"/>
              </w:rPr>
            </w:pPr>
            <w:r>
              <w:rPr>
                <w:color w:val="000000"/>
              </w:rPr>
              <w:t>Siūlytina patikslinti SEAKĮ projekto 27 straipsnio 4 dalį ir ją išdėstyti taip:</w:t>
            </w:r>
          </w:p>
          <w:p w14:paraId="0B666ED8" w14:textId="4EB9DE05" w:rsidR="00FC1C7E" w:rsidRDefault="00134DE4" w:rsidP="00727E3B">
            <w:pPr>
              <w:pStyle w:val="Bodytext20"/>
              <w:shd w:val="clear" w:color="auto" w:fill="auto"/>
              <w:tabs>
                <w:tab w:val="left" w:pos="740"/>
              </w:tabs>
              <w:spacing w:before="0" w:after="0" w:line="240" w:lineRule="auto"/>
              <w:rPr>
                <w:b/>
              </w:rPr>
            </w:pPr>
            <w:r w:rsidRPr="00AA4FC9">
              <w:rPr>
                <w:color w:val="000000"/>
              </w:rPr>
              <w:t>„4. Vidaus reikalų ministro nustatyta tvarka nustačius, kad neatlikta ar negalioja motorinės transporto priemonės ir (ar) priekabos privalomoji techninė apžiūra arba kad motorinė transporto priemonė ir (ar) priekaba neapdrausta transporto priemonių valdytojų civilinės atsakomybės privalomuoju draudimu</w:t>
            </w:r>
            <w:r w:rsidRPr="00AA4FC9">
              <w:rPr>
                <w:strike/>
                <w:color w:val="000000"/>
              </w:rPr>
              <w:t>, arba kad</w:t>
            </w:r>
            <w:r w:rsidRPr="00AA4FC9">
              <w:rPr>
                <w:color w:val="000000"/>
              </w:rPr>
              <w:t xml:space="preserve"> </w:t>
            </w:r>
            <w:r w:rsidRPr="00AA4FC9">
              <w:rPr>
                <w:b/>
                <w:bCs/>
                <w:color w:val="000000"/>
              </w:rPr>
              <w:t>ir (ar)</w:t>
            </w:r>
            <w:r w:rsidRPr="00AA4FC9">
              <w:rPr>
                <w:color w:val="000000"/>
              </w:rPr>
              <w:t xml:space="preserve"> nesumokėti valstybės nustatyti su transporto priemone ar jos dalyvavimu viešajame eisme susiję mokesčiai, </w:t>
            </w:r>
            <w:r w:rsidRPr="00AA4FC9">
              <w:rPr>
                <w:b/>
                <w:bCs/>
                <w:color w:val="000000"/>
              </w:rPr>
              <w:t>arba kad</w:t>
            </w:r>
            <w:r>
              <w:rPr>
                <w:b/>
                <w:bCs/>
                <w:color w:val="000000"/>
              </w:rPr>
              <w:t xml:space="preserve"> neatlikt</w:t>
            </w:r>
            <w:r w:rsidR="00727E3B">
              <w:rPr>
                <w:b/>
                <w:bCs/>
                <w:color w:val="000000"/>
              </w:rPr>
              <w:t>os</w:t>
            </w:r>
            <w:r>
              <w:rPr>
                <w:b/>
                <w:bCs/>
                <w:color w:val="000000"/>
              </w:rPr>
              <w:t xml:space="preserve"> išleidimo į laisvą apyvartą muitinės</w:t>
            </w:r>
            <w:r w:rsidR="00727E3B">
              <w:rPr>
                <w:b/>
                <w:bCs/>
                <w:color w:val="000000"/>
              </w:rPr>
              <w:t xml:space="preserve"> procedūros</w:t>
            </w:r>
            <w:r w:rsidRPr="00AA4FC9">
              <w:rPr>
                <w:b/>
                <w:bCs/>
                <w:color w:val="000000"/>
              </w:rPr>
              <w:t>,</w:t>
            </w:r>
            <w:r w:rsidRPr="00134DE4">
              <w:rPr>
                <w:bCs/>
                <w:color w:val="000000"/>
              </w:rPr>
              <w:t xml:space="preserve"> &lt;...&gt;</w:t>
            </w:r>
            <w:r w:rsidR="003975D0">
              <w:rPr>
                <w:bCs/>
                <w:color w:val="000000"/>
              </w:rPr>
              <w:t>.</w:t>
            </w:r>
            <w:r w:rsidRPr="00134DE4">
              <w:rPr>
                <w:bCs/>
                <w:color w:val="000000"/>
              </w:rPr>
              <w:t>“</w:t>
            </w:r>
          </w:p>
        </w:tc>
      </w:tr>
      <w:tr w:rsidR="0000016A" w:rsidRPr="00AA2663" w14:paraId="74447030" w14:textId="77777777" w:rsidTr="0079027E">
        <w:tc>
          <w:tcPr>
            <w:tcW w:w="1702" w:type="dxa"/>
          </w:tcPr>
          <w:p w14:paraId="2DFB505A" w14:textId="77777777" w:rsidR="0000016A" w:rsidRDefault="0000016A" w:rsidP="00FC1C7E">
            <w:pPr>
              <w:pStyle w:val="Preformatted"/>
              <w:rPr>
                <w:rFonts w:ascii="Times New Roman" w:hAnsi="Times New Roman"/>
                <w:sz w:val="24"/>
                <w:szCs w:val="24"/>
              </w:rPr>
            </w:pPr>
            <w:r>
              <w:rPr>
                <w:rFonts w:ascii="Times New Roman" w:hAnsi="Times New Roman"/>
                <w:sz w:val="24"/>
                <w:szCs w:val="24"/>
              </w:rPr>
              <w:t>Valstybinė duomenų apsaugos inspekcija</w:t>
            </w:r>
          </w:p>
          <w:p w14:paraId="216D8482" w14:textId="2306D79A" w:rsidR="0000016A" w:rsidRDefault="0000016A" w:rsidP="00FC1C7E">
            <w:pPr>
              <w:pStyle w:val="Preformatted"/>
              <w:rPr>
                <w:rFonts w:ascii="Times New Roman" w:hAnsi="Times New Roman"/>
                <w:sz w:val="24"/>
                <w:szCs w:val="24"/>
              </w:rPr>
            </w:pPr>
            <w:r>
              <w:rPr>
                <w:rFonts w:ascii="Times New Roman" w:hAnsi="Times New Roman"/>
                <w:sz w:val="24"/>
                <w:szCs w:val="24"/>
              </w:rPr>
              <w:t>(2019-09-27 raštas Nr. 2R-4498(3.2E)</w:t>
            </w:r>
          </w:p>
        </w:tc>
        <w:tc>
          <w:tcPr>
            <w:tcW w:w="7087" w:type="dxa"/>
          </w:tcPr>
          <w:p w14:paraId="018126D4" w14:textId="6BDD272A" w:rsidR="0000016A" w:rsidRPr="001C4B0C" w:rsidRDefault="0000016A" w:rsidP="0029618B">
            <w:pPr>
              <w:pStyle w:val="Betarp"/>
              <w:jc w:val="both"/>
              <w:rPr>
                <w:lang w:val="lt-LT"/>
              </w:rPr>
            </w:pPr>
            <w:r w:rsidRPr="0000016A">
              <w:rPr>
                <w:szCs w:val="24"/>
                <w:lang w:val="lt-LT"/>
              </w:rPr>
              <w:t>Svarbu atkreipti dėmesį, kad Projekte nustatoma tik formali transporto priemonės savininko pareiga užpildyti deklaraciją apie turimas priemones, tačiau nėra įtvirtinama, kad deklaracijoje pateikti asmens duomenys būtų prieinami viešai, t. y. nėra įtvirtinamas savininko deklaravimo kodo suteikimas transporto priemonių savininkams, šių asmens duomenų viešinimas (vieša paieška), viešinimo tikslas, apimtis (kokie asmens duomenys bus prieinami viešai) ar terminai. Pažymėtina, kad bet koks asmens duomenų viešinimas, kaip žmogaus teisės į privatumą ir asmens duomenų apsaugą ribojimas, turėtų atitikti tiek Bendrojo duomenų apsaugos reglamento (toliau – BDAR), tiek Europos Sąjungos Teisingumo Teismo, Europos Žmogaus Teisių Teismo ir Lietuvos Respublikos Konstitucinio teismo praktiką.</w:t>
            </w:r>
            <w:r w:rsidR="00A6564E">
              <w:rPr>
                <w:szCs w:val="24"/>
                <w:lang w:val="lt-LT"/>
              </w:rPr>
              <w:t xml:space="preserve"> </w:t>
            </w:r>
            <w:r w:rsidRPr="0000016A">
              <w:rPr>
                <w:szCs w:val="24"/>
                <w:lang w:val="lt-LT"/>
              </w:rPr>
              <w:t>VDAI rekomendacijoje „</w:t>
            </w:r>
            <w:r w:rsidRPr="0000016A">
              <w:rPr>
                <w:rFonts w:eastAsia="Arial Unicode MS"/>
                <w:szCs w:val="24"/>
                <w:lang w:val="lt-LT"/>
              </w:rPr>
              <w:t>Dėl reikalavimų teisės aktų projektams, kuriais reglamentuojamas asmens duomenų tvarkymas</w:t>
            </w:r>
            <w:r w:rsidRPr="0000016A">
              <w:rPr>
                <w:szCs w:val="24"/>
                <w:lang w:val="lt-LT"/>
              </w:rPr>
              <w:t>“</w:t>
            </w:r>
            <w:r w:rsidR="006B77D0">
              <w:rPr>
                <w:szCs w:val="24"/>
                <w:lang w:val="lt-LT"/>
              </w:rPr>
              <w:t xml:space="preserve"> </w:t>
            </w:r>
            <w:r w:rsidRPr="0000016A">
              <w:rPr>
                <w:szCs w:val="24"/>
                <w:lang w:val="lt-LT"/>
              </w:rPr>
              <w:t>yra nurodyta, kad rengiant teisės aktų, kuriais numatomas asmens duomenų viešas paskelbimas, projektus, juose turi būti įtvirtinama, kad asmens duomenys bus skelbiami viešai (viešinimo faktas), taip pat tokio viešinimo tikslas, kokie konkrečiai asmens duomenys bus skelbiami bei kokį laikotarpį jie bus viešinami, net jeigu ir detalesnę skelbimo viešai tvarką pavedama nustatyti poįstatyminiais teisės aktais.</w:t>
            </w:r>
            <w:r w:rsidR="00A6564E">
              <w:rPr>
                <w:szCs w:val="24"/>
                <w:lang w:val="lt-LT"/>
              </w:rPr>
              <w:t xml:space="preserve"> </w:t>
            </w:r>
            <w:r w:rsidRPr="0000016A">
              <w:rPr>
                <w:szCs w:val="24"/>
                <w:lang w:val="lt-LT"/>
              </w:rPr>
              <w:t>Taigi, Projekte turi būti nustatytas tiek pats asmens duomenų viešinimo faktas, tiek pagrindinės su viešinimu susijusios nuostatos.</w:t>
            </w:r>
            <w:r w:rsidR="00A6564E">
              <w:rPr>
                <w:szCs w:val="24"/>
                <w:lang w:val="lt-LT"/>
              </w:rPr>
              <w:t xml:space="preserve"> </w:t>
            </w:r>
            <w:r w:rsidRPr="0000016A">
              <w:rPr>
                <w:szCs w:val="24"/>
                <w:lang w:val="lt-LT"/>
              </w:rPr>
              <w:t xml:space="preserve">Papildomai pastebėtina, </w:t>
            </w:r>
            <w:r w:rsidRPr="0000016A">
              <w:rPr>
                <w:szCs w:val="24"/>
                <w:lang w:val="lt-LT"/>
              </w:rPr>
              <w:lastRenderedPageBreak/>
              <w:t xml:space="preserve">kad tuo atveju, jei Projekte būtų įtvirtinama, kad detalesnę skelbimo viešai tvarką pavedama nustatyti poįstatyminiais teisės aktais, tuomet svarstytina, ar toks reguliavimas, dėl to, kad yra susijęs su žmogaus teisių ir laisvių ribojimu, neturėtų būti nustatytas aukštesnės galios teisės aktu – Vyriausybės nutarimu, kuriame būtų nustatyti pagrindiniai viešinimo aspektai, įskaitant išsamų viešinamų asmens duomenų sąrašą, jei toks nebūtų įtvirtinamas Projekte. </w:t>
            </w:r>
          </w:p>
        </w:tc>
        <w:tc>
          <w:tcPr>
            <w:tcW w:w="6379" w:type="dxa"/>
          </w:tcPr>
          <w:p w14:paraId="0F2CC190" w14:textId="77777777" w:rsidR="00C94221" w:rsidRPr="00C94221" w:rsidRDefault="00C94221" w:rsidP="00C94221">
            <w:pPr>
              <w:pStyle w:val="Bodytext20"/>
              <w:shd w:val="clear" w:color="auto" w:fill="auto"/>
              <w:tabs>
                <w:tab w:val="left" w:pos="740"/>
              </w:tabs>
              <w:spacing w:before="0" w:after="0" w:line="240" w:lineRule="auto"/>
              <w:rPr>
                <w:b/>
              </w:rPr>
            </w:pPr>
            <w:r w:rsidRPr="00C94221">
              <w:rPr>
                <w:b/>
              </w:rPr>
              <w:lastRenderedPageBreak/>
              <w:t>Neatsižvelgta.</w:t>
            </w:r>
          </w:p>
          <w:p w14:paraId="2B772587" w14:textId="40047988" w:rsidR="00C94221" w:rsidRPr="00C94221" w:rsidRDefault="00C94221" w:rsidP="00C94221">
            <w:pPr>
              <w:jc w:val="both"/>
              <w:rPr>
                <w:szCs w:val="24"/>
              </w:rPr>
            </w:pPr>
            <w:r w:rsidRPr="00C94221">
              <w:rPr>
                <w:szCs w:val="24"/>
              </w:rPr>
              <w:t>Projektu nesiūloma ir neplanuojama padaryti viešą asmens duomenų prieigą. Tokių nuostatų nėra nei projekte, nei projekto aiškinamajame rašte. Vieša bus tik informacija</w:t>
            </w:r>
            <w:r>
              <w:rPr>
                <w:szCs w:val="24"/>
              </w:rPr>
              <w:t>,</w:t>
            </w:r>
            <w:r w:rsidRPr="00C94221">
              <w:rPr>
                <w:szCs w:val="24"/>
              </w:rPr>
              <w:t xml:space="preserve"> ar parduodamai </w:t>
            </w:r>
            <w:r>
              <w:rPr>
                <w:szCs w:val="24"/>
              </w:rPr>
              <w:t>transporto priemonei</w:t>
            </w:r>
            <w:r w:rsidRPr="00C94221">
              <w:rPr>
                <w:szCs w:val="24"/>
              </w:rPr>
              <w:t xml:space="preserve"> suteikt</w:t>
            </w:r>
            <w:r>
              <w:rPr>
                <w:szCs w:val="24"/>
              </w:rPr>
              <w:t>as deklaravimo kodas (SDK)</w:t>
            </w:r>
            <w:r w:rsidR="00762366">
              <w:rPr>
                <w:szCs w:val="24"/>
              </w:rPr>
              <w:t>,</w:t>
            </w:r>
            <w:r>
              <w:rPr>
                <w:szCs w:val="24"/>
              </w:rPr>
              <w:t xml:space="preserve"> ar n</w:t>
            </w:r>
            <w:r w:rsidR="00762366">
              <w:rPr>
                <w:szCs w:val="24"/>
              </w:rPr>
              <w:t>e</w:t>
            </w:r>
            <w:r>
              <w:rPr>
                <w:szCs w:val="24"/>
              </w:rPr>
              <w:t>, t.</w:t>
            </w:r>
            <w:r w:rsidR="0029618B">
              <w:rPr>
                <w:szCs w:val="24"/>
              </w:rPr>
              <w:t xml:space="preserve"> </w:t>
            </w:r>
            <w:r>
              <w:rPr>
                <w:szCs w:val="24"/>
              </w:rPr>
              <w:t>y.</w:t>
            </w:r>
            <w:r w:rsidRPr="00C94221">
              <w:rPr>
                <w:szCs w:val="24"/>
              </w:rPr>
              <w:t xml:space="preserve">, pirkėjas turėdamas pardavėjo SDK (jei jis jį jam suteiks), galės pasitikrinti </w:t>
            </w:r>
            <w:r>
              <w:rPr>
                <w:szCs w:val="24"/>
              </w:rPr>
              <w:t>VĮ „</w:t>
            </w:r>
            <w:proofErr w:type="spellStart"/>
            <w:r>
              <w:rPr>
                <w:szCs w:val="24"/>
              </w:rPr>
              <w:t>Regitra</w:t>
            </w:r>
            <w:proofErr w:type="spellEnd"/>
            <w:r>
              <w:rPr>
                <w:szCs w:val="24"/>
              </w:rPr>
              <w:t xml:space="preserve">“ </w:t>
            </w:r>
            <w:r w:rsidRPr="00C94221">
              <w:rPr>
                <w:szCs w:val="24"/>
              </w:rPr>
              <w:t>platformoje</w:t>
            </w:r>
            <w:r>
              <w:rPr>
                <w:szCs w:val="24"/>
              </w:rPr>
              <w:t>, ar jis tikras ir atitinka konkrečią transporto priemonę</w:t>
            </w:r>
            <w:r w:rsidRPr="00C94221">
              <w:rPr>
                <w:szCs w:val="24"/>
              </w:rPr>
              <w:t xml:space="preserve"> (pvz.</w:t>
            </w:r>
            <w:r w:rsidR="0029618B">
              <w:rPr>
                <w:szCs w:val="24"/>
              </w:rPr>
              <w:t>,</w:t>
            </w:r>
            <w:r w:rsidRPr="00C94221">
              <w:rPr>
                <w:szCs w:val="24"/>
              </w:rPr>
              <w:t xml:space="preserve"> pagal VIN). Be pa</w:t>
            </w:r>
            <w:r w:rsidR="0029618B">
              <w:rPr>
                <w:szCs w:val="24"/>
              </w:rPr>
              <w:t>ties</w:t>
            </w:r>
            <w:r w:rsidRPr="00C94221">
              <w:rPr>
                <w:szCs w:val="24"/>
              </w:rPr>
              <w:t xml:space="preserve"> pardavėjo žinios visą informaciją apie deklaruotus asmens duomenis galės g</w:t>
            </w:r>
            <w:r>
              <w:rPr>
                <w:szCs w:val="24"/>
              </w:rPr>
              <w:t>auti tik kontrolės institucijos</w:t>
            </w:r>
            <w:r w:rsidRPr="00C94221">
              <w:rPr>
                <w:szCs w:val="24"/>
              </w:rPr>
              <w:t xml:space="preserve"> kontrolės tikslais. Iš esmės SDK sistema ir kuriama išskirtinai tik valstybės kontrolės tikslais (atsakomybės neišvengiamum</w:t>
            </w:r>
            <w:r w:rsidR="0029618B">
              <w:rPr>
                <w:szCs w:val="24"/>
              </w:rPr>
              <w:t>ui</w:t>
            </w:r>
            <w:r w:rsidRPr="00C94221">
              <w:rPr>
                <w:szCs w:val="24"/>
              </w:rPr>
              <w:t xml:space="preserve"> ir mokestin</w:t>
            </w:r>
            <w:r w:rsidR="0029618B">
              <w:rPr>
                <w:szCs w:val="24"/>
              </w:rPr>
              <w:t>ėms</w:t>
            </w:r>
            <w:r w:rsidRPr="00C94221">
              <w:rPr>
                <w:szCs w:val="24"/>
              </w:rPr>
              <w:t xml:space="preserve"> prievol</w:t>
            </w:r>
            <w:r w:rsidR="0029618B">
              <w:rPr>
                <w:szCs w:val="24"/>
              </w:rPr>
              <w:t>ėms</w:t>
            </w:r>
            <w:r w:rsidRPr="00C94221">
              <w:rPr>
                <w:szCs w:val="24"/>
              </w:rPr>
              <w:t xml:space="preserve"> užtikrin</w:t>
            </w:r>
            <w:r w:rsidR="0029618B">
              <w:rPr>
                <w:szCs w:val="24"/>
              </w:rPr>
              <w:t>ti</w:t>
            </w:r>
            <w:bookmarkStart w:id="0" w:name="_GoBack"/>
            <w:bookmarkEnd w:id="0"/>
            <w:r w:rsidRPr="00C94221">
              <w:rPr>
                <w:szCs w:val="24"/>
              </w:rPr>
              <w:t>).</w:t>
            </w:r>
          </w:p>
          <w:p w14:paraId="52BB3DF3" w14:textId="77777777" w:rsidR="0000016A" w:rsidRDefault="0000016A" w:rsidP="0067247D">
            <w:pPr>
              <w:pStyle w:val="Bodytext20"/>
              <w:shd w:val="clear" w:color="auto" w:fill="auto"/>
              <w:tabs>
                <w:tab w:val="left" w:pos="740"/>
              </w:tabs>
              <w:spacing w:before="0" w:after="0" w:line="240" w:lineRule="auto"/>
              <w:rPr>
                <w:b/>
              </w:rPr>
            </w:pPr>
          </w:p>
        </w:tc>
      </w:tr>
    </w:tbl>
    <w:p w14:paraId="6696F0F6" w14:textId="37612123" w:rsidR="00E05A7B" w:rsidRPr="00AA2663" w:rsidRDefault="00E05A7B" w:rsidP="00966562">
      <w:pPr>
        <w:jc w:val="center"/>
        <w:rPr>
          <w:szCs w:val="24"/>
        </w:rPr>
      </w:pPr>
    </w:p>
    <w:p w14:paraId="38BA0244" w14:textId="5ABF1135" w:rsidR="002E2DE6" w:rsidRPr="00AA2663" w:rsidRDefault="00966562" w:rsidP="00966562">
      <w:pPr>
        <w:jc w:val="center"/>
        <w:rPr>
          <w:szCs w:val="24"/>
        </w:rPr>
      </w:pPr>
      <w:r w:rsidRPr="00AA2663">
        <w:rPr>
          <w:szCs w:val="24"/>
        </w:rPr>
        <w:t>___________________________________________________</w:t>
      </w:r>
    </w:p>
    <w:sectPr w:rsidR="002E2DE6" w:rsidRPr="00AA2663" w:rsidSect="0067247D">
      <w:headerReference w:type="default" r:id="rId9"/>
      <w:pgSz w:w="16838" w:h="11906" w:orient="landscape" w:code="9"/>
      <w:pgMar w:top="153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36379" w14:textId="77777777" w:rsidR="003C190D" w:rsidRDefault="003C190D" w:rsidP="00FE70B6">
      <w:r>
        <w:separator/>
      </w:r>
    </w:p>
  </w:endnote>
  <w:endnote w:type="continuationSeparator" w:id="0">
    <w:p w14:paraId="4C22F3BB" w14:textId="77777777" w:rsidR="003C190D" w:rsidRDefault="003C190D" w:rsidP="00FE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B201C" w14:textId="77777777" w:rsidR="003C190D" w:rsidRDefault="003C190D" w:rsidP="00FE70B6">
      <w:r>
        <w:separator/>
      </w:r>
    </w:p>
  </w:footnote>
  <w:footnote w:type="continuationSeparator" w:id="0">
    <w:p w14:paraId="336332BD" w14:textId="77777777" w:rsidR="003C190D" w:rsidRDefault="003C190D" w:rsidP="00FE7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7153240"/>
      <w:docPartObj>
        <w:docPartGallery w:val="Page Numbers (Top of Page)"/>
        <w:docPartUnique/>
      </w:docPartObj>
    </w:sdtPr>
    <w:sdtEndPr/>
    <w:sdtContent>
      <w:p w14:paraId="77E40596" w14:textId="1EDD2656" w:rsidR="00FE70B6" w:rsidRDefault="00FE70B6">
        <w:pPr>
          <w:pStyle w:val="Antrats"/>
          <w:jc w:val="center"/>
        </w:pPr>
        <w:r>
          <w:fldChar w:fldCharType="begin"/>
        </w:r>
        <w:r>
          <w:instrText>PAGE   \* MERGEFORMAT</w:instrText>
        </w:r>
        <w:r>
          <w:fldChar w:fldCharType="separate"/>
        </w:r>
        <w:r w:rsidR="003762E1">
          <w:rPr>
            <w:noProof/>
          </w:rPr>
          <w:t>6</w:t>
        </w:r>
        <w:r>
          <w:fldChar w:fldCharType="end"/>
        </w:r>
      </w:p>
    </w:sdtContent>
  </w:sdt>
  <w:p w14:paraId="01B74BB3" w14:textId="77777777" w:rsidR="00FE70B6" w:rsidRDefault="00FE70B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5A0740"/>
    <w:multiLevelType w:val="hybridMultilevel"/>
    <w:tmpl w:val="194601E0"/>
    <w:lvl w:ilvl="0" w:tplc="62F23D54">
      <w:start w:val="1"/>
      <w:numFmt w:val="decimal"/>
      <w:lvlText w:val="%1."/>
      <w:lvlJc w:val="left"/>
      <w:pPr>
        <w:ind w:left="927"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nsid w:val="26153416"/>
    <w:multiLevelType w:val="multilevel"/>
    <w:tmpl w:val="EA905782"/>
    <w:lvl w:ilvl="0">
      <w:start w:val="1"/>
      <w:numFmt w:val="decimal"/>
      <w:lvlText w:val="%1."/>
      <w:lvlJc w:val="left"/>
      <w:pPr>
        <w:ind w:left="1080" w:hanging="360"/>
      </w:pPr>
      <w:rPr>
        <w:rFonts w:eastAsia="MS Mincho" w:hint="default"/>
      </w:rPr>
    </w:lvl>
    <w:lvl w:ilvl="1">
      <w:start w:val="1"/>
      <w:numFmt w:val="decimal"/>
      <w:isLgl/>
      <w:lvlText w:val="%1.%2."/>
      <w:lvlJc w:val="left"/>
      <w:pPr>
        <w:ind w:left="1146" w:hanging="720"/>
      </w:pPr>
      <w:rPr>
        <w:rFonts w:hint="default"/>
      </w:rPr>
    </w:lvl>
    <w:lvl w:ilvl="2">
      <w:start w:val="1"/>
      <w:numFmt w:val="decimalZero"/>
      <w:isLgl/>
      <w:lvlText w:val="%1.%2.%3."/>
      <w:lvlJc w:val="left"/>
      <w:pPr>
        <w:ind w:left="1440" w:hanging="720"/>
      </w:pPr>
      <w:rPr>
        <w:rFonts w:hint="default"/>
      </w:rPr>
    </w:lvl>
    <w:lvl w:ilvl="3">
      <w:start w:val="1"/>
      <w:numFmt w:val="decimalZero"/>
      <w:isLgl/>
      <w:lvlText w:val="%1.%2.%3.%4."/>
      <w:lvlJc w:val="left"/>
      <w:pPr>
        <w:ind w:left="1800" w:hanging="1080"/>
      </w:pPr>
      <w:rPr>
        <w:rFonts w:hint="default"/>
      </w:rPr>
    </w:lvl>
    <w:lvl w:ilvl="4">
      <w:start w:val="1"/>
      <w:numFmt w:val="decimalZero"/>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nsid w:val="55031B99"/>
    <w:multiLevelType w:val="multilevel"/>
    <w:tmpl w:val="EA905782"/>
    <w:lvl w:ilvl="0">
      <w:start w:val="1"/>
      <w:numFmt w:val="decimal"/>
      <w:lvlText w:val="%1."/>
      <w:lvlJc w:val="left"/>
      <w:pPr>
        <w:ind w:left="1080" w:hanging="360"/>
      </w:pPr>
      <w:rPr>
        <w:rFonts w:eastAsia="MS Mincho" w:hint="default"/>
      </w:rPr>
    </w:lvl>
    <w:lvl w:ilvl="1">
      <w:start w:val="1"/>
      <w:numFmt w:val="decimal"/>
      <w:isLgl/>
      <w:lvlText w:val="%1.%2."/>
      <w:lvlJc w:val="left"/>
      <w:pPr>
        <w:ind w:left="1146" w:hanging="720"/>
      </w:pPr>
      <w:rPr>
        <w:rFonts w:hint="default"/>
      </w:rPr>
    </w:lvl>
    <w:lvl w:ilvl="2">
      <w:start w:val="1"/>
      <w:numFmt w:val="decimalZero"/>
      <w:isLgl/>
      <w:lvlText w:val="%1.%2.%3."/>
      <w:lvlJc w:val="left"/>
      <w:pPr>
        <w:ind w:left="1440" w:hanging="720"/>
      </w:pPr>
      <w:rPr>
        <w:rFonts w:hint="default"/>
      </w:rPr>
    </w:lvl>
    <w:lvl w:ilvl="3">
      <w:start w:val="1"/>
      <w:numFmt w:val="decimalZero"/>
      <w:isLgl/>
      <w:lvlText w:val="%1.%2.%3.%4."/>
      <w:lvlJc w:val="left"/>
      <w:pPr>
        <w:ind w:left="1800" w:hanging="1080"/>
      </w:pPr>
      <w:rPr>
        <w:rFonts w:hint="default"/>
      </w:rPr>
    </w:lvl>
    <w:lvl w:ilvl="4">
      <w:start w:val="1"/>
      <w:numFmt w:val="decimalZero"/>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57FC364A"/>
    <w:multiLevelType w:val="hybridMultilevel"/>
    <w:tmpl w:val="9C8E9CC6"/>
    <w:lvl w:ilvl="0" w:tplc="4A0065EC">
      <w:start w:val="1"/>
      <w:numFmt w:val="decimal"/>
      <w:lvlText w:val="%1."/>
      <w:lvlJc w:val="left"/>
      <w:pPr>
        <w:ind w:left="1211"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nsid w:val="5C2C5782"/>
    <w:multiLevelType w:val="hybridMultilevel"/>
    <w:tmpl w:val="A620CCA6"/>
    <w:lvl w:ilvl="0" w:tplc="0030B17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DE6"/>
    <w:rsid w:val="0000016A"/>
    <w:rsid w:val="000158EB"/>
    <w:rsid w:val="00017A39"/>
    <w:rsid w:val="00021FDA"/>
    <w:rsid w:val="0003172A"/>
    <w:rsid w:val="00031832"/>
    <w:rsid w:val="00033AAB"/>
    <w:rsid w:val="00034495"/>
    <w:rsid w:val="00035D15"/>
    <w:rsid w:val="00047EDB"/>
    <w:rsid w:val="00052F4C"/>
    <w:rsid w:val="0008763B"/>
    <w:rsid w:val="00093E6B"/>
    <w:rsid w:val="000A7244"/>
    <w:rsid w:val="000B2C0A"/>
    <w:rsid w:val="000C163D"/>
    <w:rsid w:val="000C1EC3"/>
    <w:rsid w:val="000C65AD"/>
    <w:rsid w:val="000D4DE1"/>
    <w:rsid w:val="000D5FFD"/>
    <w:rsid w:val="000E1D5E"/>
    <w:rsid w:val="000E5A82"/>
    <w:rsid w:val="0010105B"/>
    <w:rsid w:val="0010208E"/>
    <w:rsid w:val="00121335"/>
    <w:rsid w:val="00125D7F"/>
    <w:rsid w:val="001260B8"/>
    <w:rsid w:val="00134DE4"/>
    <w:rsid w:val="00135790"/>
    <w:rsid w:val="00143B1A"/>
    <w:rsid w:val="00147F62"/>
    <w:rsid w:val="0016256F"/>
    <w:rsid w:val="00172DC9"/>
    <w:rsid w:val="00186656"/>
    <w:rsid w:val="001902AE"/>
    <w:rsid w:val="001A2969"/>
    <w:rsid w:val="001A2FB3"/>
    <w:rsid w:val="001C4B0C"/>
    <w:rsid w:val="001D63F1"/>
    <w:rsid w:val="001E5BBF"/>
    <w:rsid w:val="001F0E21"/>
    <w:rsid w:val="0020099D"/>
    <w:rsid w:val="002118B7"/>
    <w:rsid w:val="002120DB"/>
    <w:rsid w:val="00230AD7"/>
    <w:rsid w:val="002338EC"/>
    <w:rsid w:val="0024792D"/>
    <w:rsid w:val="00254C3B"/>
    <w:rsid w:val="00257AFB"/>
    <w:rsid w:val="00266F76"/>
    <w:rsid w:val="00274A0B"/>
    <w:rsid w:val="002860A6"/>
    <w:rsid w:val="0029618B"/>
    <w:rsid w:val="0029664B"/>
    <w:rsid w:val="002A5306"/>
    <w:rsid w:val="002A6F47"/>
    <w:rsid w:val="002B2F4F"/>
    <w:rsid w:val="002C0F27"/>
    <w:rsid w:val="002D19DC"/>
    <w:rsid w:val="002D1E71"/>
    <w:rsid w:val="002D4E7D"/>
    <w:rsid w:val="002E2DE6"/>
    <w:rsid w:val="002F5A91"/>
    <w:rsid w:val="00306040"/>
    <w:rsid w:val="00325C92"/>
    <w:rsid w:val="00331138"/>
    <w:rsid w:val="00340AE4"/>
    <w:rsid w:val="00343E25"/>
    <w:rsid w:val="00351158"/>
    <w:rsid w:val="0035505E"/>
    <w:rsid w:val="0036021B"/>
    <w:rsid w:val="00362638"/>
    <w:rsid w:val="0036263A"/>
    <w:rsid w:val="0036380F"/>
    <w:rsid w:val="003762E1"/>
    <w:rsid w:val="00381720"/>
    <w:rsid w:val="003975D0"/>
    <w:rsid w:val="003B55BB"/>
    <w:rsid w:val="003C190D"/>
    <w:rsid w:val="003D36E3"/>
    <w:rsid w:val="003D39D4"/>
    <w:rsid w:val="003F02C4"/>
    <w:rsid w:val="003F461E"/>
    <w:rsid w:val="00411E7F"/>
    <w:rsid w:val="00423C26"/>
    <w:rsid w:val="004419C2"/>
    <w:rsid w:val="00445387"/>
    <w:rsid w:val="00482024"/>
    <w:rsid w:val="00497C02"/>
    <w:rsid w:val="004E75BF"/>
    <w:rsid w:val="00514560"/>
    <w:rsid w:val="00522C91"/>
    <w:rsid w:val="00532A19"/>
    <w:rsid w:val="00554A81"/>
    <w:rsid w:val="00562C27"/>
    <w:rsid w:val="00571541"/>
    <w:rsid w:val="005812E3"/>
    <w:rsid w:val="005F66E7"/>
    <w:rsid w:val="006007BF"/>
    <w:rsid w:val="00605209"/>
    <w:rsid w:val="00615F06"/>
    <w:rsid w:val="00640894"/>
    <w:rsid w:val="00644243"/>
    <w:rsid w:val="00666132"/>
    <w:rsid w:val="0067247D"/>
    <w:rsid w:val="006810EE"/>
    <w:rsid w:val="00686BDE"/>
    <w:rsid w:val="00690DA7"/>
    <w:rsid w:val="00691677"/>
    <w:rsid w:val="006B77D0"/>
    <w:rsid w:val="006C1967"/>
    <w:rsid w:val="006E6E43"/>
    <w:rsid w:val="006F266D"/>
    <w:rsid w:val="00703BCB"/>
    <w:rsid w:val="0071280D"/>
    <w:rsid w:val="00727E3B"/>
    <w:rsid w:val="00761EFB"/>
    <w:rsid w:val="00762366"/>
    <w:rsid w:val="0079027E"/>
    <w:rsid w:val="007A2A64"/>
    <w:rsid w:val="007A3EF4"/>
    <w:rsid w:val="007A794E"/>
    <w:rsid w:val="007B732E"/>
    <w:rsid w:val="007C1AA1"/>
    <w:rsid w:val="007D3C0F"/>
    <w:rsid w:val="007D4C6C"/>
    <w:rsid w:val="007E5851"/>
    <w:rsid w:val="007F195D"/>
    <w:rsid w:val="007F5726"/>
    <w:rsid w:val="007F754E"/>
    <w:rsid w:val="00800A7A"/>
    <w:rsid w:val="00835F7E"/>
    <w:rsid w:val="00852B7F"/>
    <w:rsid w:val="0087516A"/>
    <w:rsid w:val="008769A8"/>
    <w:rsid w:val="00876C1C"/>
    <w:rsid w:val="00881139"/>
    <w:rsid w:val="0089273D"/>
    <w:rsid w:val="008967F6"/>
    <w:rsid w:val="008C717B"/>
    <w:rsid w:val="008D3C2B"/>
    <w:rsid w:val="008D51B7"/>
    <w:rsid w:val="008D75F0"/>
    <w:rsid w:val="008E222A"/>
    <w:rsid w:val="008E304B"/>
    <w:rsid w:val="008F75F7"/>
    <w:rsid w:val="00902F50"/>
    <w:rsid w:val="00943951"/>
    <w:rsid w:val="0094470D"/>
    <w:rsid w:val="00950813"/>
    <w:rsid w:val="00950C88"/>
    <w:rsid w:val="00953CB4"/>
    <w:rsid w:val="00956FF9"/>
    <w:rsid w:val="00965B88"/>
    <w:rsid w:val="00966562"/>
    <w:rsid w:val="00974F95"/>
    <w:rsid w:val="009A3362"/>
    <w:rsid w:val="009B2B01"/>
    <w:rsid w:val="009B603C"/>
    <w:rsid w:val="009C1C7F"/>
    <w:rsid w:val="009C2819"/>
    <w:rsid w:val="009D0C72"/>
    <w:rsid w:val="009D1D1D"/>
    <w:rsid w:val="009D5480"/>
    <w:rsid w:val="009E4EC6"/>
    <w:rsid w:val="009E4F17"/>
    <w:rsid w:val="00A12BF8"/>
    <w:rsid w:val="00A13451"/>
    <w:rsid w:val="00A2149F"/>
    <w:rsid w:val="00A3163A"/>
    <w:rsid w:val="00A33FF5"/>
    <w:rsid w:val="00A35F44"/>
    <w:rsid w:val="00A3602E"/>
    <w:rsid w:val="00A529CF"/>
    <w:rsid w:val="00A52C2E"/>
    <w:rsid w:val="00A55C51"/>
    <w:rsid w:val="00A6564E"/>
    <w:rsid w:val="00A6654C"/>
    <w:rsid w:val="00A71180"/>
    <w:rsid w:val="00AA2663"/>
    <w:rsid w:val="00AA3A58"/>
    <w:rsid w:val="00AB0A58"/>
    <w:rsid w:val="00AC1C3C"/>
    <w:rsid w:val="00AC4FDA"/>
    <w:rsid w:val="00AD3532"/>
    <w:rsid w:val="00B0750C"/>
    <w:rsid w:val="00B11F27"/>
    <w:rsid w:val="00B32C2D"/>
    <w:rsid w:val="00B35648"/>
    <w:rsid w:val="00B45D84"/>
    <w:rsid w:val="00B6338F"/>
    <w:rsid w:val="00B8140B"/>
    <w:rsid w:val="00B8252B"/>
    <w:rsid w:val="00B92405"/>
    <w:rsid w:val="00BF4164"/>
    <w:rsid w:val="00BF4356"/>
    <w:rsid w:val="00C1082C"/>
    <w:rsid w:val="00C40898"/>
    <w:rsid w:val="00C43289"/>
    <w:rsid w:val="00C56C26"/>
    <w:rsid w:val="00C6698B"/>
    <w:rsid w:val="00C70AC1"/>
    <w:rsid w:val="00C94221"/>
    <w:rsid w:val="00CA27B1"/>
    <w:rsid w:val="00CA4D6B"/>
    <w:rsid w:val="00CB0100"/>
    <w:rsid w:val="00CB6ADB"/>
    <w:rsid w:val="00CC14E5"/>
    <w:rsid w:val="00CC7FB4"/>
    <w:rsid w:val="00CD42E9"/>
    <w:rsid w:val="00CD52D1"/>
    <w:rsid w:val="00CF06D3"/>
    <w:rsid w:val="00D008E9"/>
    <w:rsid w:val="00D15D60"/>
    <w:rsid w:val="00D25724"/>
    <w:rsid w:val="00D32280"/>
    <w:rsid w:val="00D37E3D"/>
    <w:rsid w:val="00D4085F"/>
    <w:rsid w:val="00D45342"/>
    <w:rsid w:val="00D46265"/>
    <w:rsid w:val="00D56B5C"/>
    <w:rsid w:val="00D85F64"/>
    <w:rsid w:val="00DA7951"/>
    <w:rsid w:val="00DB299E"/>
    <w:rsid w:val="00DC2C0E"/>
    <w:rsid w:val="00DE5C45"/>
    <w:rsid w:val="00DE7B75"/>
    <w:rsid w:val="00DF5BC6"/>
    <w:rsid w:val="00E02C86"/>
    <w:rsid w:val="00E055A9"/>
    <w:rsid w:val="00E05A7B"/>
    <w:rsid w:val="00E23D35"/>
    <w:rsid w:val="00E4319D"/>
    <w:rsid w:val="00E45871"/>
    <w:rsid w:val="00E5678D"/>
    <w:rsid w:val="00E62295"/>
    <w:rsid w:val="00E937DF"/>
    <w:rsid w:val="00E95C69"/>
    <w:rsid w:val="00EA06BD"/>
    <w:rsid w:val="00EA63EF"/>
    <w:rsid w:val="00EB35F1"/>
    <w:rsid w:val="00EC3FB7"/>
    <w:rsid w:val="00EC6749"/>
    <w:rsid w:val="00EF11EA"/>
    <w:rsid w:val="00F039D6"/>
    <w:rsid w:val="00F056F5"/>
    <w:rsid w:val="00F100B9"/>
    <w:rsid w:val="00F21C9C"/>
    <w:rsid w:val="00F24CC9"/>
    <w:rsid w:val="00F40869"/>
    <w:rsid w:val="00F511F6"/>
    <w:rsid w:val="00F6098D"/>
    <w:rsid w:val="00F623F5"/>
    <w:rsid w:val="00F67E21"/>
    <w:rsid w:val="00F70186"/>
    <w:rsid w:val="00F908AB"/>
    <w:rsid w:val="00F935CE"/>
    <w:rsid w:val="00FB7CA6"/>
    <w:rsid w:val="00FC1C7E"/>
    <w:rsid w:val="00FC799F"/>
    <w:rsid w:val="00FD3779"/>
    <w:rsid w:val="00FD5989"/>
    <w:rsid w:val="00FE70B6"/>
    <w:rsid w:val="00FE7A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97F03"/>
  <w15:docId w15:val="{9B3DE8B1-0B23-48B5-8456-66231FF2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2DE6"/>
    <w:rPr>
      <w:rFonts w:eastAsia="Times New Roman"/>
      <w:szCs w:val="20"/>
    </w:rPr>
  </w:style>
  <w:style w:type="paragraph" w:styleId="Antrat2">
    <w:name w:val="heading 2"/>
    <w:basedOn w:val="prastasis"/>
    <w:next w:val="prastasis"/>
    <w:link w:val="Antrat2Diagrama"/>
    <w:qFormat/>
    <w:rsid w:val="002E2DE6"/>
    <w:pPr>
      <w:keepNext/>
      <w:ind w:firstLine="720"/>
      <w:jc w:val="both"/>
      <w:outlineLvl w:val="1"/>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E2DE6"/>
    <w:rPr>
      <w:rFonts w:eastAsia="Times New Roman"/>
      <w:b/>
      <w:sz w:val="20"/>
      <w:szCs w:val="20"/>
    </w:rPr>
  </w:style>
  <w:style w:type="table" w:styleId="Lentelstinklelis">
    <w:name w:val="Table Grid"/>
    <w:basedOn w:val="prastojilentel"/>
    <w:uiPriority w:val="39"/>
    <w:rsid w:val="002E2D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
    <w:name w:val="Preformatted"/>
    <w:basedOn w:val="prastasis"/>
    <w:rsid w:val="002E2DE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customStyle="1" w:styleId="Bodytext2">
    <w:name w:val="Body text (2)_"/>
    <w:basedOn w:val="Numatytasispastraiposriftas"/>
    <w:link w:val="Bodytext20"/>
    <w:rsid w:val="002E2DE6"/>
    <w:rPr>
      <w:rFonts w:eastAsia="Times New Roman"/>
      <w:shd w:val="clear" w:color="auto" w:fill="FFFFFF"/>
    </w:rPr>
  </w:style>
  <w:style w:type="paragraph" w:customStyle="1" w:styleId="Bodytext20">
    <w:name w:val="Body text (2)"/>
    <w:basedOn w:val="prastasis"/>
    <w:link w:val="Bodytext2"/>
    <w:rsid w:val="002E2DE6"/>
    <w:pPr>
      <w:widowControl w:val="0"/>
      <w:shd w:val="clear" w:color="auto" w:fill="FFFFFF"/>
      <w:spacing w:before="480" w:after="60" w:line="0" w:lineRule="atLeast"/>
      <w:jc w:val="both"/>
    </w:pPr>
    <w:rPr>
      <w:szCs w:val="24"/>
    </w:rPr>
  </w:style>
  <w:style w:type="paragraph" w:styleId="Debesliotekstas">
    <w:name w:val="Balloon Text"/>
    <w:basedOn w:val="prastasis"/>
    <w:link w:val="DebesliotekstasDiagrama"/>
    <w:uiPriority w:val="99"/>
    <w:semiHidden/>
    <w:unhideWhenUsed/>
    <w:rsid w:val="0088113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1139"/>
    <w:rPr>
      <w:rFonts w:ascii="Segoe UI" w:eastAsia="Times New Roman" w:hAnsi="Segoe UI" w:cs="Segoe UI"/>
      <w:sz w:val="18"/>
      <w:szCs w:val="18"/>
      <w:lang w:val="en-US"/>
    </w:rPr>
  </w:style>
  <w:style w:type="paragraph" w:styleId="Porat">
    <w:name w:val="footer"/>
    <w:basedOn w:val="prastasis"/>
    <w:link w:val="PoratDiagrama"/>
    <w:uiPriority w:val="99"/>
    <w:unhideWhenUsed/>
    <w:rsid w:val="007F754E"/>
    <w:pPr>
      <w:tabs>
        <w:tab w:val="center" w:pos="4680"/>
        <w:tab w:val="right" w:pos="9360"/>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7F754E"/>
    <w:rPr>
      <w:rFonts w:asciiTheme="minorHAnsi" w:hAnsiTheme="minorHAnsi" w:cstheme="minorBidi"/>
      <w:sz w:val="22"/>
      <w:szCs w:val="22"/>
      <w:lang w:val="en-US"/>
    </w:rPr>
  </w:style>
  <w:style w:type="paragraph" w:styleId="Antrats">
    <w:name w:val="header"/>
    <w:basedOn w:val="prastasis"/>
    <w:link w:val="AntratsDiagrama"/>
    <w:unhideWhenUsed/>
    <w:rsid w:val="00FE70B6"/>
    <w:pPr>
      <w:tabs>
        <w:tab w:val="center" w:pos="4819"/>
        <w:tab w:val="right" w:pos="9638"/>
      </w:tabs>
    </w:pPr>
  </w:style>
  <w:style w:type="character" w:customStyle="1" w:styleId="AntratsDiagrama">
    <w:name w:val="Antraštės Diagrama"/>
    <w:basedOn w:val="Numatytasispastraiposriftas"/>
    <w:link w:val="Antrats"/>
    <w:rsid w:val="00FE70B6"/>
    <w:rPr>
      <w:rFonts w:eastAsia="Times New Roman"/>
      <w:szCs w:val="20"/>
      <w:lang w:val="en-US"/>
    </w:rPr>
  </w:style>
  <w:style w:type="character" w:styleId="Komentaronuoroda">
    <w:name w:val="annotation reference"/>
    <w:basedOn w:val="Numatytasispastraiposriftas"/>
    <w:uiPriority w:val="99"/>
    <w:semiHidden/>
    <w:unhideWhenUsed/>
    <w:rsid w:val="00703BCB"/>
    <w:rPr>
      <w:sz w:val="16"/>
      <w:szCs w:val="16"/>
    </w:rPr>
  </w:style>
  <w:style w:type="paragraph" w:styleId="Komentarotekstas">
    <w:name w:val="annotation text"/>
    <w:basedOn w:val="prastasis"/>
    <w:link w:val="KomentarotekstasDiagrama"/>
    <w:uiPriority w:val="99"/>
    <w:unhideWhenUsed/>
    <w:rsid w:val="00703BCB"/>
    <w:rPr>
      <w:sz w:val="20"/>
    </w:rPr>
  </w:style>
  <w:style w:type="character" w:customStyle="1" w:styleId="KomentarotekstasDiagrama">
    <w:name w:val="Komentaro tekstas Diagrama"/>
    <w:basedOn w:val="Numatytasispastraiposriftas"/>
    <w:link w:val="Komentarotekstas"/>
    <w:uiPriority w:val="99"/>
    <w:rsid w:val="00703BCB"/>
    <w:rPr>
      <w:rFonts w:eastAsia="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703BCB"/>
    <w:rPr>
      <w:b/>
      <w:bCs/>
    </w:rPr>
  </w:style>
  <w:style w:type="character" w:customStyle="1" w:styleId="KomentarotemaDiagrama">
    <w:name w:val="Komentaro tema Diagrama"/>
    <w:basedOn w:val="KomentarotekstasDiagrama"/>
    <w:link w:val="Komentarotema"/>
    <w:uiPriority w:val="99"/>
    <w:semiHidden/>
    <w:rsid w:val="00703BCB"/>
    <w:rPr>
      <w:rFonts w:eastAsia="Times New Roman"/>
      <w:b/>
      <w:bCs/>
      <w:sz w:val="20"/>
      <w:szCs w:val="20"/>
      <w:lang w:val="en-US"/>
    </w:rPr>
  </w:style>
  <w:style w:type="paragraph" w:customStyle="1" w:styleId="Adresas">
    <w:name w:val="Adresas"/>
    <w:basedOn w:val="prastasis"/>
    <w:qFormat/>
    <w:rsid w:val="00306040"/>
    <w:pPr>
      <w:suppressAutoHyphens/>
      <w:ind w:right="318"/>
    </w:pPr>
    <w:rPr>
      <w:szCs w:val="24"/>
      <w:lang w:eastAsia="ar-SA"/>
    </w:rPr>
  </w:style>
  <w:style w:type="paragraph" w:styleId="Sraopastraipa">
    <w:name w:val="List Paragraph"/>
    <w:basedOn w:val="prastasis"/>
    <w:uiPriority w:val="34"/>
    <w:qFormat/>
    <w:rsid w:val="00E23D35"/>
    <w:pPr>
      <w:suppressAutoHyphens/>
      <w:ind w:left="720"/>
      <w:contextualSpacing/>
    </w:pPr>
    <w:rPr>
      <w:szCs w:val="24"/>
      <w:lang w:eastAsia="ar-SA"/>
    </w:rPr>
  </w:style>
  <w:style w:type="character" w:customStyle="1" w:styleId="Bodytext2Italic">
    <w:name w:val="Body text (2) + Italic"/>
    <w:basedOn w:val="Numatytasispastraiposriftas"/>
    <w:rsid w:val="00E23D35"/>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paragraph" w:styleId="Betarp">
    <w:name w:val="No Spacing"/>
    <w:uiPriority w:val="1"/>
    <w:qFormat/>
    <w:rsid w:val="007C1AA1"/>
    <w:rPr>
      <w:rFonts w:eastAsia="Times New Roman"/>
      <w:szCs w:val="20"/>
      <w:lang w:val="en-US"/>
    </w:rPr>
  </w:style>
  <w:style w:type="character" w:styleId="Hipersaitas">
    <w:name w:val="Hyperlink"/>
    <w:uiPriority w:val="99"/>
    <w:unhideWhenUsed/>
    <w:rsid w:val="0000016A"/>
    <w:rPr>
      <w:strike w:val="0"/>
      <w:dstrike w:val="0"/>
      <w:color w:val="000055"/>
      <w:u w:val="none"/>
      <w:effect w:val="none"/>
    </w:rPr>
  </w:style>
  <w:style w:type="paragraph" w:styleId="Pagrindiniotekstotrauka">
    <w:name w:val="Body Text Indent"/>
    <w:basedOn w:val="prastasis"/>
    <w:link w:val="PagrindiniotekstotraukaDiagrama"/>
    <w:rsid w:val="0000016A"/>
    <w:pPr>
      <w:ind w:firstLine="709"/>
      <w:jc w:val="both"/>
    </w:pPr>
    <w:rPr>
      <w:lang w:eastAsia="lt-LT"/>
    </w:rPr>
  </w:style>
  <w:style w:type="character" w:customStyle="1" w:styleId="PagrindiniotekstotraukaDiagrama">
    <w:name w:val="Pagrindinio teksto įtrauka Diagrama"/>
    <w:basedOn w:val="Numatytasispastraiposriftas"/>
    <w:link w:val="Pagrindiniotekstotrauka"/>
    <w:rsid w:val="0000016A"/>
    <w:rPr>
      <w:rFonts w:eastAsia="Times New Roman"/>
      <w:szCs w:val="20"/>
      <w:lang w:eastAsia="lt-LT"/>
    </w:rPr>
  </w:style>
  <w:style w:type="paragraph" w:styleId="Puslapioinaostekstas">
    <w:name w:val="footnote text"/>
    <w:basedOn w:val="prastasis"/>
    <w:link w:val="PuslapioinaostekstasDiagrama"/>
    <w:uiPriority w:val="99"/>
    <w:semiHidden/>
    <w:unhideWhenUsed/>
    <w:rsid w:val="0000016A"/>
    <w:rPr>
      <w:sz w:val="20"/>
      <w:lang w:val="en-US"/>
    </w:rPr>
  </w:style>
  <w:style w:type="character" w:customStyle="1" w:styleId="PuslapioinaostekstasDiagrama">
    <w:name w:val="Puslapio išnašos tekstas Diagrama"/>
    <w:basedOn w:val="Numatytasispastraiposriftas"/>
    <w:link w:val="Puslapioinaostekstas"/>
    <w:uiPriority w:val="99"/>
    <w:semiHidden/>
    <w:rsid w:val="0000016A"/>
    <w:rPr>
      <w:rFonts w:eastAsia="Times New Roman"/>
      <w:sz w:val="20"/>
      <w:szCs w:val="20"/>
      <w:lang w:val="en-US"/>
    </w:rPr>
  </w:style>
  <w:style w:type="character" w:styleId="Puslapioinaosnuoroda">
    <w:name w:val="footnote reference"/>
    <w:basedOn w:val="Numatytasispastraiposriftas"/>
    <w:uiPriority w:val="99"/>
    <w:semiHidden/>
    <w:unhideWhenUsed/>
    <w:rsid w:val="000001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386829">
      <w:bodyDiv w:val="1"/>
      <w:marLeft w:val="0"/>
      <w:marRight w:val="0"/>
      <w:marTop w:val="0"/>
      <w:marBottom w:val="0"/>
      <w:divBdr>
        <w:top w:val="none" w:sz="0" w:space="0" w:color="auto"/>
        <w:left w:val="none" w:sz="0" w:space="0" w:color="auto"/>
        <w:bottom w:val="none" w:sz="0" w:space="0" w:color="auto"/>
        <w:right w:val="none" w:sz="0" w:space="0" w:color="auto"/>
      </w:divBdr>
    </w:div>
    <w:div w:id="740063300">
      <w:bodyDiv w:val="1"/>
      <w:marLeft w:val="0"/>
      <w:marRight w:val="0"/>
      <w:marTop w:val="0"/>
      <w:marBottom w:val="0"/>
      <w:divBdr>
        <w:top w:val="none" w:sz="0" w:space="0" w:color="auto"/>
        <w:left w:val="none" w:sz="0" w:space="0" w:color="auto"/>
        <w:bottom w:val="none" w:sz="0" w:space="0" w:color="auto"/>
        <w:right w:val="none" w:sz="0" w:space="0" w:color="auto"/>
      </w:divBdr>
    </w:div>
    <w:div w:id="1144396469">
      <w:bodyDiv w:val="1"/>
      <w:marLeft w:val="0"/>
      <w:marRight w:val="0"/>
      <w:marTop w:val="0"/>
      <w:marBottom w:val="0"/>
      <w:divBdr>
        <w:top w:val="none" w:sz="0" w:space="0" w:color="auto"/>
        <w:left w:val="none" w:sz="0" w:space="0" w:color="auto"/>
        <w:bottom w:val="none" w:sz="0" w:space="0" w:color="auto"/>
        <w:right w:val="none" w:sz="0" w:space="0" w:color="auto"/>
      </w:divBdr>
    </w:div>
    <w:div w:id="1547791870">
      <w:bodyDiv w:val="1"/>
      <w:marLeft w:val="0"/>
      <w:marRight w:val="0"/>
      <w:marTop w:val="0"/>
      <w:marBottom w:val="0"/>
      <w:divBdr>
        <w:top w:val="none" w:sz="0" w:space="0" w:color="auto"/>
        <w:left w:val="none" w:sz="0" w:space="0" w:color="auto"/>
        <w:bottom w:val="none" w:sz="0" w:space="0" w:color="auto"/>
        <w:right w:val="none" w:sz="0" w:space="0" w:color="auto"/>
      </w:divBdr>
    </w:div>
    <w:div w:id="191091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delfi.lt/temos/grynieji-pinigai"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4B5AB-6FC6-41A1-9BEF-D8B8403AA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Pages>
  <Words>11787</Words>
  <Characters>6719</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18470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2019-09-26T07:14:00Z</dcterms:created>
  <dc:creator>Ilona Šimkūnaitė</dc:creator>
  <cp:lastModifiedBy>Jurgita Laskevičiūtė</cp:lastModifiedBy>
  <cp:lastPrinted>2016-12-30T07:20:00Z</cp:lastPrinted>
  <dcterms:modified xsi:type="dcterms:W3CDTF">2019-10-02T04:52:00Z</dcterms:modified>
  <cp:revision>41</cp:revision>
</cp:coreProperties>
</file>