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BA9" w:rsidRDefault="006A46AF" w:rsidP="00A4223E">
      <w:pPr>
        <w:rPr>
          <w:b/>
          <w:caps/>
        </w:rPr>
      </w:pPr>
      <w:r w:rsidRPr="006A46AF">
        <w:rPr>
          <w:b/>
          <w:lang w:eastAsia="en-US"/>
        </w:rPr>
        <w:t xml:space="preserve">LIETUVOS RESPUBLIKOS </w:t>
      </w:r>
      <w:r w:rsidR="00DD37BD">
        <w:rPr>
          <w:b/>
          <w:lang w:eastAsia="en-US"/>
        </w:rPr>
        <w:t xml:space="preserve">MOKSLO IR STUDIJŲ ĮSTATYMO NR. XI-242  9,74, 75, 77, </w:t>
      </w:r>
      <w:r w:rsidR="003E606B">
        <w:rPr>
          <w:b/>
          <w:lang w:eastAsia="en-US"/>
        </w:rPr>
        <w:t xml:space="preserve">79, </w:t>
      </w:r>
      <w:r w:rsidR="00DD37BD">
        <w:rPr>
          <w:b/>
          <w:lang w:eastAsia="en-US"/>
        </w:rPr>
        <w:t xml:space="preserve">82, 83 STRAIPSNIŲ PAKEITIMO, PAPILDYMO </w:t>
      </w:r>
      <w:r w:rsidR="00DD37BD" w:rsidRPr="00DD37BD">
        <w:rPr>
          <w:b/>
          <w:lang w:eastAsia="en-US"/>
        </w:rPr>
        <w:t>83</w:t>
      </w:r>
      <w:r w:rsidR="00DD37BD" w:rsidRPr="00DD37BD">
        <w:rPr>
          <w:b/>
          <w:vertAlign w:val="superscript"/>
          <w:lang w:eastAsia="en-US"/>
        </w:rPr>
        <w:t>1</w:t>
      </w:r>
      <w:r w:rsidR="00DD37BD">
        <w:rPr>
          <w:b/>
          <w:caps/>
        </w:rPr>
        <w:t xml:space="preserve"> STRAIPSNIU IR 76 STRAIPSNIO PRIPAŽINIMO NETEKUSIU GALIOS ĮSTATYMO PROJEKTO </w:t>
      </w:r>
    </w:p>
    <w:p w:rsidR="009C1B84" w:rsidRDefault="00DD37BD" w:rsidP="00A4223E">
      <w:pPr>
        <w:rPr>
          <w:b/>
          <w:caps/>
        </w:rPr>
      </w:pPr>
      <w:r>
        <w:rPr>
          <w:b/>
          <w:caps/>
        </w:rPr>
        <w:t>DERINIMO PAŽYMA</w:t>
      </w:r>
    </w:p>
    <w:p w:rsidR="00D731A9" w:rsidRPr="009C1B84" w:rsidRDefault="00D731A9" w:rsidP="00A4223E">
      <w:pPr>
        <w:rPr>
          <w:b/>
          <w:caps/>
        </w:rPr>
      </w:pPr>
    </w:p>
    <w:tbl>
      <w:tblPr>
        <w:tblW w:w="51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6649"/>
        <w:gridCol w:w="6627"/>
      </w:tblGrid>
      <w:tr w:rsidR="00294FB8" w:rsidRPr="00041E77" w:rsidTr="00D731A9">
        <w:trPr>
          <w:trHeight w:val="1207"/>
          <w:tblHeader/>
        </w:trPr>
        <w:tc>
          <w:tcPr>
            <w:tcW w:w="0" w:type="auto"/>
            <w:tcBorders>
              <w:bottom w:val="single" w:sz="4" w:space="0" w:color="auto"/>
            </w:tcBorders>
          </w:tcPr>
          <w:p w:rsidR="00C75F94" w:rsidRPr="00041E77" w:rsidRDefault="00006D38" w:rsidP="00CA5D4C">
            <w:pPr>
              <w:rPr>
                <w:b/>
              </w:rPr>
            </w:pPr>
            <w:r w:rsidRPr="00C348E5">
              <w:rPr>
                <w:b/>
                <w:lang w:eastAsia="en-US"/>
              </w:rPr>
              <w:t xml:space="preserve"> </w:t>
            </w:r>
            <w:r w:rsidR="00C75F94" w:rsidRPr="00041E77">
              <w:rPr>
                <w:b/>
                <w:bCs/>
              </w:rPr>
              <w:t>Institucijos pavadinimas, rašto data ir numeris</w:t>
            </w:r>
          </w:p>
        </w:tc>
        <w:tc>
          <w:tcPr>
            <w:tcW w:w="2137" w:type="pct"/>
          </w:tcPr>
          <w:p w:rsidR="00C75F94" w:rsidRPr="00041E77" w:rsidRDefault="00C75F94" w:rsidP="00CA5D4C">
            <w:pPr>
              <w:rPr>
                <w:b/>
                <w:bCs/>
              </w:rPr>
            </w:pPr>
          </w:p>
          <w:p w:rsidR="00C75F94" w:rsidRPr="00041E77" w:rsidRDefault="00C75F94" w:rsidP="00CA5D4C">
            <w:pPr>
              <w:rPr>
                <w:b/>
              </w:rPr>
            </w:pPr>
            <w:r w:rsidRPr="00041E77">
              <w:rPr>
                <w:b/>
                <w:bCs/>
              </w:rPr>
              <w:t>Pastabos ir pasiūlymai</w:t>
            </w:r>
          </w:p>
        </w:tc>
        <w:tc>
          <w:tcPr>
            <w:tcW w:w="2130" w:type="pct"/>
          </w:tcPr>
          <w:p w:rsidR="00C75F94" w:rsidRPr="00041E77" w:rsidRDefault="00C75F94" w:rsidP="00CA5D4C">
            <w:pPr>
              <w:rPr>
                <w:b/>
                <w:bCs/>
              </w:rPr>
            </w:pPr>
          </w:p>
          <w:p w:rsidR="00C75F94" w:rsidRPr="00041E77" w:rsidRDefault="00C75F94" w:rsidP="00CA5D4C">
            <w:pPr>
              <w:rPr>
                <w:b/>
              </w:rPr>
            </w:pPr>
            <w:r w:rsidRPr="00041E77">
              <w:rPr>
                <w:b/>
                <w:bCs/>
              </w:rPr>
              <w:t>Žyma apie pastabas ir pasiūlymus, į kuriuos neatsižvelgta</w:t>
            </w:r>
          </w:p>
        </w:tc>
      </w:tr>
      <w:tr w:rsidR="00844F12" w:rsidRPr="00844F12" w:rsidTr="0008603C">
        <w:trPr>
          <w:trHeight w:val="1207"/>
        </w:trPr>
        <w:tc>
          <w:tcPr>
            <w:tcW w:w="0" w:type="auto"/>
            <w:tcBorders>
              <w:bottom w:val="single" w:sz="4" w:space="0" w:color="auto"/>
            </w:tcBorders>
          </w:tcPr>
          <w:p w:rsidR="00844F12" w:rsidRPr="00844F12" w:rsidRDefault="00844F12" w:rsidP="00844F12">
            <w:pPr>
              <w:jc w:val="left"/>
              <w:rPr>
                <w:bCs/>
              </w:rPr>
            </w:pPr>
            <w:r>
              <w:rPr>
                <w:bCs/>
              </w:rPr>
              <w:t>Vyriausybės kanceliarijos Teisės grupės 2019-01-10 išvada</w:t>
            </w:r>
          </w:p>
        </w:tc>
        <w:tc>
          <w:tcPr>
            <w:tcW w:w="2137" w:type="pct"/>
          </w:tcPr>
          <w:p w:rsidR="00844F12" w:rsidRPr="00844F12" w:rsidRDefault="00844F12" w:rsidP="00844F12">
            <w:pPr>
              <w:jc w:val="both"/>
              <w:rPr>
                <w:bCs/>
              </w:rPr>
            </w:pPr>
            <w:r w:rsidRPr="00933157">
              <w:t>Švietimo, mokslo ir sporto ministerija yra parengusi ir 2018-12-28 pateikusi derinti suinteresuotoms institucijoms kitą Mokslo ir studijų įstatymo pakeitimo projektą (TAIS Nr.: 18-15479)</w:t>
            </w:r>
            <w:r>
              <w:t>. Manome, kad siekiant teisėkūros ekonomiškumo principo įgyvendinimo, yra tikslinga projektus apjungti ir Vyriausybei teikti svarstyti apjungtą Projektą.</w:t>
            </w:r>
          </w:p>
        </w:tc>
        <w:tc>
          <w:tcPr>
            <w:tcW w:w="2130" w:type="pct"/>
          </w:tcPr>
          <w:p w:rsidR="00856CE4" w:rsidRDefault="00844F12" w:rsidP="001E284E">
            <w:pPr>
              <w:jc w:val="both"/>
            </w:pPr>
            <w:r w:rsidRPr="00F502BA">
              <w:rPr>
                <w:b/>
                <w:bCs/>
              </w:rPr>
              <w:t>Neatsižvelgta</w:t>
            </w:r>
            <w:r>
              <w:rPr>
                <w:bCs/>
              </w:rPr>
              <w:t>. K</w:t>
            </w:r>
            <w:r>
              <w:t>itas</w:t>
            </w:r>
            <w:r w:rsidRPr="00933157">
              <w:t xml:space="preserve"> Mokslo ir studijų įstatymo</w:t>
            </w:r>
            <w:r>
              <w:t xml:space="preserve"> pakeitimo projektas</w:t>
            </w:r>
            <w:r w:rsidRPr="00933157">
              <w:t xml:space="preserve"> (TAIS Nr.: 18-15479)</w:t>
            </w:r>
            <w:r>
              <w:t xml:space="preserve"> šiuo metu derinamas su suinteresuotomis institucijomis. Atsižvelgdami į tai, kad jame yra nuostatų, dėl kurių projekto </w:t>
            </w:r>
            <w:r w:rsidR="001F2A28">
              <w:t>derinimas</w:t>
            </w:r>
            <w:r>
              <w:t xml:space="preserve"> užtruk</w:t>
            </w:r>
            <w:r w:rsidR="001E284E">
              <w:t>o</w:t>
            </w:r>
            <w:r>
              <w:t xml:space="preserve">, manome, kad teikiamą Įstatymo projektą tikslinga svarstyti ir teikti Seimui atskirai, kad jis galėtų būti svarstomas Seimo pavasario sesijoje. </w:t>
            </w:r>
          </w:p>
          <w:p w:rsidR="00856CE4" w:rsidRDefault="00844F12" w:rsidP="001E284E">
            <w:pPr>
              <w:jc w:val="both"/>
            </w:pPr>
            <w:r>
              <w:t>Jei teikiamo įstatymo projekto svarstymai užtruktų, nebūtų galimybių tinkamai pasirengti jo įgyvendinimui.</w:t>
            </w:r>
            <w:r w:rsidR="002A45D5">
              <w:t xml:space="preserve"> </w:t>
            </w:r>
          </w:p>
          <w:p w:rsidR="00844F12" w:rsidRPr="00844F12" w:rsidRDefault="002A45D5" w:rsidP="001E284E">
            <w:pPr>
              <w:jc w:val="both"/>
              <w:rPr>
                <w:bCs/>
              </w:rPr>
            </w:pPr>
            <w:r>
              <w:t xml:space="preserve">Laukiant, kol bus suderintas kitas </w:t>
            </w:r>
            <w:r w:rsidRPr="00933157">
              <w:t>Mokslo ir studijų įstatymo</w:t>
            </w:r>
            <w:r>
              <w:t xml:space="preserve"> pakeitimo projektas</w:t>
            </w:r>
            <w:r w:rsidRPr="00933157">
              <w:t xml:space="preserve"> (TAIS Nr.: 18-15479)</w:t>
            </w:r>
            <w:r>
              <w:t>, teikiamo įstatymo projekto pateikimas Seimui būtų atidėtas neapibrėžtam laikui.</w:t>
            </w:r>
          </w:p>
        </w:tc>
      </w:tr>
      <w:tr w:rsidR="0096336B" w:rsidRPr="00041E77" w:rsidTr="0008603C">
        <w:trPr>
          <w:trHeight w:val="1207"/>
        </w:trPr>
        <w:tc>
          <w:tcPr>
            <w:tcW w:w="0" w:type="auto"/>
            <w:tcBorders>
              <w:bottom w:val="nil"/>
            </w:tcBorders>
          </w:tcPr>
          <w:p w:rsidR="00287E71" w:rsidRDefault="0096336B" w:rsidP="00287E71">
            <w:pPr>
              <w:jc w:val="left"/>
            </w:pPr>
            <w:r>
              <w:rPr>
                <w:bCs/>
              </w:rPr>
              <w:t xml:space="preserve">Finansų ministerijos 2018 m. lapkričio </w:t>
            </w:r>
            <w:r w:rsidR="00287E71">
              <w:rPr>
                <w:bCs/>
              </w:rPr>
              <w:t>26</w:t>
            </w:r>
            <w:r>
              <w:rPr>
                <w:bCs/>
              </w:rPr>
              <w:t xml:space="preserve">  d. raštas Nr</w:t>
            </w:r>
            <w:r w:rsidR="00287E71">
              <w:rPr>
                <w:bCs/>
              </w:rPr>
              <w:t xml:space="preserve">. </w:t>
            </w:r>
            <w:r w:rsidR="00287E71" w:rsidRPr="00357A50">
              <w:rPr>
                <w:rFonts w:cs="Helvetica"/>
              </w:rPr>
              <w:t xml:space="preserve">((1.15 E-0202)-5K-1820832)-6K-1806258 </w:t>
            </w:r>
            <w:r w:rsidR="00287E71">
              <w:rPr>
                <w:rFonts w:cs="Helvetica"/>
                <w:vanish/>
              </w:rPr>
              <w:t>((1.15 E-0202)-5K-1820832)-6K-1806258</w:t>
            </w:r>
          </w:p>
          <w:p w:rsidR="0096336B" w:rsidRPr="00041E77" w:rsidRDefault="00287E71" w:rsidP="00287E71">
            <w:pPr>
              <w:jc w:val="left"/>
              <w:rPr>
                <w:b/>
                <w:bCs/>
              </w:rPr>
            </w:pPr>
            <w:r>
              <w:rPr>
                <w:rFonts w:cs="Helvetica"/>
                <w:vanish/>
              </w:rPr>
              <w:t xml:space="preserve"> ((1.15 E-0202)-5K-1820832)-6K-1806258</w:t>
            </w:r>
          </w:p>
        </w:tc>
        <w:tc>
          <w:tcPr>
            <w:tcW w:w="2137" w:type="pct"/>
          </w:tcPr>
          <w:p w:rsidR="00F502BA" w:rsidRDefault="00F502BA" w:rsidP="00F502BA">
            <w:pPr>
              <w:ind w:hanging="27"/>
              <w:jc w:val="both"/>
              <w:rPr>
                <w:bCs/>
                <w:color w:val="000000"/>
              </w:rPr>
            </w:pPr>
            <w:r>
              <w:rPr>
                <w:bCs/>
                <w:color w:val="000000"/>
              </w:rPr>
              <w:t xml:space="preserve">Manoma, kad 77 str. 6 dalies pakeitime siūloma didžiausia leistina atsilaisvinusių ir neužimtų pagal studijų krypčių grupes arba meno sritis 30 proc. nuo priėmimo metais nustatyto studijų vietų skaičiaus  dalis yra per didelė. Prašoma įvardinti kokiems tikslams bus naudojamos atsilaisvinusios lėšos. </w:t>
            </w:r>
          </w:p>
          <w:p w:rsidR="0096336B" w:rsidRPr="00041E77" w:rsidRDefault="0096336B" w:rsidP="00F502BA">
            <w:pPr>
              <w:ind w:hanging="27"/>
              <w:jc w:val="both"/>
              <w:rPr>
                <w:b/>
                <w:bCs/>
              </w:rPr>
            </w:pPr>
          </w:p>
        </w:tc>
        <w:tc>
          <w:tcPr>
            <w:tcW w:w="2130" w:type="pct"/>
          </w:tcPr>
          <w:p w:rsidR="00FB0B65" w:rsidRDefault="00F502BA" w:rsidP="00FB0B65">
            <w:pPr>
              <w:jc w:val="left"/>
              <w:rPr>
                <w:bCs/>
                <w:color w:val="000000"/>
              </w:rPr>
            </w:pPr>
            <w:r w:rsidRPr="00F502BA">
              <w:rPr>
                <w:b/>
                <w:bCs/>
              </w:rPr>
              <w:t>Neatsižvelgta</w:t>
            </w:r>
            <w:r>
              <w:rPr>
                <w:bCs/>
              </w:rPr>
              <w:t xml:space="preserve">. Įstatymo projekte siūloma </w:t>
            </w:r>
            <w:r>
              <w:rPr>
                <w:bCs/>
                <w:color w:val="000000"/>
              </w:rPr>
              <w:t>didžiausia leistina atsilaisvinusių ir neužimtų studijų vietų skaičiaus dalis (30 proc.) yra nustatyta, atsižvelgiant į realų studentų „nubyrėjimą“ tam tikrose studijų kryp</w:t>
            </w:r>
            <w:r w:rsidR="00FB0B65">
              <w:rPr>
                <w:bCs/>
                <w:color w:val="000000"/>
              </w:rPr>
              <w:t>čių grupėse</w:t>
            </w:r>
            <w:r>
              <w:rPr>
                <w:bCs/>
                <w:color w:val="000000"/>
              </w:rPr>
              <w:t>. Pažymėtina, kad tai yra maksimali riba ir įstatymo projekte numatyta galimybė ją diferencijuoti pagal studijų krypčių grupes ar meno sritis, atsižvelgiant į jų specifiką.</w:t>
            </w:r>
            <w:r w:rsidR="00A80516">
              <w:rPr>
                <w:bCs/>
                <w:color w:val="000000"/>
              </w:rPr>
              <w:t xml:space="preserve"> </w:t>
            </w:r>
          </w:p>
          <w:p w:rsidR="0096336B" w:rsidRPr="006846AF" w:rsidRDefault="00A80516" w:rsidP="00FB0B65">
            <w:pPr>
              <w:jc w:val="left"/>
              <w:rPr>
                <w:bCs/>
              </w:rPr>
            </w:pPr>
            <w:r>
              <w:rPr>
                <w:bCs/>
                <w:color w:val="000000"/>
              </w:rPr>
              <w:t>Lėšos, tenkančios atsilaisvinusioms ir neužimtoms valstybės finansuojamoms studijų vietoms, neviršijant nustatytos „nubyrėjimo“ ribos leistų užtikrinti normalias studijų sąlygas ir padengti būtinuosius studijų kaštus, kurie nepasikeičia tokia apimtimi, kokia šiuo metu pakinta finansavimas studijų metu sumažėjus studentų skaičiui.</w:t>
            </w:r>
          </w:p>
        </w:tc>
      </w:tr>
      <w:tr w:rsidR="00031675" w:rsidRPr="00041E77" w:rsidTr="0008603C">
        <w:trPr>
          <w:trHeight w:val="1207"/>
        </w:trPr>
        <w:tc>
          <w:tcPr>
            <w:tcW w:w="0" w:type="auto"/>
            <w:tcBorders>
              <w:top w:val="nil"/>
              <w:bottom w:val="single" w:sz="4" w:space="0" w:color="auto"/>
            </w:tcBorders>
          </w:tcPr>
          <w:p w:rsidR="00031675" w:rsidRDefault="00031675" w:rsidP="00287E71">
            <w:pPr>
              <w:jc w:val="left"/>
              <w:rPr>
                <w:bCs/>
              </w:rPr>
            </w:pPr>
          </w:p>
        </w:tc>
        <w:tc>
          <w:tcPr>
            <w:tcW w:w="2137" w:type="pct"/>
          </w:tcPr>
          <w:p w:rsidR="00031675" w:rsidRDefault="00031675" w:rsidP="00F502BA">
            <w:pPr>
              <w:ind w:hanging="27"/>
              <w:jc w:val="both"/>
              <w:rPr>
                <w:bCs/>
                <w:color w:val="000000"/>
              </w:rPr>
            </w:pPr>
            <w:r>
              <w:rPr>
                <w:bCs/>
                <w:color w:val="000000"/>
              </w:rPr>
              <w:t>Neaišku, kaip būtų vykdoma 77 straipsnio 17 dalies nuostata (perkelti į atsilaisvinusias valstybės finansuojamas vietas valstybės nefinansuojančiose studijų vietose studijuojančius asmenis).</w:t>
            </w:r>
          </w:p>
        </w:tc>
        <w:tc>
          <w:tcPr>
            <w:tcW w:w="2130" w:type="pct"/>
          </w:tcPr>
          <w:p w:rsidR="00031675" w:rsidRPr="00F502BA" w:rsidRDefault="00E60912" w:rsidP="00F502BA">
            <w:pPr>
              <w:jc w:val="left"/>
              <w:rPr>
                <w:b/>
                <w:bCs/>
              </w:rPr>
            </w:pPr>
            <w:r>
              <w:rPr>
                <w:b/>
              </w:rPr>
              <w:t>Neatsižvelgta</w:t>
            </w:r>
            <w:r>
              <w:t>. Manome, kad siūlomi Mokslo ir studijų įstatymo 77 straipsnio 6 dalies pakeitimai neturės įtakos 77 straipsnio 17 dalies nuostatų įgyvendinimui, nes 77 straipsnio 17 dalis numato ne galimybę, bet prievolę į atsilaisvinusią valstybės finansuojamą studijų vietą perkelti nefinansuojamoje studijų vietoje studijavusį asmenį.</w:t>
            </w:r>
          </w:p>
        </w:tc>
      </w:tr>
      <w:tr w:rsidR="00BC790B" w:rsidRPr="00041E77" w:rsidTr="00D731A9">
        <w:trPr>
          <w:trHeight w:val="4117"/>
        </w:trPr>
        <w:tc>
          <w:tcPr>
            <w:tcW w:w="0" w:type="auto"/>
            <w:vMerge w:val="restart"/>
          </w:tcPr>
          <w:p w:rsidR="00BC790B" w:rsidRDefault="00BC790B" w:rsidP="009F1A9A">
            <w:pPr>
              <w:jc w:val="left"/>
              <w:rPr>
                <w:bCs/>
              </w:rPr>
            </w:pPr>
            <w:r>
              <w:rPr>
                <w:bCs/>
              </w:rPr>
              <w:lastRenderedPageBreak/>
              <w:t>Teisingumo ministerijos 2018 12 04 raštas Nr. (1.6E)2T-947</w:t>
            </w:r>
          </w:p>
          <w:p w:rsidR="00BC790B" w:rsidRPr="00041E77" w:rsidRDefault="00BC790B" w:rsidP="009F1A9A">
            <w:pPr>
              <w:tabs>
                <w:tab w:val="left" w:pos="1418"/>
                <w:tab w:val="left" w:pos="8931"/>
              </w:tabs>
              <w:jc w:val="both"/>
              <w:rPr>
                <w:b/>
                <w:bCs/>
              </w:rPr>
            </w:pPr>
          </w:p>
        </w:tc>
        <w:tc>
          <w:tcPr>
            <w:tcW w:w="2137" w:type="pct"/>
          </w:tcPr>
          <w:p w:rsidR="00BC790B" w:rsidRDefault="00BC790B" w:rsidP="009F1A9A">
            <w:pPr>
              <w:tabs>
                <w:tab w:val="left" w:pos="1418"/>
              </w:tabs>
              <w:jc w:val="both"/>
            </w:pPr>
            <w:r>
              <w:t>Įvertinant Mokslo ir studijų įstatymo 77 str. 17 d. nuostatas, aukštosios mokyklos gali būti nesuinteresuotos į valstybės finansuojamas vietas perkelti už studijas mokančius studentus, o 77 str. 6 d. nuostatos gali būti pagrindu piktnaudžiavimui.</w:t>
            </w:r>
          </w:p>
          <w:p w:rsidR="00BC790B" w:rsidRPr="00041E77" w:rsidRDefault="00BC790B" w:rsidP="009F1A9A">
            <w:pPr>
              <w:tabs>
                <w:tab w:val="left" w:pos="1418"/>
                <w:tab w:val="left" w:pos="8931"/>
              </w:tabs>
              <w:jc w:val="both"/>
              <w:rPr>
                <w:b/>
                <w:bCs/>
              </w:rPr>
            </w:pPr>
          </w:p>
        </w:tc>
        <w:tc>
          <w:tcPr>
            <w:tcW w:w="2130" w:type="pct"/>
          </w:tcPr>
          <w:p w:rsidR="00BC790B" w:rsidRDefault="00BC790B" w:rsidP="00FC0849">
            <w:pPr>
              <w:shd w:val="clear" w:color="auto" w:fill="FFFFFF"/>
              <w:jc w:val="both"/>
            </w:pPr>
            <w:r>
              <w:rPr>
                <w:b/>
              </w:rPr>
              <w:t>Neatsižvelgta</w:t>
            </w:r>
            <w:r>
              <w:t>. Manome, kad siūlomi Mokslo ir studijų įstatymo 77 straipsnio 6 dalies pakeitimai nesudaro prielaidų piktnaudžiavimui. Atvirkščiai, neliks paskatų iškreipti vidines studijų kokybės užtikrinimo sistemas, nes finansavimas studijų metu mažiau priklausys nuo studentų skaičiaus.</w:t>
            </w:r>
          </w:p>
          <w:p w:rsidR="00BC790B" w:rsidRPr="00FC0849" w:rsidRDefault="00BC790B" w:rsidP="00FC0849">
            <w:pPr>
              <w:shd w:val="clear" w:color="auto" w:fill="FFFFFF"/>
              <w:jc w:val="both"/>
            </w:pPr>
            <w:r>
              <w:t>Manome, kad siūlomi Mokslo ir studijų įstatymo 77 straipsnio 6 dalies pakeitimai neturės įtakos 77 straipsnio 17 dalies nuostatų įgyvendinimui, nes 77 straipsnio 17 dalis numato ne galimybę, bet prievolę į atsilaisvinusią valstybės finansuojamą studijų vietą perkelti nefinansuojamoje studijų vietoje studijavusį asmenį.</w:t>
            </w:r>
          </w:p>
        </w:tc>
      </w:tr>
      <w:tr w:rsidR="00BC790B" w:rsidRPr="00041E77" w:rsidTr="00D731A9">
        <w:trPr>
          <w:trHeight w:val="991"/>
        </w:trPr>
        <w:tc>
          <w:tcPr>
            <w:tcW w:w="0" w:type="auto"/>
            <w:vMerge/>
            <w:tcBorders>
              <w:bottom w:val="single" w:sz="4" w:space="0" w:color="auto"/>
            </w:tcBorders>
          </w:tcPr>
          <w:p w:rsidR="00BC790B" w:rsidRDefault="00BC790B" w:rsidP="009F1A9A">
            <w:pPr>
              <w:jc w:val="left"/>
              <w:rPr>
                <w:bCs/>
              </w:rPr>
            </w:pPr>
          </w:p>
        </w:tc>
        <w:tc>
          <w:tcPr>
            <w:tcW w:w="2137" w:type="pct"/>
          </w:tcPr>
          <w:p w:rsidR="00BC790B" w:rsidRDefault="00BC790B" w:rsidP="009F1A9A">
            <w:pPr>
              <w:tabs>
                <w:tab w:val="left" w:pos="1418"/>
              </w:tabs>
              <w:jc w:val="both"/>
            </w:pPr>
            <w:r w:rsidRPr="00574B8C">
              <w:t>Pa</w:t>
            </w:r>
            <w:r>
              <w:t>pildomai</w:t>
            </w:r>
            <w:r w:rsidRPr="00574B8C">
              <w:t xml:space="preserve"> atkreipiame dėmesį į poreikį keisti Mokslo ir studijų įstatymą, jame, įvertinus Konstitucinio Teismo doktriną, aiškiai reglamentuojant aukštųjų mokyklų statutų tvirtinimo, keitimo, aukštųjų mokyklų reorganizavimo procedūrinius klausimus ir Vyriausybės bei Seimo, kaip savininko teises įgyvendinančių ir aukštųjų mokyklų tinklą formuojančių institucijų, įgaliojimus.</w:t>
            </w:r>
          </w:p>
          <w:p w:rsidR="00BC790B" w:rsidRPr="00041E77" w:rsidRDefault="00BC790B" w:rsidP="009F1A9A">
            <w:pPr>
              <w:tabs>
                <w:tab w:val="left" w:pos="1418"/>
                <w:tab w:val="left" w:pos="8931"/>
              </w:tabs>
              <w:jc w:val="both"/>
              <w:rPr>
                <w:b/>
                <w:bCs/>
              </w:rPr>
            </w:pPr>
          </w:p>
        </w:tc>
        <w:tc>
          <w:tcPr>
            <w:tcW w:w="2130" w:type="pct"/>
          </w:tcPr>
          <w:p w:rsidR="00BC790B" w:rsidRDefault="00BC790B" w:rsidP="008A1A6F">
            <w:pPr>
              <w:shd w:val="clear" w:color="auto" w:fill="FFFFFF"/>
              <w:jc w:val="both"/>
              <w:rPr>
                <w:b/>
              </w:rPr>
            </w:pPr>
            <w:r>
              <w:rPr>
                <w:b/>
              </w:rPr>
              <w:t>Neatsižvelgta</w:t>
            </w:r>
            <w:r>
              <w:t>. Šiuos pakeitimus planuojama pateikti vėliau.</w:t>
            </w:r>
          </w:p>
        </w:tc>
      </w:tr>
      <w:tr w:rsidR="002E306B" w:rsidRPr="00041E77" w:rsidTr="00D731A9">
        <w:trPr>
          <w:trHeight w:val="70"/>
        </w:trPr>
        <w:tc>
          <w:tcPr>
            <w:tcW w:w="0" w:type="auto"/>
            <w:tcBorders>
              <w:bottom w:val="nil"/>
            </w:tcBorders>
          </w:tcPr>
          <w:p w:rsidR="002E306B" w:rsidRDefault="002E306B" w:rsidP="002E306B">
            <w:pPr>
              <w:jc w:val="left"/>
              <w:rPr>
                <w:bCs/>
              </w:rPr>
            </w:pPr>
            <w:r>
              <w:rPr>
                <w:bCs/>
              </w:rPr>
              <w:t>Lietuvos nevalstybinių mokslo ir studijų įstaigų asociacija</w:t>
            </w:r>
          </w:p>
          <w:p w:rsidR="002E306B" w:rsidRDefault="002E306B" w:rsidP="002E306B">
            <w:pPr>
              <w:jc w:val="left"/>
              <w:rPr>
                <w:bCs/>
              </w:rPr>
            </w:pPr>
          </w:p>
        </w:tc>
        <w:tc>
          <w:tcPr>
            <w:tcW w:w="2137" w:type="pct"/>
          </w:tcPr>
          <w:p w:rsidR="002E306B" w:rsidRDefault="002E306B" w:rsidP="002E306B">
            <w:pPr>
              <w:ind w:hanging="27"/>
              <w:jc w:val="both"/>
              <w:rPr>
                <w:bCs/>
                <w:color w:val="000000"/>
              </w:rPr>
            </w:pPr>
            <w:r>
              <w:rPr>
                <w:bCs/>
                <w:color w:val="000000"/>
              </w:rPr>
              <w:t>Finansavimą  aukštųjų mokyklų veiklos pažangai skatinti, kuris būtų skiriamas pagal sutarčių su valstybinėmis aukštosiomis mokyklomis vykdymo rezultatus pagal Vyriausybės nustatytus aukštojo mokslo plėtros rodiklius, siūloma skirti ir  nevalstybinėms aukštosioms  mokykloms. Siūloma sudaryti su nevalstybinėmis mokyklomis sutartis, kurios užtikrintų viso aukštojo mokslo sektoriaus konsoliduotas pastangas patenkinti valstybės poreikius.</w:t>
            </w:r>
          </w:p>
          <w:p w:rsidR="002E306B" w:rsidRPr="00041E77" w:rsidRDefault="002E306B" w:rsidP="002E306B">
            <w:pPr>
              <w:tabs>
                <w:tab w:val="left" w:pos="1418"/>
                <w:tab w:val="left" w:pos="8931"/>
              </w:tabs>
              <w:jc w:val="both"/>
              <w:rPr>
                <w:b/>
                <w:bCs/>
              </w:rPr>
            </w:pPr>
          </w:p>
        </w:tc>
        <w:tc>
          <w:tcPr>
            <w:tcW w:w="2130" w:type="pct"/>
          </w:tcPr>
          <w:p w:rsidR="002E306B" w:rsidRDefault="008A1A6F" w:rsidP="008F50A6">
            <w:pPr>
              <w:shd w:val="clear" w:color="auto" w:fill="FFFFFF"/>
              <w:jc w:val="both"/>
              <w:rPr>
                <w:b/>
              </w:rPr>
            </w:pPr>
            <w:r>
              <w:rPr>
                <w:b/>
              </w:rPr>
              <w:t>Neatsižvelgta</w:t>
            </w:r>
            <w:r>
              <w:t xml:space="preserve">. Teikiamais Mokslo ir studijų įstatymo pakeitimais nesiekiama </w:t>
            </w:r>
            <w:r w:rsidR="008F50A6">
              <w:t xml:space="preserve">iš esmės </w:t>
            </w:r>
            <w:r>
              <w:t>keisti</w:t>
            </w:r>
            <w:r w:rsidR="008F50A6">
              <w:t xml:space="preserve"> Mokslo ir studijų įstatymo 9 straipsnio</w:t>
            </w:r>
            <w:r>
              <w:t xml:space="preserve"> nuostatų dėl sutarčių su valstybinėmis aukštosiomis mokyklomis sudarymo. Manome, kad sutarčių sudarymo su nevalstybinėmis aukštosiomis mokyklomis klausimą tikslinga svarstyti </w:t>
            </w:r>
            <w:r w:rsidR="008F50A6">
              <w:t>vėliau, kai ši nauja politikos priemonė bus išbandyta valstybiniame sektoriuje ir bus gauti bei įvertinti jos įgyvendinimo rezultatai</w:t>
            </w:r>
            <w:r>
              <w:t>.</w:t>
            </w:r>
          </w:p>
        </w:tc>
      </w:tr>
      <w:tr w:rsidR="002E306B" w:rsidRPr="00041E77" w:rsidTr="008578E1">
        <w:trPr>
          <w:trHeight w:val="70"/>
        </w:trPr>
        <w:tc>
          <w:tcPr>
            <w:tcW w:w="0" w:type="auto"/>
            <w:tcBorders>
              <w:top w:val="nil"/>
              <w:bottom w:val="single" w:sz="4" w:space="0" w:color="auto"/>
            </w:tcBorders>
          </w:tcPr>
          <w:p w:rsidR="002E306B" w:rsidRDefault="002E306B" w:rsidP="002E306B">
            <w:pPr>
              <w:jc w:val="left"/>
              <w:rPr>
                <w:bCs/>
              </w:rPr>
            </w:pPr>
          </w:p>
        </w:tc>
        <w:tc>
          <w:tcPr>
            <w:tcW w:w="2137" w:type="pct"/>
          </w:tcPr>
          <w:p w:rsidR="00583726" w:rsidRDefault="00583726" w:rsidP="00583726">
            <w:pPr>
              <w:ind w:hanging="27"/>
              <w:jc w:val="both"/>
              <w:rPr>
                <w:bCs/>
                <w:color w:val="000000"/>
              </w:rPr>
            </w:pPr>
            <w:r>
              <w:rPr>
                <w:bCs/>
                <w:color w:val="000000"/>
              </w:rPr>
              <w:t xml:space="preserve">Siūloma išplėsti 75 str. 1 d., numatant galimybes finansavimą skirti ir nevalstybinėms mokykloms, skiriant finansavimą studijų vietoms, kai vykdomos išskirtinės, kokybės reikalavimus </w:t>
            </w:r>
            <w:r>
              <w:rPr>
                <w:bCs/>
                <w:color w:val="000000"/>
              </w:rPr>
              <w:lastRenderedPageBreak/>
              <w:t>atitinkančios, regiono ar šalies poreikį atliepiančios studijų programos.</w:t>
            </w:r>
          </w:p>
          <w:p w:rsidR="002E306B" w:rsidRPr="00041E77" w:rsidRDefault="002E306B" w:rsidP="00583726">
            <w:pPr>
              <w:ind w:hanging="27"/>
              <w:jc w:val="both"/>
              <w:rPr>
                <w:b/>
                <w:bCs/>
              </w:rPr>
            </w:pPr>
          </w:p>
        </w:tc>
        <w:tc>
          <w:tcPr>
            <w:tcW w:w="2130" w:type="pct"/>
          </w:tcPr>
          <w:p w:rsidR="008F50A6" w:rsidRDefault="00AA5F57" w:rsidP="00AA5F57">
            <w:pPr>
              <w:shd w:val="clear" w:color="auto" w:fill="FFFFFF"/>
              <w:jc w:val="both"/>
            </w:pPr>
            <w:r>
              <w:rPr>
                <w:b/>
              </w:rPr>
              <w:lastRenderedPageBreak/>
              <w:t>Neatsižvelgta</w:t>
            </w:r>
            <w:r>
              <w:t xml:space="preserve">. </w:t>
            </w:r>
            <w:r w:rsidR="00490EB7">
              <w:t xml:space="preserve">Pažymėtina, kad Konstitucinis Teismas </w:t>
            </w:r>
          </w:p>
          <w:p w:rsidR="00490EB7" w:rsidRPr="00490EB7" w:rsidRDefault="00490EB7" w:rsidP="00490EB7">
            <w:pPr>
              <w:shd w:val="clear" w:color="auto" w:fill="FFFFFF"/>
              <w:jc w:val="both"/>
            </w:pPr>
            <w:r>
              <w:rPr>
                <w:color w:val="000000"/>
              </w:rPr>
              <w:t>2011 m. gruodžio 22 d. nutarime yra konstatavęs, kad „</w:t>
            </w:r>
            <w:r w:rsidRPr="00490EB7">
              <w:t xml:space="preserve">kad ir kokį aukštojo mokslo finansavimo modelį pasirinktų, įstatymų leidėjas </w:t>
            </w:r>
            <w:r w:rsidRPr="00490EB7">
              <w:lastRenderedPageBreak/>
              <w:t>turi paisyti jam iš Konstitucijos 41 straipsnio 3 dalies nuostatos „Gerai besimokantiems piliečiams valstybinėse aukštosiose mokyklose laiduojamas nemokamas mokslas“ kylančio reikalavimo, kad, įvertinusi visuomenės ir valstybės poreikius bei valstybės finansines galimybes, valstybė privalo nustatyti atitinkamų sričių (krypčių) specialistų poreikį ir pateikti atitinkamą užsakymą parengti šiuos specialistus pirmiausia valstybinėms aukštosioms mokykloms, ir tik tais atvejais, kai tam tikrų sričių (krypčių) specialistai dėl objektyvių aplinkybių negali būti parengti valstybinėse aukštosiose mokyklose, toks valstybės užsakymas gali būti pateiktas ir nevalstybinėms aukštosioms mokykloms“.</w:t>
            </w:r>
          </w:p>
          <w:p w:rsidR="008F50A6" w:rsidRDefault="005C51AD" w:rsidP="00AA5F57">
            <w:pPr>
              <w:shd w:val="clear" w:color="auto" w:fill="FFFFFF"/>
              <w:jc w:val="both"/>
            </w:pPr>
            <w:r>
              <w:t>Siūloma nuostata neatitiktų minėto Konstitucinio Teismo išaiškinimo.</w:t>
            </w:r>
          </w:p>
          <w:p w:rsidR="002E306B" w:rsidRDefault="005C51AD" w:rsidP="00AA5F57">
            <w:pPr>
              <w:shd w:val="clear" w:color="auto" w:fill="FFFFFF"/>
              <w:jc w:val="both"/>
              <w:rPr>
                <w:b/>
              </w:rPr>
            </w:pPr>
            <w:r>
              <w:t>Atkreiptinas dėmesys, kad a</w:t>
            </w:r>
            <w:r w:rsidR="00AA5F57">
              <w:t>smenų studijoms nevalstybinėse aukštosiose mokyklose yra skiriamos studijų stipendijos</w:t>
            </w:r>
            <w:r>
              <w:t xml:space="preserve"> ir ši nuostata nekeičiama.</w:t>
            </w:r>
          </w:p>
        </w:tc>
      </w:tr>
      <w:tr w:rsidR="00962761" w:rsidRPr="00041E77" w:rsidTr="008578E1">
        <w:trPr>
          <w:trHeight w:val="1207"/>
        </w:trPr>
        <w:tc>
          <w:tcPr>
            <w:tcW w:w="0" w:type="auto"/>
            <w:tcBorders>
              <w:top w:val="single" w:sz="4" w:space="0" w:color="auto"/>
              <w:bottom w:val="nil"/>
            </w:tcBorders>
          </w:tcPr>
          <w:p w:rsidR="00962761" w:rsidRDefault="00962761" w:rsidP="00962761">
            <w:pPr>
              <w:jc w:val="left"/>
              <w:rPr>
                <w:bCs/>
              </w:rPr>
            </w:pPr>
            <w:r>
              <w:rPr>
                <w:bCs/>
              </w:rPr>
              <w:lastRenderedPageBreak/>
              <w:t xml:space="preserve">Lietuvos studentų sąjungos 2018 m. lapkričio 11 d. raštas Nr. SR.50/18 </w:t>
            </w:r>
          </w:p>
          <w:p w:rsidR="00962761" w:rsidRPr="00041E77" w:rsidRDefault="00962761" w:rsidP="00962761">
            <w:pPr>
              <w:tabs>
                <w:tab w:val="left" w:pos="1418"/>
                <w:tab w:val="left" w:pos="8931"/>
              </w:tabs>
              <w:jc w:val="both"/>
              <w:rPr>
                <w:b/>
                <w:bCs/>
              </w:rPr>
            </w:pPr>
          </w:p>
        </w:tc>
        <w:tc>
          <w:tcPr>
            <w:tcW w:w="2137" w:type="pct"/>
          </w:tcPr>
          <w:p w:rsidR="00962761" w:rsidRDefault="00962761" w:rsidP="00962761">
            <w:pPr>
              <w:ind w:hanging="27"/>
              <w:jc w:val="both"/>
              <w:rPr>
                <w:bCs/>
                <w:color w:val="000000"/>
              </w:rPr>
            </w:pPr>
            <w:r>
              <w:rPr>
                <w:bCs/>
                <w:color w:val="000000"/>
              </w:rPr>
              <w:t>Manoma, kad, studijų lėšas priskyrus baziniam finansavimui, atsiranda galimybė jas panaudoti moksliniams tyrimams, eksperimentinei plėtrai ir meno veiklai plėtoti, administravimui ir ūkiui, t.</w:t>
            </w:r>
            <w:r w:rsidR="009838D3">
              <w:rPr>
                <w:bCs/>
                <w:color w:val="000000"/>
              </w:rPr>
              <w:t xml:space="preserve"> </w:t>
            </w:r>
            <w:r>
              <w:rPr>
                <w:bCs/>
                <w:color w:val="000000"/>
              </w:rPr>
              <w:t>y.</w:t>
            </w:r>
            <w:r w:rsidR="009838D3">
              <w:rPr>
                <w:bCs/>
                <w:color w:val="000000"/>
              </w:rPr>
              <w:t>,</w:t>
            </w:r>
            <w:r>
              <w:rPr>
                <w:bCs/>
                <w:color w:val="000000"/>
              </w:rPr>
              <w:t xml:space="preserve"> naudoti ne pagal paskirtį.  </w:t>
            </w:r>
          </w:p>
          <w:p w:rsidR="00962761" w:rsidRPr="00041E77" w:rsidRDefault="00962761" w:rsidP="00962761">
            <w:pPr>
              <w:tabs>
                <w:tab w:val="left" w:pos="1418"/>
                <w:tab w:val="left" w:pos="8931"/>
              </w:tabs>
              <w:jc w:val="both"/>
              <w:rPr>
                <w:b/>
                <w:bCs/>
              </w:rPr>
            </w:pPr>
          </w:p>
        </w:tc>
        <w:tc>
          <w:tcPr>
            <w:tcW w:w="2130" w:type="pct"/>
          </w:tcPr>
          <w:p w:rsidR="00962761" w:rsidRDefault="00962761" w:rsidP="00962761">
            <w:pPr>
              <w:shd w:val="clear" w:color="auto" w:fill="FFFFFF"/>
              <w:jc w:val="both"/>
              <w:rPr>
                <w:b/>
              </w:rPr>
            </w:pPr>
            <w:r>
              <w:rPr>
                <w:b/>
              </w:rPr>
              <w:t xml:space="preserve">Neatsižvelgta. </w:t>
            </w:r>
            <w:r>
              <w:t>Nuogąstavimas nepagrįstas.</w:t>
            </w:r>
          </w:p>
        </w:tc>
      </w:tr>
      <w:tr w:rsidR="00962761" w:rsidRPr="00041E77" w:rsidTr="00D731A9">
        <w:trPr>
          <w:trHeight w:val="1249"/>
        </w:trPr>
        <w:tc>
          <w:tcPr>
            <w:tcW w:w="0" w:type="auto"/>
            <w:tcBorders>
              <w:top w:val="nil"/>
            </w:tcBorders>
          </w:tcPr>
          <w:p w:rsidR="00962761" w:rsidRDefault="00962761" w:rsidP="00962761">
            <w:pPr>
              <w:jc w:val="left"/>
              <w:rPr>
                <w:bCs/>
              </w:rPr>
            </w:pPr>
          </w:p>
        </w:tc>
        <w:tc>
          <w:tcPr>
            <w:tcW w:w="2137" w:type="pct"/>
          </w:tcPr>
          <w:p w:rsidR="00962761" w:rsidRDefault="00962761" w:rsidP="00962761">
            <w:pPr>
              <w:ind w:hanging="27"/>
              <w:jc w:val="both"/>
              <w:rPr>
                <w:color w:val="000000"/>
              </w:rPr>
            </w:pPr>
            <w:r>
              <w:rPr>
                <w:color w:val="000000"/>
              </w:rPr>
              <w:t>Siūloma apsvarstyti galimybę paankstinti įstatymo projekto 6 ir 7 straipsnių įsigaliojimą.</w:t>
            </w:r>
          </w:p>
          <w:p w:rsidR="00962761" w:rsidRPr="00041E77" w:rsidRDefault="00962761" w:rsidP="00962761">
            <w:pPr>
              <w:tabs>
                <w:tab w:val="left" w:pos="1418"/>
                <w:tab w:val="left" w:pos="8931"/>
              </w:tabs>
              <w:jc w:val="both"/>
              <w:rPr>
                <w:b/>
                <w:bCs/>
              </w:rPr>
            </w:pPr>
          </w:p>
        </w:tc>
        <w:tc>
          <w:tcPr>
            <w:tcW w:w="2130" w:type="pct"/>
          </w:tcPr>
          <w:p w:rsidR="00FD533F" w:rsidRDefault="00962761" w:rsidP="00E92DF9">
            <w:pPr>
              <w:shd w:val="clear" w:color="auto" w:fill="FFFFFF"/>
              <w:jc w:val="both"/>
            </w:pPr>
            <w:r>
              <w:rPr>
                <w:b/>
              </w:rPr>
              <w:t xml:space="preserve">Neatsižvelgta. </w:t>
            </w:r>
            <w:r>
              <w:t xml:space="preserve">Studijų kainos pagal patikslintą 83 straipsnio 3 dalį galės būti nustatytos tik asmenims, kurie bus priimami į aukštąsias mokyklas ne anksčiau kaip 2020 m., nes asmenims, priimamiems į aukštąsias mokyklas 2019 m., norminės studijų kainos turi būti patvirtintos 2019 m. </w:t>
            </w:r>
            <w:r w:rsidR="000F01B4">
              <w:t xml:space="preserve">pradžioje, kai </w:t>
            </w:r>
            <w:r w:rsidR="00E92DF9">
              <w:t xml:space="preserve">teikiamas įstatymo pakeitimas dar nebus priimtas ir </w:t>
            </w:r>
            <w:r>
              <w:t xml:space="preserve"> nebus </w:t>
            </w:r>
            <w:r w:rsidR="00E92DF9">
              <w:t>teisinio pagrindo</w:t>
            </w:r>
            <w:r>
              <w:t xml:space="preserve"> pakeisti Vyriausybės patvirtint</w:t>
            </w:r>
            <w:r w:rsidR="00E92DF9">
              <w:t>ą</w:t>
            </w:r>
            <w:r>
              <w:t xml:space="preserve"> Norminių studijų krypties arba studijų programų grupės studijų kainų apskaičiavimo ir Lietuvos Respublikos valstybės biudžeto lėšų studijų kainai valstybės finansuojamose studijų vietose</w:t>
            </w:r>
            <w:r w:rsidR="00E92DF9">
              <w:t xml:space="preserve"> apmokėti skyrimo tvarkos aprašą</w:t>
            </w:r>
            <w:r>
              <w:t xml:space="preserve">. </w:t>
            </w:r>
          </w:p>
          <w:p w:rsidR="00962761" w:rsidRDefault="00962761" w:rsidP="00E92DF9">
            <w:pPr>
              <w:shd w:val="clear" w:color="auto" w:fill="FFFFFF"/>
              <w:jc w:val="both"/>
              <w:rPr>
                <w:b/>
              </w:rPr>
            </w:pPr>
            <w:r>
              <w:lastRenderedPageBreak/>
              <w:t>Atsižvelgiant į tai,</w:t>
            </w:r>
            <w:r w:rsidRPr="00313BE0">
              <w:t xml:space="preserve"> </w:t>
            </w:r>
            <w:r>
              <w:t xml:space="preserve">patikslintos </w:t>
            </w:r>
            <w:r w:rsidRPr="00313BE0">
              <w:t>82</w:t>
            </w:r>
            <w:r>
              <w:t> </w:t>
            </w:r>
            <w:r w:rsidRPr="00313BE0">
              <w:t>straipsnio 3 dalies nuostatos</w:t>
            </w:r>
            <w:r>
              <w:t xml:space="preserve"> taip pat būtų taikomos </w:t>
            </w:r>
            <w:r w:rsidRPr="00313BE0">
              <w:t>asmenims, priimtiems į valstybines aukštąsias mokyklas ne anksčiau kaip 2020 m.</w:t>
            </w:r>
          </w:p>
        </w:tc>
      </w:tr>
      <w:tr w:rsidR="00791A55" w:rsidRPr="00041E77" w:rsidTr="00D731A9">
        <w:trPr>
          <w:trHeight w:val="1207"/>
        </w:trPr>
        <w:tc>
          <w:tcPr>
            <w:tcW w:w="0" w:type="auto"/>
            <w:tcBorders>
              <w:bottom w:val="single" w:sz="4" w:space="0" w:color="auto"/>
            </w:tcBorders>
          </w:tcPr>
          <w:p w:rsidR="00791A55" w:rsidRDefault="00791A55" w:rsidP="00791A55">
            <w:pPr>
              <w:jc w:val="left"/>
              <w:rPr>
                <w:bCs/>
              </w:rPr>
            </w:pPr>
            <w:r>
              <w:rPr>
                <w:bCs/>
              </w:rPr>
              <w:lastRenderedPageBreak/>
              <w:t>Lietuvos kolegijų direktorių konferencijos 2018 m. lapkričio 28 d. raštas Nr. 1-37</w:t>
            </w:r>
          </w:p>
          <w:p w:rsidR="00791A55" w:rsidRDefault="00791A55" w:rsidP="00791A55">
            <w:pPr>
              <w:jc w:val="left"/>
              <w:rPr>
                <w:bCs/>
              </w:rPr>
            </w:pPr>
          </w:p>
        </w:tc>
        <w:tc>
          <w:tcPr>
            <w:tcW w:w="2137" w:type="pct"/>
          </w:tcPr>
          <w:p w:rsidR="00791A55" w:rsidRDefault="00791A55" w:rsidP="00791A55">
            <w:pPr>
              <w:ind w:hanging="27"/>
              <w:jc w:val="both"/>
              <w:rPr>
                <w:color w:val="000000"/>
              </w:rPr>
            </w:pPr>
            <w:r>
              <w:rPr>
                <w:color w:val="000000"/>
              </w:rPr>
              <w:t xml:space="preserve">Siūloma didžiausią leistiną atsilaisvinusių ir neužimtų valstybės finansuojamų studijų vietų skaičių dydį Technologijų mokslų ir inžinerijos mokslų studijų krypčių grupėms taikyti 40 proc. </w:t>
            </w:r>
          </w:p>
          <w:p w:rsidR="00791A55" w:rsidRPr="00041E77" w:rsidRDefault="00791A55" w:rsidP="00791A55">
            <w:pPr>
              <w:tabs>
                <w:tab w:val="left" w:pos="1418"/>
                <w:tab w:val="left" w:pos="8931"/>
              </w:tabs>
              <w:jc w:val="both"/>
              <w:rPr>
                <w:b/>
                <w:bCs/>
              </w:rPr>
            </w:pPr>
          </w:p>
        </w:tc>
        <w:tc>
          <w:tcPr>
            <w:tcW w:w="2130" w:type="pct"/>
          </w:tcPr>
          <w:p w:rsidR="00791A55" w:rsidRDefault="00791A55" w:rsidP="00791A55">
            <w:pPr>
              <w:shd w:val="clear" w:color="auto" w:fill="FFFFFF"/>
              <w:jc w:val="both"/>
              <w:rPr>
                <w:b/>
              </w:rPr>
            </w:pPr>
            <w:r>
              <w:rPr>
                <w:b/>
              </w:rPr>
              <w:t xml:space="preserve">Neatsižvelgta. </w:t>
            </w:r>
            <w:r>
              <w:t xml:space="preserve">Manome, kad įstatymo projekte nustatytos </w:t>
            </w:r>
            <w:r>
              <w:rPr>
                <w:color w:val="000000"/>
              </w:rPr>
              <w:t>didžiausios leistinos atsilaisvinusių ir neužimtų valstybės finansuojamų studijų vietų dalies (30 proc.) didinimas būtų ekonomiškai nepagrįstas.</w:t>
            </w:r>
          </w:p>
        </w:tc>
      </w:tr>
      <w:tr w:rsidR="00791A55" w:rsidRPr="00041E77" w:rsidTr="00D731A9">
        <w:trPr>
          <w:trHeight w:val="1207"/>
        </w:trPr>
        <w:tc>
          <w:tcPr>
            <w:tcW w:w="0" w:type="auto"/>
            <w:tcBorders>
              <w:bottom w:val="nil"/>
            </w:tcBorders>
          </w:tcPr>
          <w:p w:rsidR="00791A55" w:rsidRDefault="00791A55" w:rsidP="00791A55">
            <w:pPr>
              <w:jc w:val="left"/>
              <w:rPr>
                <w:bCs/>
              </w:rPr>
            </w:pPr>
            <w:r>
              <w:rPr>
                <w:bCs/>
              </w:rPr>
              <w:t>Lietuvos universitetų rektorių konferencijos 2018 m. 2018 m. lapkričio 28 d. raštas Nr. 2687</w:t>
            </w:r>
          </w:p>
        </w:tc>
        <w:tc>
          <w:tcPr>
            <w:tcW w:w="2137" w:type="pct"/>
          </w:tcPr>
          <w:p w:rsidR="00791A55" w:rsidRDefault="00791A55" w:rsidP="00791A55">
            <w:pPr>
              <w:ind w:hanging="27"/>
              <w:jc w:val="both"/>
              <w:rPr>
                <w:color w:val="000000"/>
              </w:rPr>
            </w:pPr>
            <w:r>
              <w:rPr>
                <w:color w:val="000000"/>
              </w:rPr>
              <w:t>Atkreipiamas dėmesys, kad projektas palieka neapibrėžtą finansinę situaciją nevalstybinėms aukštosioms mokykloms. Siūloma papildyti įstatymo projektą nuostata, kad sutartys sudaromos ir su nevalstybinėmis mokslo ir studijų institucijomis.</w:t>
            </w:r>
          </w:p>
          <w:p w:rsidR="00791A55" w:rsidRPr="00041E77" w:rsidRDefault="00791A55" w:rsidP="00791A55">
            <w:pPr>
              <w:tabs>
                <w:tab w:val="left" w:pos="1418"/>
                <w:tab w:val="left" w:pos="8931"/>
              </w:tabs>
              <w:jc w:val="both"/>
              <w:rPr>
                <w:b/>
                <w:bCs/>
              </w:rPr>
            </w:pPr>
          </w:p>
        </w:tc>
        <w:tc>
          <w:tcPr>
            <w:tcW w:w="2130" w:type="pct"/>
          </w:tcPr>
          <w:p w:rsidR="00791A55" w:rsidRDefault="00295B2E" w:rsidP="00791A55">
            <w:pPr>
              <w:shd w:val="clear" w:color="auto" w:fill="FFFFFF"/>
              <w:jc w:val="both"/>
              <w:rPr>
                <w:b/>
              </w:rPr>
            </w:pPr>
            <w:r>
              <w:rPr>
                <w:b/>
              </w:rPr>
              <w:t>Neatsižvelgta</w:t>
            </w:r>
            <w:r>
              <w:t>. Teikiamais Mokslo ir studijų įstatymo pakeitimais nesiekiama iš esmės keisti Mokslo ir studijų įstatymo 9 straipsnio nuostatų dėl sutarčių su valstybinėmis aukštosiomis mokyklomis sudarymo. Manome, kad sutarčių sudarymo su nevalstybinėmis aukštosiomis mokyklomis klausimą tikslinga svarstyti vėliau, kai ši nauja politikos priemonė bus išbandyta valstybiniame sektoriuje ir bus gauti bei įvertinti jos įgyvendinimo rezultatai.</w:t>
            </w:r>
          </w:p>
        </w:tc>
      </w:tr>
      <w:tr w:rsidR="00A76A6B" w:rsidRPr="00041E77" w:rsidTr="00D731A9">
        <w:trPr>
          <w:trHeight w:val="1207"/>
        </w:trPr>
        <w:tc>
          <w:tcPr>
            <w:tcW w:w="0" w:type="auto"/>
            <w:tcBorders>
              <w:top w:val="nil"/>
              <w:bottom w:val="nil"/>
            </w:tcBorders>
          </w:tcPr>
          <w:p w:rsidR="00A76A6B" w:rsidRDefault="00A76A6B" w:rsidP="00A76A6B">
            <w:pPr>
              <w:jc w:val="left"/>
              <w:rPr>
                <w:bCs/>
              </w:rPr>
            </w:pPr>
          </w:p>
        </w:tc>
        <w:tc>
          <w:tcPr>
            <w:tcW w:w="2137" w:type="pct"/>
          </w:tcPr>
          <w:p w:rsidR="00A76A6B" w:rsidRPr="00041E77" w:rsidRDefault="00A76A6B" w:rsidP="00A76A6B">
            <w:pPr>
              <w:tabs>
                <w:tab w:val="left" w:pos="1418"/>
                <w:tab w:val="left" w:pos="8931"/>
              </w:tabs>
              <w:jc w:val="both"/>
              <w:rPr>
                <w:b/>
                <w:bCs/>
              </w:rPr>
            </w:pPr>
            <w:r>
              <w:rPr>
                <w:color w:val="000000"/>
              </w:rPr>
              <w:t xml:space="preserve">Siūloma papildyti 75 str. 1 dalį 4 punktu: </w:t>
            </w:r>
            <w:proofErr w:type="spellStart"/>
            <w:r>
              <w:rPr>
                <w:color w:val="000000"/>
              </w:rPr>
              <w:t>doktorontūros</w:t>
            </w:r>
            <w:proofErr w:type="spellEnd"/>
            <w:r>
              <w:rPr>
                <w:color w:val="000000"/>
              </w:rPr>
              <w:t xml:space="preserve"> studijoms finansuoti.</w:t>
            </w:r>
          </w:p>
        </w:tc>
        <w:tc>
          <w:tcPr>
            <w:tcW w:w="2130" w:type="pct"/>
          </w:tcPr>
          <w:p w:rsidR="00A76A6B" w:rsidRDefault="00A76A6B" w:rsidP="00025075">
            <w:pPr>
              <w:shd w:val="clear" w:color="auto" w:fill="FFFFFF"/>
              <w:jc w:val="both"/>
              <w:rPr>
                <w:b/>
              </w:rPr>
            </w:pPr>
            <w:r>
              <w:rPr>
                <w:b/>
              </w:rPr>
              <w:t>Neatsižvelgta</w:t>
            </w:r>
            <w:r>
              <w:t>. Doktorantūros studijos finansuojamos</w:t>
            </w:r>
            <w:r w:rsidR="00972DCE">
              <w:t xml:space="preserve"> kaip ir kitų pakopų studijos,</w:t>
            </w:r>
            <w:r>
              <w:t xml:space="preserve"> apmokant studijų kainą. Siūloma nuostata būtų perteklinė.</w:t>
            </w:r>
          </w:p>
        </w:tc>
      </w:tr>
      <w:tr w:rsidR="0008603C" w:rsidRPr="00041E77" w:rsidTr="00C33933">
        <w:trPr>
          <w:trHeight w:val="756"/>
        </w:trPr>
        <w:tc>
          <w:tcPr>
            <w:tcW w:w="0" w:type="auto"/>
            <w:vMerge w:val="restart"/>
            <w:tcBorders>
              <w:top w:val="nil"/>
            </w:tcBorders>
          </w:tcPr>
          <w:p w:rsidR="0008603C" w:rsidRDefault="0008603C" w:rsidP="00A76A6B">
            <w:pPr>
              <w:jc w:val="left"/>
              <w:rPr>
                <w:bCs/>
              </w:rPr>
            </w:pPr>
          </w:p>
        </w:tc>
        <w:tc>
          <w:tcPr>
            <w:tcW w:w="2137" w:type="pct"/>
          </w:tcPr>
          <w:p w:rsidR="0008603C" w:rsidRDefault="0008603C" w:rsidP="00A76A6B">
            <w:pPr>
              <w:ind w:hanging="27"/>
              <w:jc w:val="both"/>
              <w:rPr>
                <w:color w:val="000000"/>
              </w:rPr>
            </w:pPr>
            <w:r>
              <w:rPr>
                <w:color w:val="000000"/>
              </w:rPr>
              <w:t xml:space="preserve">Lieka neaiškus valstybės finansuojamų studijų vietų kvotų paskirstymo modelis tarp studijų krypčių ir aukštųjų mokyklų, kaip nustatomi valstybės ūkinės, socialinės ir kultūrinės veiklos poreikiai, kaip vertinami </w:t>
            </w:r>
            <w:proofErr w:type="spellStart"/>
            <w:r>
              <w:rPr>
                <w:color w:val="000000"/>
              </w:rPr>
              <w:t>įsidarbinamumo</w:t>
            </w:r>
            <w:proofErr w:type="spellEnd"/>
            <w:r>
              <w:rPr>
                <w:color w:val="000000"/>
              </w:rPr>
              <w:t xml:space="preserve"> rodikliai.</w:t>
            </w:r>
          </w:p>
          <w:p w:rsidR="0008603C" w:rsidRDefault="0008603C" w:rsidP="000E69D0">
            <w:pPr>
              <w:jc w:val="both"/>
              <w:rPr>
                <w:color w:val="000000"/>
              </w:rPr>
            </w:pPr>
            <w:r>
              <w:rPr>
                <w:color w:val="000000"/>
              </w:rPr>
              <w:t xml:space="preserve">Siūloma, kad atitinkamais metais priimamų į I pakopos ir vientisųjų studijų studentams skiriamą finansavimą ir preliminarų valstybės finansuojamų I pakopos ir vientisųjų studijų vietų ir studijų stipendijų vietų skaičiaus paskirstymą </w:t>
            </w:r>
            <w:r w:rsidRPr="00F1231E">
              <w:rPr>
                <w:b/>
                <w:color w:val="000000"/>
              </w:rPr>
              <w:t>pagal studijų programas</w:t>
            </w:r>
            <w:r>
              <w:rPr>
                <w:color w:val="000000"/>
              </w:rPr>
              <w:t xml:space="preserve">  (menų studijų – ir pagal studijų pagal studijų programas arba specializacijas, pedagogų rengimo – pagal studijų programas  arba jų grupes) </w:t>
            </w:r>
            <w:r w:rsidRPr="00F1231E">
              <w:rPr>
                <w:b/>
                <w:color w:val="000000"/>
              </w:rPr>
              <w:t>ir aukštąsias moky</w:t>
            </w:r>
            <w:r>
              <w:rPr>
                <w:b/>
                <w:color w:val="000000"/>
              </w:rPr>
              <w:t>k</w:t>
            </w:r>
            <w:r w:rsidRPr="00F1231E">
              <w:rPr>
                <w:b/>
                <w:color w:val="000000"/>
              </w:rPr>
              <w:t>las</w:t>
            </w:r>
            <w:r>
              <w:rPr>
                <w:color w:val="000000"/>
              </w:rPr>
              <w:t xml:space="preserve"> iki kiekvienų metų kovo 1 d. </w:t>
            </w:r>
            <w:r>
              <w:rPr>
                <w:color w:val="000000"/>
              </w:rPr>
              <w:lastRenderedPageBreak/>
              <w:t>nustatytų švietimo ir mokslo ministras, atsižvelgdamas į kitų ministerijų pagal pavestas valdymo sritis siūlymus, finansines galimybes bei atsižvelgiant į absolventų, baigusių studijų programą aukštojoje mokykloje, nedarbo rodiklius.</w:t>
            </w:r>
          </w:p>
          <w:p w:rsidR="0008603C" w:rsidRPr="00041E77" w:rsidRDefault="0008603C" w:rsidP="00A76A6B">
            <w:pPr>
              <w:tabs>
                <w:tab w:val="left" w:pos="1418"/>
                <w:tab w:val="left" w:pos="8931"/>
              </w:tabs>
              <w:jc w:val="both"/>
              <w:rPr>
                <w:b/>
                <w:bCs/>
              </w:rPr>
            </w:pPr>
          </w:p>
        </w:tc>
        <w:tc>
          <w:tcPr>
            <w:tcW w:w="2130" w:type="pct"/>
          </w:tcPr>
          <w:p w:rsidR="0008603C" w:rsidRPr="00BC5B41" w:rsidRDefault="0008603C" w:rsidP="003D255D">
            <w:pPr>
              <w:shd w:val="clear" w:color="auto" w:fill="FFFFFF"/>
              <w:jc w:val="both"/>
            </w:pPr>
            <w:r w:rsidRPr="00BC5B41">
              <w:rPr>
                <w:b/>
              </w:rPr>
              <w:lastRenderedPageBreak/>
              <w:t>Neatsižvelgta</w:t>
            </w:r>
            <w:r w:rsidRPr="00BC5B41">
              <w:t xml:space="preserve">. Valstybės finansuojamų studijų vietų paskirstymo tarp studijų krypčių grupių ir aukštųjų mokyklų nekeičiamas. Jį </w:t>
            </w:r>
            <w:r>
              <w:t xml:space="preserve">aiškiai </w:t>
            </w:r>
            <w:r w:rsidRPr="00BC5B41">
              <w:t>reglamentuoja Mokslo ir studijų įstatymo 77 straipsnio 2, 3, 4, 5, 8, 9, 10, 11 dalys.</w:t>
            </w:r>
          </w:p>
          <w:p w:rsidR="0008603C" w:rsidRPr="00BC5B41" w:rsidRDefault="0008603C" w:rsidP="00BC5B41">
            <w:pPr>
              <w:shd w:val="clear" w:color="auto" w:fill="FFFFFF"/>
              <w:jc w:val="both"/>
            </w:pPr>
            <w:r w:rsidRPr="00BC5B41">
              <w:t xml:space="preserve">Paminėtina, kad šiuo metu paskirstant preliminarų studijų vietų skaičių tarp studijų krypčių grupių be kita ko yra analizuojami </w:t>
            </w:r>
            <w:r>
              <w:t xml:space="preserve">ir </w:t>
            </w:r>
            <w:proofErr w:type="spellStart"/>
            <w:r w:rsidRPr="00BC5B41">
              <w:t>įsidarbinamumo</w:t>
            </w:r>
            <w:proofErr w:type="spellEnd"/>
            <w:r>
              <w:t xml:space="preserve"> rodikliai, tačiau</w:t>
            </w:r>
          </w:p>
          <w:p w:rsidR="0008603C" w:rsidRPr="00BC5B41" w:rsidRDefault="0008603C" w:rsidP="00CC01D7">
            <w:pPr>
              <w:jc w:val="both"/>
              <w:rPr>
                <w:lang w:val="en-US"/>
              </w:rPr>
            </w:pPr>
            <w:r w:rsidRPr="00BC5B41">
              <w:t xml:space="preserve">Siekiant sustiprinti šveitimo sistemos sąveiką su žmogaus ir visuomenės poreikiais, vykdomų būsimųjų specialistų pasiūlos formavimą, yra vykdomas ES struktūrinių fondų lėšomis finansuojamas projektas „Švietimo pasiūlos analizės ir vertinimo </w:t>
            </w:r>
            <w:r w:rsidRPr="00BC5B41">
              <w:lastRenderedPageBreak/>
              <w:t xml:space="preserve">sistemos kūrimas bei diegimas“ (vykdytojas – MOSTA), kuriuo siekiama sukurti metodiką, </w:t>
            </w:r>
            <w:proofErr w:type="spellStart"/>
            <w:r w:rsidRPr="00BC5B41">
              <w:t>įveiklinančią</w:t>
            </w:r>
            <w:proofErr w:type="spellEnd"/>
            <w:r w:rsidRPr="00BC5B41">
              <w:t xml:space="preserve"> Nacionalinės žmogiškųjų išteklių stebėsenos rezultatus ir leidžiančią analizuoti, vertinti ir planuoti švietimo pasiūlą, atsižvelgiant į visuomenės ir ūkio poreikius. Minėta metodika aiškiai apibrėš ir </w:t>
            </w:r>
            <w:proofErr w:type="spellStart"/>
            <w:r w:rsidRPr="00BC5B41">
              <w:t>įsidarbinamumo</w:t>
            </w:r>
            <w:proofErr w:type="spellEnd"/>
            <w:r w:rsidRPr="00BC5B41">
              <w:t xml:space="preserve"> rodiklių analizės rezultatų naudojimą, planuojant valstybės finansuojamų studijų vietų paskirstymą.</w:t>
            </w:r>
          </w:p>
        </w:tc>
      </w:tr>
      <w:tr w:rsidR="0008603C" w:rsidRPr="00041E77" w:rsidTr="00C33933">
        <w:trPr>
          <w:trHeight w:val="1207"/>
        </w:trPr>
        <w:tc>
          <w:tcPr>
            <w:tcW w:w="0" w:type="auto"/>
            <w:vMerge/>
          </w:tcPr>
          <w:p w:rsidR="0008603C" w:rsidRDefault="0008603C" w:rsidP="00A76A6B">
            <w:pPr>
              <w:jc w:val="left"/>
              <w:rPr>
                <w:bCs/>
              </w:rPr>
            </w:pPr>
          </w:p>
        </w:tc>
        <w:tc>
          <w:tcPr>
            <w:tcW w:w="2137" w:type="pct"/>
          </w:tcPr>
          <w:p w:rsidR="0008603C" w:rsidRPr="00041E77" w:rsidRDefault="0008603C" w:rsidP="00A76A6B">
            <w:pPr>
              <w:ind w:hanging="27"/>
              <w:jc w:val="both"/>
              <w:rPr>
                <w:b/>
                <w:bCs/>
              </w:rPr>
            </w:pPr>
            <w:r>
              <w:rPr>
                <w:color w:val="000000"/>
              </w:rPr>
              <w:t xml:space="preserve">Siūloma, kad  didžiausia leistina atsilaisvinusių ir neužimtų valstybės finansuojamų studijų vietų dalis negali būti didesnė kaip 30 proc. nuo priėmimo metais nustatyto valstybės finansuojamų studijų vietų skaičiaus aukštojoje mokykloje </w:t>
            </w:r>
          </w:p>
        </w:tc>
        <w:tc>
          <w:tcPr>
            <w:tcW w:w="2130" w:type="pct"/>
          </w:tcPr>
          <w:p w:rsidR="0008603C" w:rsidRDefault="0008603C" w:rsidP="00A76A6B">
            <w:pPr>
              <w:shd w:val="clear" w:color="auto" w:fill="FFFFFF"/>
              <w:jc w:val="both"/>
              <w:rPr>
                <w:b/>
              </w:rPr>
            </w:pPr>
            <w:r>
              <w:rPr>
                <w:b/>
              </w:rPr>
              <w:t xml:space="preserve">Neatsižvelgta. </w:t>
            </w:r>
            <w:r w:rsidRPr="00A76A6B">
              <w:t>D</w:t>
            </w:r>
            <w:r w:rsidRPr="00A76A6B">
              <w:rPr>
                <w:color w:val="000000"/>
              </w:rPr>
              <w:t>idžiaus</w:t>
            </w:r>
            <w:r>
              <w:rPr>
                <w:color w:val="000000"/>
              </w:rPr>
              <w:t>ios leistinos atsilaisvinusių ir neužimtų valstybės finansuojamų studijų vietų dalies skaičiavimas nuo priėmimo metais nustatyto valstybės finansuojamų studijų vietų skaičiaus aukštojoje mokykloje (o ne studijų krypčių grupėje) sudarytų prielaidas kai kuriose studijų krypčių grupėse turėti nepagrįstai didelį „nubyrėjimą“ ir neefektyviai naudoti valstybės biudžeto lėšas.</w:t>
            </w:r>
          </w:p>
        </w:tc>
      </w:tr>
      <w:tr w:rsidR="0008603C" w:rsidRPr="00041E77" w:rsidTr="00C33933">
        <w:trPr>
          <w:trHeight w:val="1207"/>
        </w:trPr>
        <w:tc>
          <w:tcPr>
            <w:tcW w:w="0" w:type="auto"/>
            <w:vMerge/>
            <w:tcBorders>
              <w:bottom w:val="nil"/>
            </w:tcBorders>
          </w:tcPr>
          <w:p w:rsidR="0008603C" w:rsidRDefault="0008603C" w:rsidP="00A76A6B">
            <w:pPr>
              <w:jc w:val="left"/>
              <w:rPr>
                <w:bCs/>
              </w:rPr>
            </w:pPr>
          </w:p>
        </w:tc>
        <w:tc>
          <w:tcPr>
            <w:tcW w:w="2137" w:type="pct"/>
          </w:tcPr>
          <w:p w:rsidR="0008603C" w:rsidRPr="00041E77" w:rsidRDefault="0008603C" w:rsidP="00A76A6B">
            <w:pPr>
              <w:tabs>
                <w:tab w:val="left" w:pos="1418"/>
                <w:tab w:val="left" w:pos="8931"/>
              </w:tabs>
              <w:jc w:val="both"/>
              <w:rPr>
                <w:b/>
                <w:bCs/>
              </w:rPr>
            </w:pPr>
            <w:r>
              <w:rPr>
                <w:color w:val="000000"/>
              </w:rPr>
              <w:t>Pirmiesiems trims sutarčių su aukštosiomis mokyklomis galiojimo metams nustatyti 30 proc. didžiausią leistiną atsilaisvinusių ir neužimtų valstybės finansuojamų studijų vietų dalį (77 str. 6 d.).</w:t>
            </w:r>
          </w:p>
        </w:tc>
        <w:tc>
          <w:tcPr>
            <w:tcW w:w="2130" w:type="pct"/>
          </w:tcPr>
          <w:p w:rsidR="0008603C" w:rsidRDefault="0008603C" w:rsidP="00A76A6B">
            <w:pPr>
              <w:shd w:val="clear" w:color="auto" w:fill="FFFFFF"/>
              <w:jc w:val="both"/>
              <w:rPr>
                <w:b/>
              </w:rPr>
            </w:pPr>
            <w:r>
              <w:rPr>
                <w:b/>
              </w:rPr>
              <w:t xml:space="preserve">Neatsižvelgta. </w:t>
            </w:r>
            <w:r>
              <w:t xml:space="preserve">Šis klausimas bus sprendžiamas Vyriausybei tvirtinant </w:t>
            </w:r>
            <w:r>
              <w:rPr>
                <w:rFonts w:eastAsia="Arial"/>
              </w:rPr>
              <w:t>didžiausią</w:t>
            </w:r>
            <w:r w:rsidRPr="00AF3EA3">
              <w:rPr>
                <w:rFonts w:eastAsia="Arial"/>
              </w:rPr>
              <w:t xml:space="preserve"> leistin</w:t>
            </w:r>
            <w:r>
              <w:rPr>
                <w:rFonts w:eastAsia="Arial"/>
              </w:rPr>
              <w:t>ą</w:t>
            </w:r>
            <w:r w:rsidRPr="00AF3EA3">
              <w:rPr>
                <w:rFonts w:eastAsia="Arial"/>
              </w:rPr>
              <w:t xml:space="preserve"> atsilaisvinusių ir neužimtų valstybės finansuojamų studijų vietų dal</w:t>
            </w:r>
            <w:r>
              <w:rPr>
                <w:rFonts w:eastAsia="Arial"/>
              </w:rPr>
              <w:t>į</w:t>
            </w:r>
            <w:r w:rsidRPr="00AF3EA3">
              <w:rPr>
                <w:rFonts w:eastAsia="Arial"/>
              </w:rPr>
              <w:t xml:space="preserve"> pagal studijų krypčių gr</w:t>
            </w:r>
            <w:r>
              <w:rPr>
                <w:rFonts w:eastAsia="Arial"/>
              </w:rPr>
              <w:t>upes arba mokslo ar meno sritis.</w:t>
            </w:r>
          </w:p>
        </w:tc>
      </w:tr>
      <w:tr w:rsidR="00A76A6B" w:rsidRPr="00041E77" w:rsidTr="00D731A9">
        <w:trPr>
          <w:trHeight w:val="697"/>
        </w:trPr>
        <w:tc>
          <w:tcPr>
            <w:tcW w:w="0" w:type="auto"/>
            <w:tcBorders>
              <w:top w:val="nil"/>
            </w:tcBorders>
          </w:tcPr>
          <w:p w:rsidR="00A76A6B" w:rsidRDefault="00A76A6B" w:rsidP="00A76A6B">
            <w:pPr>
              <w:jc w:val="left"/>
              <w:rPr>
                <w:bCs/>
              </w:rPr>
            </w:pPr>
          </w:p>
        </w:tc>
        <w:tc>
          <w:tcPr>
            <w:tcW w:w="2137" w:type="pct"/>
          </w:tcPr>
          <w:p w:rsidR="00A76A6B" w:rsidRPr="00041E77" w:rsidRDefault="00162C3A" w:rsidP="00162C3A">
            <w:pPr>
              <w:ind w:hanging="27"/>
              <w:jc w:val="both"/>
              <w:rPr>
                <w:b/>
                <w:bCs/>
              </w:rPr>
            </w:pPr>
            <w:r w:rsidRPr="00162C3A">
              <w:t>Siūloma 83</w:t>
            </w:r>
            <w:r w:rsidRPr="00162C3A">
              <w:rPr>
                <w:vertAlign w:val="superscript"/>
              </w:rPr>
              <w:t xml:space="preserve">1 </w:t>
            </w:r>
            <w:r>
              <w:t xml:space="preserve">straipsnio </w:t>
            </w:r>
            <w:r w:rsidRPr="00162C3A">
              <w:t>2 dalyje  atsisakyti nuostatos, kad valstybės biudžeto lėšos aukštųjų mokyklų pažangai skatinti skiriamos atsižvelgiant į valstybės finansines galimybes, o skirti papildomai nemažinant aukštųjų mokyklų bazinio finansavimo ir numatant kasmet augančią skatinimo lėšų  dalį.</w:t>
            </w:r>
          </w:p>
        </w:tc>
        <w:tc>
          <w:tcPr>
            <w:tcW w:w="2130" w:type="pct"/>
          </w:tcPr>
          <w:p w:rsidR="00085895" w:rsidRDefault="00573F22" w:rsidP="003E04F6">
            <w:pPr>
              <w:shd w:val="clear" w:color="auto" w:fill="FFFFFF"/>
              <w:jc w:val="both"/>
              <w:rPr>
                <w:b/>
              </w:rPr>
            </w:pPr>
            <w:r>
              <w:rPr>
                <w:b/>
              </w:rPr>
              <w:t>Atsižvelgta iš dalies</w:t>
            </w:r>
            <w:r w:rsidR="00162C3A">
              <w:rPr>
                <w:b/>
              </w:rPr>
              <w:t xml:space="preserve">. </w:t>
            </w:r>
            <w:r w:rsidR="00085895">
              <w:t xml:space="preserve">Siekiant aiškiau reglamentuoti, kad </w:t>
            </w:r>
            <w:r w:rsidR="00085895" w:rsidRPr="00162C3A">
              <w:t>valstybės biudžeto lėšos aukštųjų mokyklų pažangai skatinti skiriamos</w:t>
            </w:r>
            <w:r w:rsidR="00085895">
              <w:t xml:space="preserve"> </w:t>
            </w:r>
            <w:r w:rsidR="00085895" w:rsidRPr="00162C3A">
              <w:t xml:space="preserve">papildomai </w:t>
            </w:r>
            <w:r w:rsidR="00085895">
              <w:t>prie</w:t>
            </w:r>
            <w:r w:rsidR="00085895" w:rsidRPr="00162C3A">
              <w:t xml:space="preserve"> aukštųjų mokyklų bazinio finansavimo</w:t>
            </w:r>
            <w:r w:rsidR="00085895">
              <w:t xml:space="preserve">, patikslinta </w:t>
            </w:r>
            <w:r w:rsidR="00085895" w:rsidRPr="00162C3A">
              <w:t>83</w:t>
            </w:r>
            <w:r w:rsidR="00085895" w:rsidRPr="00162C3A">
              <w:rPr>
                <w:vertAlign w:val="superscript"/>
              </w:rPr>
              <w:t xml:space="preserve">1 </w:t>
            </w:r>
            <w:r w:rsidR="00085895">
              <w:t>straipsnio 2 dalies formuluotė, tačiau dėl kasmet skiriamų skatinimo lėšų dalies turėtų būti sprendžiama rengiant atitinkamų metų valstybės biudžeto projektus, atsižvelgiant į valstybės finansines galimybes.</w:t>
            </w:r>
          </w:p>
        </w:tc>
      </w:tr>
    </w:tbl>
    <w:p w:rsidR="0085360B" w:rsidRDefault="0085360B" w:rsidP="00951C39"/>
    <w:p w:rsidR="00C75F94" w:rsidRPr="00FA158D" w:rsidRDefault="00C75F94" w:rsidP="00951C39">
      <w:bookmarkStart w:id="0" w:name="_GoBack"/>
      <w:bookmarkEnd w:id="0"/>
      <w:r w:rsidRPr="00FA158D">
        <w:t>_____</w:t>
      </w:r>
      <w:r>
        <w:t>____________________</w:t>
      </w:r>
    </w:p>
    <w:sectPr w:rsidR="00C75F94" w:rsidRPr="00FA158D" w:rsidSect="00270286">
      <w:headerReference w:type="even" r:id="rId10"/>
      <w:headerReference w:type="default" r:id="rId11"/>
      <w:pgSz w:w="16838" w:h="11906" w:orient="landscape" w:code="9"/>
      <w:pgMar w:top="851" w:right="567" w:bottom="567" w:left="1134"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BCD" w:rsidRDefault="008D6BCD">
      <w:r>
        <w:separator/>
      </w:r>
    </w:p>
  </w:endnote>
  <w:endnote w:type="continuationSeparator" w:id="0">
    <w:p w:rsidR="008D6BCD" w:rsidRDefault="008D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BCD" w:rsidRDefault="008D6BCD">
      <w:r>
        <w:separator/>
      </w:r>
    </w:p>
  </w:footnote>
  <w:footnote w:type="continuationSeparator" w:id="0">
    <w:p w:rsidR="008D6BCD" w:rsidRDefault="008D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8E" w:rsidRDefault="00CA7A8E" w:rsidP="009320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A7A8E" w:rsidRDefault="00CA7A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8E" w:rsidRDefault="00CA7A8E" w:rsidP="009A76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360B">
      <w:rPr>
        <w:rStyle w:val="Puslapionumeris"/>
        <w:noProof/>
      </w:rPr>
      <w:t>5</w:t>
    </w:r>
    <w:r>
      <w:rPr>
        <w:rStyle w:val="Puslapionumeris"/>
      </w:rPr>
      <w:fldChar w:fldCharType="end"/>
    </w:r>
  </w:p>
  <w:p w:rsidR="00CA7A8E" w:rsidRDefault="00CA7A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973"/>
    <w:multiLevelType w:val="hybridMultilevel"/>
    <w:tmpl w:val="0AC6A67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F91C0D"/>
    <w:multiLevelType w:val="hybridMultilevel"/>
    <w:tmpl w:val="3E08278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18B4654"/>
    <w:multiLevelType w:val="hybridMultilevel"/>
    <w:tmpl w:val="3F04C846"/>
    <w:lvl w:ilvl="0" w:tplc="EFC4BDD6">
      <w:start w:val="1"/>
      <w:numFmt w:val="decimal"/>
      <w:lvlText w:val="%1."/>
      <w:lvlJc w:val="left"/>
      <w:pPr>
        <w:tabs>
          <w:tab w:val="num" w:pos="1727"/>
        </w:tabs>
        <w:ind w:left="1727" w:hanging="990"/>
      </w:pPr>
      <w:rPr>
        <w:rFonts w:hint="default"/>
      </w:rPr>
    </w:lvl>
    <w:lvl w:ilvl="1" w:tplc="04270019" w:tentative="1">
      <w:start w:val="1"/>
      <w:numFmt w:val="lowerLetter"/>
      <w:lvlText w:val="%2."/>
      <w:lvlJc w:val="left"/>
      <w:pPr>
        <w:tabs>
          <w:tab w:val="num" w:pos="1817"/>
        </w:tabs>
        <w:ind w:left="1817" w:hanging="360"/>
      </w:pPr>
    </w:lvl>
    <w:lvl w:ilvl="2" w:tplc="0427001B" w:tentative="1">
      <w:start w:val="1"/>
      <w:numFmt w:val="lowerRoman"/>
      <w:lvlText w:val="%3."/>
      <w:lvlJc w:val="right"/>
      <w:pPr>
        <w:tabs>
          <w:tab w:val="num" w:pos="2537"/>
        </w:tabs>
        <w:ind w:left="2537" w:hanging="180"/>
      </w:pPr>
    </w:lvl>
    <w:lvl w:ilvl="3" w:tplc="0427000F" w:tentative="1">
      <w:start w:val="1"/>
      <w:numFmt w:val="decimal"/>
      <w:lvlText w:val="%4."/>
      <w:lvlJc w:val="left"/>
      <w:pPr>
        <w:tabs>
          <w:tab w:val="num" w:pos="3257"/>
        </w:tabs>
        <w:ind w:left="3257" w:hanging="360"/>
      </w:pPr>
    </w:lvl>
    <w:lvl w:ilvl="4" w:tplc="04270019" w:tentative="1">
      <w:start w:val="1"/>
      <w:numFmt w:val="lowerLetter"/>
      <w:lvlText w:val="%5."/>
      <w:lvlJc w:val="left"/>
      <w:pPr>
        <w:tabs>
          <w:tab w:val="num" w:pos="3977"/>
        </w:tabs>
        <w:ind w:left="3977" w:hanging="360"/>
      </w:pPr>
    </w:lvl>
    <w:lvl w:ilvl="5" w:tplc="0427001B" w:tentative="1">
      <w:start w:val="1"/>
      <w:numFmt w:val="lowerRoman"/>
      <w:lvlText w:val="%6."/>
      <w:lvlJc w:val="right"/>
      <w:pPr>
        <w:tabs>
          <w:tab w:val="num" w:pos="4697"/>
        </w:tabs>
        <w:ind w:left="4697" w:hanging="180"/>
      </w:pPr>
    </w:lvl>
    <w:lvl w:ilvl="6" w:tplc="0427000F" w:tentative="1">
      <w:start w:val="1"/>
      <w:numFmt w:val="decimal"/>
      <w:lvlText w:val="%7."/>
      <w:lvlJc w:val="left"/>
      <w:pPr>
        <w:tabs>
          <w:tab w:val="num" w:pos="5417"/>
        </w:tabs>
        <w:ind w:left="5417" w:hanging="360"/>
      </w:pPr>
    </w:lvl>
    <w:lvl w:ilvl="7" w:tplc="04270019" w:tentative="1">
      <w:start w:val="1"/>
      <w:numFmt w:val="lowerLetter"/>
      <w:lvlText w:val="%8."/>
      <w:lvlJc w:val="left"/>
      <w:pPr>
        <w:tabs>
          <w:tab w:val="num" w:pos="6137"/>
        </w:tabs>
        <w:ind w:left="6137" w:hanging="360"/>
      </w:pPr>
    </w:lvl>
    <w:lvl w:ilvl="8" w:tplc="0427001B" w:tentative="1">
      <w:start w:val="1"/>
      <w:numFmt w:val="lowerRoman"/>
      <w:lvlText w:val="%9."/>
      <w:lvlJc w:val="right"/>
      <w:pPr>
        <w:tabs>
          <w:tab w:val="num" w:pos="6857"/>
        </w:tabs>
        <w:ind w:left="6857" w:hanging="180"/>
      </w:pPr>
    </w:lvl>
  </w:abstractNum>
  <w:abstractNum w:abstractNumId="3" w15:restartNumberingAfterBreak="0">
    <w:nsid w:val="13B412DA"/>
    <w:multiLevelType w:val="hybridMultilevel"/>
    <w:tmpl w:val="27C073D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174B66"/>
    <w:multiLevelType w:val="hybridMultilevel"/>
    <w:tmpl w:val="434E709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521526"/>
    <w:multiLevelType w:val="hybridMultilevel"/>
    <w:tmpl w:val="B5D05F6C"/>
    <w:lvl w:ilvl="0" w:tplc="AAE81E88">
      <w:start w:val="1"/>
      <w:numFmt w:val="decimal"/>
      <w:lvlText w:val="%1."/>
      <w:lvlJc w:val="left"/>
      <w:pPr>
        <w:ind w:left="819" w:hanging="360"/>
      </w:pPr>
      <w:rPr>
        <w:rFonts w:cs="Times New Roman" w:hint="default"/>
      </w:rPr>
    </w:lvl>
    <w:lvl w:ilvl="1" w:tplc="04270019" w:tentative="1">
      <w:start w:val="1"/>
      <w:numFmt w:val="lowerLetter"/>
      <w:lvlText w:val="%2."/>
      <w:lvlJc w:val="left"/>
      <w:pPr>
        <w:ind w:left="1539" w:hanging="360"/>
      </w:pPr>
      <w:rPr>
        <w:rFonts w:cs="Times New Roman"/>
      </w:rPr>
    </w:lvl>
    <w:lvl w:ilvl="2" w:tplc="0427001B" w:tentative="1">
      <w:start w:val="1"/>
      <w:numFmt w:val="lowerRoman"/>
      <w:lvlText w:val="%3."/>
      <w:lvlJc w:val="right"/>
      <w:pPr>
        <w:ind w:left="2259" w:hanging="180"/>
      </w:pPr>
      <w:rPr>
        <w:rFonts w:cs="Times New Roman"/>
      </w:rPr>
    </w:lvl>
    <w:lvl w:ilvl="3" w:tplc="0427000F" w:tentative="1">
      <w:start w:val="1"/>
      <w:numFmt w:val="decimal"/>
      <w:lvlText w:val="%4."/>
      <w:lvlJc w:val="left"/>
      <w:pPr>
        <w:ind w:left="2979" w:hanging="360"/>
      </w:pPr>
      <w:rPr>
        <w:rFonts w:cs="Times New Roman"/>
      </w:rPr>
    </w:lvl>
    <w:lvl w:ilvl="4" w:tplc="04270019" w:tentative="1">
      <w:start w:val="1"/>
      <w:numFmt w:val="lowerLetter"/>
      <w:lvlText w:val="%5."/>
      <w:lvlJc w:val="left"/>
      <w:pPr>
        <w:ind w:left="3699" w:hanging="360"/>
      </w:pPr>
      <w:rPr>
        <w:rFonts w:cs="Times New Roman"/>
      </w:rPr>
    </w:lvl>
    <w:lvl w:ilvl="5" w:tplc="0427001B" w:tentative="1">
      <w:start w:val="1"/>
      <w:numFmt w:val="lowerRoman"/>
      <w:lvlText w:val="%6."/>
      <w:lvlJc w:val="right"/>
      <w:pPr>
        <w:ind w:left="4419" w:hanging="180"/>
      </w:pPr>
      <w:rPr>
        <w:rFonts w:cs="Times New Roman"/>
      </w:rPr>
    </w:lvl>
    <w:lvl w:ilvl="6" w:tplc="0427000F" w:tentative="1">
      <w:start w:val="1"/>
      <w:numFmt w:val="decimal"/>
      <w:lvlText w:val="%7."/>
      <w:lvlJc w:val="left"/>
      <w:pPr>
        <w:ind w:left="5139" w:hanging="360"/>
      </w:pPr>
      <w:rPr>
        <w:rFonts w:cs="Times New Roman"/>
      </w:rPr>
    </w:lvl>
    <w:lvl w:ilvl="7" w:tplc="04270019" w:tentative="1">
      <w:start w:val="1"/>
      <w:numFmt w:val="lowerLetter"/>
      <w:lvlText w:val="%8."/>
      <w:lvlJc w:val="left"/>
      <w:pPr>
        <w:ind w:left="5859" w:hanging="360"/>
      </w:pPr>
      <w:rPr>
        <w:rFonts w:cs="Times New Roman"/>
      </w:rPr>
    </w:lvl>
    <w:lvl w:ilvl="8" w:tplc="0427001B" w:tentative="1">
      <w:start w:val="1"/>
      <w:numFmt w:val="lowerRoman"/>
      <w:lvlText w:val="%9."/>
      <w:lvlJc w:val="right"/>
      <w:pPr>
        <w:ind w:left="6579" w:hanging="180"/>
      </w:pPr>
      <w:rPr>
        <w:rFonts w:cs="Times New Roman"/>
      </w:rPr>
    </w:lvl>
  </w:abstractNum>
  <w:abstractNum w:abstractNumId="6" w15:restartNumberingAfterBreak="0">
    <w:nsid w:val="15760015"/>
    <w:multiLevelType w:val="hybridMultilevel"/>
    <w:tmpl w:val="91BEBFFA"/>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7" w15:restartNumberingAfterBreak="0">
    <w:nsid w:val="18193EB2"/>
    <w:multiLevelType w:val="hybridMultilevel"/>
    <w:tmpl w:val="94782E7C"/>
    <w:lvl w:ilvl="0" w:tplc="A42A8B90">
      <w:start w:val="1"/>
      <w:numFmt w:val="decimal"/>
      <w:lvlText w:val="%1."/>
      <w:lvlJc w:val="left"/>
      <w:pPr>
        <w:ind w:left="1440"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8" w15:restartNumberingAfterBreak="0">
    <w:nsid w:val="19A32561"/>
    <w:multiLevelType w:val="hybridMultilevel"/>
    <w:tmpl w:val="D854C266"/>
    <w:lvl w:ilvl="0" w:tplc="087CE48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DF45D2C"/>
    <w:multiLevelType w:val="hybridMultilevel"/>
    <w:tmpl w:val="4D18F4C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FE4247D"/>
    <w:multiLevelType w:val="hybridMultilevel"/>
    <w:tmpl w:val="56E86586"/>
    <w:lvl w:ilvl="0" w:tplc="0D561484">
      <w:start w:val="4"/>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1" w15:restartNumberingAfterBreak="0">
    <w:nsid w:val="216029B9"/>
    <w:multiLevelType w:val="hybridMultilevel"/>
    <w:tmpl w:val="5880A520"/>
    <w:lvl w:ilvl="0" w:tplc="F7D69486">
      <w:start w:val="1"/>
      <w:numFmt w:val="decimal"/>
      <w:lvlText w:val="%1."/>
      <w:lvlJc w:val="left"/>
      <w:pPr>
        <w:ind w:left="786" w:hanging="360"/>
      </w:pPr>
      <w:rPr>
        <w:rFonts w:cs="Times New Roman" w:hint="default"/>
      </w:rPr>
    </w:lvl>
    <w:lvl w:ilvl="1" w:tplc="04270019" w:tentative="1">
      <w:start w:val="1"/>
      <w:numFmt w:val="lowerLetter"/>
      <w:lvlText w:val="%2."/>
      <w:lvlJc w:val="left"/>
      <w:pPr>
        <w:ind w:left="1336" w:hanging="360"/>
      </w:pPr>
      <w:rPr>
        <w:rFonts w:cs="Times New Roman"/>
      </w:rPr>
    </w:lvl>
    <w:lvl w:ilvl="2" w:tplc="0427001B" w:tentative="1">
      <w:start w:val="1"/>
      <w:numFmt w:val="lowerRoman"/>
      <w:lvlText w:val="%3."/>
      <w:lvlJc w:val="right"/>
      <w:pPr>
        <w:ind w:left="2056" w:hanging="180"/>
      </w:pPr>
      <w:rPr>
        <w:rFonts w:cs="Times New Roman"/>
      </w:rPr>
    </w:lvl>
    <w:lvl w:ilvl="3" w:tplc="0427000F" w:tentative="1">
      <w:start w:val="1"/>
      <w:numFmt w:val="decimal"/>
      <w:lvlText w:val="%4."/>
      <w:lvlJc w:val="left"/>
      <w:pPr>
        <w:ind w:left="2776" w:hanging="360"/>
      </w:pPr>
      <w:rPr>
        <w:rFonts w:cs="Times New Roman"/>
      </w:rPr>
    </w:lvl>
    <w:lvl w:ilvl="4" w:tplc="04270019" w:tentative="1">
      <w:start w:val="1"/>
      <w:numFmt w:val="lowerLetter"/>
      <w:lvlText w:val="%5."/>
      <w:lvlJc w:val="left"/>
      <w:pPr>
        <w:ind w:left="3496" w:hanging="360"/>
      </w:pPr>
      <w:rPr>
        <w:rFonts w:cs="Times New Roman"/>
      </w:rPr>
    </w:lvl>
    <w:lvl w:ilvl="5" w:tplc="0427001B" w:tentative="1">
      <w:start w:val="1"/>
      <w:numFmt w:val="lowerRoman"/>
      <w:lvlText w:val="%6."/>
      <w:lvlJc w:val="right"/>
      <w:pPr>
        <w:ind w:left="4216" w:hanging="180"/>
      </w:pPr>
      <w:rPr>
        <w:rFonts w:cs="Times New Roman"/>
      </w:rPr>
    </w:lvl>
    <w:lvl w:ilvl="6" w:tplc="0427000F" w:tentative="1">
      <w:start w:val="1"/>
      <w:numFmt w:val="decimal"/>
      <w:lvlText w:val="%7."/>
      <w:lvlJc w:val="left"/>
      <w:pPr>
        <w:ind w:left="4936" w:hanging="360"/>
      </w:pPr>
      <w:rPr>
        <w:rFonts w:cs="Times New Roman"/>
      </w:rPr>
    </w:lvl>
    <w:lvl w:ilvl="7" w:tplc="04270019" w:tentative="1">
      <w:start w:val="1"/>
      <w:numFmt w:val="lowerLetter"/>
      <w:lvlText w:val="%8."/>
      <w:lvlJc w:val="left"/>
      <w:pPr>
        <w:ind w:left="5656" w:hanging="360"/>
      </w:pPr>
      <w:rPr>
        <w:rFonts w:cs="Times New Roman"/>
      </w:rPr>
    </w:lvl>
    <w:lvl w:ilvl="8" w:tplc="0427001B" w:tentative="1">
      <w:start w:val="1"/>
      <w:numFmt w:val="lowerRoman"/>
      <w:lvlText w:val="%9."/>
      <w:lvlJc w:val="right"/>
      <w:pPr>
        <w:ind w:left="6376" w:hanging="180"/>
      </w:pPr>
      <w:rPr>
        <w:rFonts w:cs="Times New Roman"/>
      </w:rPr>
    </w:lvl>
  </w:abstractNum>
  <w:abstractNum w:abstractNumId="12" w15:restartNumberingAfterBreak="0">
    <w:nsid w:val="22D204A4"/>
    <w:multiLevelType w:val="hybridMultilevel"/>
    <w:tmpl w:val="78607FB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9AC723D"/>
    <w:multiLevelType w:val="hybridMultilevel"/>
    <w:tmpl w:val="669035D4"/>
    <w:lvl w:ilvl="0" w:tplc="1B141EAE">
      <w:start w:val="1"/>
      <w:numFmt w:val="decimal"/>
      <w:lvlText w:val="%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A7621F9"/>
    <w:multiLevelType w:val="hybridMultilevel"/>
    <w:tmpl w:val="E83CE77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B186091"/>
    <w:multiLevelType w:val="hybridMultilevel"/>
    <w:tmpl w:val="F78C808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C39420C"/>
    <w:multiLevelType w:val="hybridMultilevel"/>
    <w:tmpl w:val="0666F31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74644CD"/>
    <w:multiLevelType w:val="hybridMultilevel"/>
    <w:tmpl w:val="1F849602"/>
    <w:lvl w:ilvl="0" w:tplc="EECCC990">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19" w15:restartNumberingAfterBreak="0">
    <w:nsid w:val="3AC42EF3"/>
    <w:multiLevelType w:val="hybridMultilevel"/>
    <w:tmpl w:val="057EFC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C263F67"/>
    <w:multiLevelType w:val="hybridMultilevel"/>
    <w:tmpl w:val="14543CE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2E46CBA"/>
    <w:multiLevelType w:val="hybridMultilevel"/>
    <w:tmpl w:val="7E7CFE30"/>
    <w:lvl w:ilvl="0" w:tplc="621E7B8E">
      <w:start w:val="1"/>
      <w:numFmt w:val="decimal"/>
      <w:lvlText w:val="%1."/>
      <w:lvlJc w:val="left"/>
      <w:pPr>
        <w:ind w:left="928" w:hanging="360"/>
      </w:pPr>
      <w:rPr>
        <w:rFonts w:cs="Times New Roman" w:hint="default"/>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2" w15:restartNumberingAfterBreak="0">
    <w:nsid w:val="45A91E25"/>
    <w:multiLevelType w:val="hybridMultilevel"/>
    <w:tmpl w:val="3822E8EE"/>
    <w:lvl w:ilvl="0" w:tplc="0427000F">
      <w:start w:val="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ABE7AA0"/>
    <w:multiLevelType w:val="hybridMultilevel"/>
    <w:tmpl w:val="9D4864B4"/>
    <w:lvl w:ilvl="0" w:tplc="EB56F56A">
      <w:start w:val="4"/>
      <w:numFmt w:val="decimal"/>
      <w:lvlText w:val="%1."/>
      <w:lvlJc w:val="left"/>
      <w:pPr>
        <w:ind w:left="677" w:hanging="360"/>
      </w:pPr>
      <w:rPr>
        <w:rFonts w:cs="Times New Roman" w:hint="default"/>
      </w:rPr>
    </w:lvl>
    <w:lvl w:ilvl="1" w:tplc="04270019" w:tentative="1">
      <w:start w:val="1"/>
      <w:numFmt w:val="lowerLetter"/>
      <w:lvlText w:val="%2."/>
      <w:lvlJc w:val="left"/>
      <w:pPr>
        <w:ind w:left="1397" w:hanging="360"/>
      </w:pPr>
      <w:rPr>
        <w:rFonts w:cs="Times New Roman"/>
      </w:rPr>
    </w:lvl>
    <w:lvl w:ilvl="2" w:tplc="0427001B" w:tentative="1">
      <w:start w:val="1"/>
      <w:numFmt w:val="lowerRoman"/>
      <w:lvlText w:val="%3."/>
      <w:lvlJc w:val="right"/>
      <w:pPr>
        <w:ind w:left="2117" w:hanging="180"/>
      </w:pPr>
      <w:rPr>
        <w:rFonts w:cs="Times New Roman"/>
      </w:rPr>
    </w:lvl>
    <w:lvl w:ilvl="3" w:tplc="0427000F" w:tentative="1">
      <w:start w:val="1"/>
      <w:numFmt w:val="decimal"/>
      <w:lvlText w:val="%4."/>
      <w:lvlJc w:val="left"/>
      <w:pPr>
        <w:ind w:left="2837" w:hanging="360"/>
      </w:pPr>
      <w:rPr>
        <w:rFonts w:cs="Times New Roman"/>
      </w:rPr>
    </w:lvl>
    <w:lvl w:ilvl="4" w:tplc="04270019" w:tentative="1">
      <w:start w:val="1"/>
      <w:numFmt w:val="lowerLetter"/>
      <w:lvlText w:val="%5."/>
      <w:lvlJc w:val="left"/>
      <w:pPr>
        <w:ind w:left="3557" w:hanging="360"/>
      </w:pPr>
      <w:rPr>
        <w:rFonts w:cs="Times New Roman"/>
      </w:rPr>
    </w:lvl>
    <w:lvl w:ilvl="5" w:tplc="0427001B" w:tentative="1">
      <w:start w:val="1"/>
      <w:numFmt w:val="lowerRoman"/>
      <w:lvlText w:val="%6."/>
      <w:lvlJc w:val="right"/>
      <w:pPr>
        <w:ind w:left="4277" w:hanging="180"/>
      </w:pPr>
      <w:rPr>
        <w:rFonts w:cs="Times New Roman"/>
      </w:rPr>
    </w:lvl>
    <w:lvl w:ilvl="6" w:tplc="0427000F" w:tentative="1">
      <w:start w:val="1"/>
      <w:numFmt w:val="decimal"/>
      <w:lvlText w:val="%7."/>
      <w:lvlJc w:val="left"/>
      <w:pPr>
        <w:ind w:left="4997" w:hanging="360"/>
      </w:pPr>
      <w:rPr>
        <w:rFonts w:cs="Times New Roman"/>
      </w:rPr>
    </w:lvl>
    <w:lvl w:ilvl="7" w:tplc="04270019" w:tentative="1">
      <w:start w:val="1"/>
      <w:numFmt w:val="lowerLetter"/>
      <w:lvlText w:val="%8."/>
      <w:lvlJc w:val="left"/>
      <w:pPr>
        <w:ind w:left="5717" w:hanging="360"/>
      </w:pPr>
      <w:rPr>
        <w:rFonts w:cs="Times New Roman"/>
      </w:rPr>
    </w:lvl>
    <w:lvl w:ilvl="8" w:tplc="0427001B" w:tentative="1">
      <w:start w:val="1"/>
      <w:numFmt w:val="lowerRoman"/>
      <w:lvlText w:val="%9."/>
      <w:lvlJc w:val="right"/>
      <w:pPr>
        <w:ind w:left="6437" w:hanging="180"/>
      </w:pPr>
      <w:rPr>
        <w:rFonts w:cs="Times New Roman"/>
      </w:rPr>
    </w:lvl>
  </w:abstractNum>
  <w:abstractNum w:abstractNumId="24" w15:restartNumberingAfterBreak="0">
    <w:nsid w:val="6A174BD6"/>
    <w:multiLevelType w:val="hybridMultilevel"/>
    <w:tmpl w:val="F3407C4A"/>
    <w:lvl w:ilvl="0" w:tplc="4B06ADA6">
      <w:start w:val="1"/>
      <w:numFmt w:val="decimal"/>
      <w:lvlText w:val="%1."/>
      <w:lvlJc w:val="left"/>
      <w:pPr>
        <w:ind w:left="2418" w:hanging="1425"/>
      </w:pPr>
      <w:rPr>
        <w:rFonts w:hint="default"/>
      </w:rPr>
    </w:lvl>
    <w:lvl w:ilvl="1" w:tplc="0427000F">
      <w:start w:val="1"/>
      <w:numFmt w:val="decimal"/>
      <w:lvlText w:val="%2."/>
      <w:lvlJc w:val="left"/>
      <w:pPr>
        <w:tabs>
          <w:tab w:val="num" w:pos="2073"/>
        </w:tabs>
        <w:ind w:left="2073" w:hanging="360"/>
      </w:pPr>
      <w:rPr>
        <w:rFonts w:hint="default"/>
      </w:r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15:restartNumberingAfterBreak="0">
    <w:nsid w:val="70CD3F47"/>
    <w:multiLevelType w:val="hybridMultilevel"/>
    <w:tmpl w:val="35F67FB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5725904"/>
    <w:multiLevelType w:val="hybridMultilevel"/>
    <w:tmpl w:val="DA56D19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7751477"/>
    <w:multiLevelType w:val="hybridMultilevel"/>
    <w:tmpl w:val="22B499FC"/>
    <w:lvl w:ilvl="0" w:tplc="E4808D66">
      <w:start w:val="1"/>
      <w:numFmt w:val="decimal"/>
      <w:lvlText w:val="%1."/>
      <w:lvlJc w:val="left"/>
      <w:pPr>
        <w:ind w:left="720" w:hanging="360"/>
      </w:pPr>
      <w:rPr>
        <w:rFonts w:ascii="Times New Roman" w:eastAsia="Calibr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080921"/>
    <w:multiLevelType w:val="hybridMultilevel"/>
    <w:tmpl w:val="3692D59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A765C31"/>
    <w:multiLevelType w:val="hybridMultilevel"/>
    <w:tmpl w:val="65EC746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DD475EB"/>
    <w:multiLevelType w:val="hybridMultilevel"/>
    <w:tmpl w:val="B3927AB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F3149DA"/>
    <w:multiLevelType w:val="hybridMultilevel"/>
    <w:tmpl w:val="99BC2724"/>
    <w:lvl w:ilvl="0" w:tplc="EFB0C0C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2" w15:restartNumberingAfterBreak="0">
    <w:nsid w:val="7F7159FC"/>
    <w:multiLevelType w:val="hybridMultilevel"/>
    <w:tmpl w:val="AE46565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F92635C"/>
    <w:multiLevelType w:val="hybridMultilevel"/>
    <w:tmpl w:val="3398BA6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31"/>
  </w:num>
  <w:num w:numId="4">
    <w:abstractNumId w:val="29"/>
  </w:num>
  <w:num w:numId="5">
    <w:abstractNumId w:val="16"/>
  </w:num>
  <w:num w:numId="6">
    <w:abstractNumId w:val="13"/>
  </w:num>
  <w:num w:numId="7">
    <w:abstractNumId w:val="32"/>
  </w:num>
  <w:num w:numId="8">
    <w:abstractNumId w:val="28"/>
  </w:num>
  <w:num w:numId="9">
    <w:abstractNumId w:val="25"/>
  </w:num>
  <w:num w:numId="10">
    <w:abstractNumId w:val="33"/>
  </w:num>
  <w:num w:numId="11">
    <w:abstractNumId w:val="19"/>
  </w:num>
  <w:num w:numId="12">
    <w:abstractNumId w:val="15"/>
  </w:num>
  <w:num w:numId="13">
    <w:abstractNumId w:val="3"/>
  </w:num>
  <w:num w:numId="14">
    <w:abstractNumId w:val="18"/>
  </w:num>
  <w:num w:numId="15">
    <w:abstractNumId w:val="6"/>
  </w:num>
  <w:num w:numId="16">
    <w:abstractNumId w:val="1"/>
  </w:num>
  <w:num w:numId="17">
    <w:abstractNumId w:val="12"/>
  </w:num>
  <w:num w:numId="18">
    <w:abstractNumId w:val="20"/>
  </w:num>
  <w:num w:numId="19">
    <w:abstractNumId w:val="21"/>
  </w:num>
  <w:num w:numId="20">
    <w:abstractNumId w:val="7"/>
  </w:num>
  <w:num w:numId="21">
    <w:abstractNumId w:val="5"/>
  </w:num>
  <w:num w:numId="22">
    <w:abstractNumId w:val="11"/>
  </w:num>
  <w:num w:numId="23">
    <w:abstractNumId w:val="10"/>
  </w:num>
  <w:num w:numId="24">
    <w:abstractNumId w:val="22"/>
  </w:num>
  <w:num w:numId="25">
    <w:abstractNumId w:val="23"/>
  </w:num>
  <w:num w:numId="26">
    <w:abstractNumId w:val="17"/>
  </w:num>
  <w:num w:numId="27">
    <w:abstractNumId w:val="26"/>
  </w:num>
  <w:num w:numId="28">
    <w:abstractNumId w:val="2"/>
  </w:num>
  <w:num w:numId="29">
    <w:abstractNumId w:val="27"/>
  </w:num>
  <w:num w:numId="30">
    <w:abstractNumId w:val="24"/>
  </w:num>
  <w:num w:numId="31">
    <w:abstractNumId w:val="8"/>
  </w:num>
  <w:num w:numId="32">
    <w:abstractNumId w:val="30"/>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48"/>
    <w:rsid w:val="000024D1"/>
    <w:rsid w:val="0000399B"/>
    <w:rsid w:val="00006030"/>
    <w:rsid w:val="00006D38"/>
    <w:rsid w:val="00010294"/>
    <w:rsid w:val="00010E02"/>
    <w:rsid w:val="000129E0"/>
    <w:rsid w:val="000136CB"/>
    <w:rsid w:val="0001526F"/>
    <w:rsid w:val="00015A12"/>
    <w:rsid w:val="00015CEA"/>
    <w:rsid w:val="0002017C"/>
    <w:rsid w:val="00025075"/>
    <w:rsid w:val="00025C18"/>
    <w:rsid w:val="000273A3"/>
    <w:rsid w:val="000277AB"/>
    <w:rsid w:val="000303E8"/>
    <w:rsid w:val="0003089C"/>
    <w:rsid w:val="00031675"/>
    <w:rsid w:val="00033006"/>
    <w:rsid w:val="000333C6"/>
    <w:rsid w:val="0003452A"/>
    <w:rsid w:val="00041172"/>
    <w:rsid w:val="00041E77"/>
    <w:rsid w:val="00043629"/>
    <w:rsid w:val="00043C63"/>
    <w:rsid w:val="00043E7F"/>
    <w:rsid w:val="000449BB"/>
    <w:rsid w:val="00050BD3"/>
    <w:rsid w:val="00050F25"/>
    <w:rsid w:val="00051D70"/>
    <w:rsid w:val="00052EB5"/>
    <w:rsid w:val="00053D28"/>
    <w:rsid w:val="00056213"/>
    <w:rsid w:val="000571D0"/>
    <w:rsid w:val="0005724E"/>
    <w:rsid w:val="00063E91"/>
    <w:rsid w:val="000653F4"/>
    <w:rsid w:val="000659E5"/>
    <w:rsid w:val="000722BA"/>
    <w:rsid w:val="0007292D"/>
    <w:rsid w:val="000737B0"/>
    <w:rsid w:val="00074059"/>
    <w:rsid w:val="000741D9"/>
    <w:rsid w:val="000744FC"/>
    <w:rsid w:val="000753F8"/>
    <w:rsid w:val="000760AC"/>
    <w:rsid w:val="00076743"/>
    <w:rsid w:val="0007721D"/>
    <w:rsid w:val="000806FF"/>
    <w:rsid w:val="00081765"/>
    <w:rsid w:val="00081F5C"/>
    <w:rsid w:val="000829A1"/>
    <w:rsid w:val="00083B8D"/>
    <w:rsid w:val="00085661"/>
    <w:rsid w:val="00085854"/>
    <w:rsid w:val="00085895"/>
    <w:rsid w:val="0008603C"/>
    <w:rsid w:val="000865E2"/>
    <w:rsid w:val="00086C1A"/>
    <w:rsid w:val="00087227"/>
    <w:rsid w:val="00091A2D"/>
    <w:rsid w:val="0009217D"/>
    <w:rsid w:val="000937B8"/>
    <w:rsid w:val="00093BD2"/>
    <w:rsid w:val="00093FE4"/>
    <w:rsid w:val="00094EDF"/>
    <w:rsid w:val="000965FF"/>
    <w:rsid w:val="00096EC2"/>
    <w:rsid w:val="00096F3D"/>
    <w:rsid w:val="00096FC0"/>
    <w:rsid w:val="000A1577"/>
    <w:rsid w:val="000A2400"/>
    <w:rsid w:val="000A288A"/>
    <w:rsid w:val="000A2D04"/>
    <w:rsid w:val="000A3380"/>
    <w:rsid w:val="000A4272"/>
    <w:rsid w:val="000A630F"/>
    <w:rsid w:val="000A7607"/>
    <w:rsid w:val="000A7DB9"/>
    <w:rsid w:val="000B0FF8"/>
    <w:rsid w:val="000B1160"/>
    <w:rsid w:val="000B2063"/>
    <w:rsid w:val="000B35EF"/>
    <w:rsid w:val="000B3974"/>
    <w:rsid w:val="000B7E5E"/>
    <w:rsid w:val="000C19D2"/>
    <w:rsid w:val="000C3EA4"/>
    <w:rsid w:val="000C4985"/>
    <w:rsid w:val="000C49C5"/>
    <w:rsid w:val="000C656D"/>
    <w:rsid w:val="000D2915"/>
    <w:rsid w:val="000D2DEF"/>
    <w:rsid w:val="000D2F5E"/>
    <w:rsid w:val="000D32C3"/>
    <w:rsid w:val="000D6CA4"/>
    <w:rsid w:val="000E015F"/>
    <w:rsid w:val="000E1B86"/>
    <w:rsid w:val="000E2BEB"/>
    <w:rsid w:val="000E2C8A"/>
    <w:rsid w:val="000E31FC"/>
    <w:rsid w:val="000E3D56"/>
    <w:rsid w:val="000E448B"/>
    <w:rsid w:val="000E5612"/>
    <w:rsid w:val="000E663D"/>
    <w:rsid w:val="000E69D0"/>
    <w:rsid w:val="000E73C9"/>
    <w:rsid w:val="000F01B4"/>
    <w:rsid w:val="000F0BBC"/>
    <w:rsid w:val="000F1BD2"/>
    <w:rsid w:val="000F2C59"/>
    <w:rsid w:val="00100A96"/>
    <w:rsid w:val="001014A7"/>
    <w:rsid w:val="0010744D"/>
    <w:rsid w:val="0011076E"/>
    <w:rsid w:val="00110FDA"/>
    <w:rsid w:val="00113269"/>
    <w:rsid w:val="0011710B"/>
    <w:rsid w:val="00121E28"/>
    <w:rsid w:val="00122B00"/>
    <w:rsid w:val="001236CC"/>
    <w:rsid w:val="00125F36"/>
    <w:rsid w:val="0012618F"/>
    <w:rsid w:val="00126FC5"/>
    <w:rsid w:val="00130A45"/>
    <w:rsid w:val="00130E0D"/>
    <w:rsid w:val="00132B60"/>
    <w:rsid w:val="001342A5"/>
    <w:rsid w:val="00134F0F"/>
    <w:rsid w:val="001354F1"/>
    <w:rsid w:val="0013621E"/>
    <w:rsid w:val="00137CDF"/>
    <w:rsid w:val="00141525"/>
    <w:rsid w:val="001447ED"/>
    <w:rsid w:val="00144BDC"/>
    <w:rsid w:val="00144C0D"/>
    <w:rsid w:val="00146910"/>
    <w:rsid w:val="001473EA"/>
    <w:rsid w:val="00151936"/>
    <w:rsid w:val="00152A9A"/>
    <w:rsid w:val="00153CBC"/>
    <w:rsid w:val="00157468"/>
    <w:rsid w:val="001615A2"/>
    <w:rsid w:val="001625F4"/>
    <w:rsid w:val="00162C3A"/>
    <w:rsid w:val="00170790"/>
    <w:rsid w:val="00174CAA"/>
    <w:rsid w:val="0017557E"/>
    <w:rsid w:val="00176459"/>
    <w:rsid w:val="00181353"/>
    <w:rsid w:val="00181E56"/>
    <w:rsid w:val="0018397A"/>
    <w:rsid w:val="0018519E"/>
    <w:rsid w:val="00187F5E"/>
    <w:rsid w:val="0019026E"/>
    <w:rsid w:val="001908F9"/>
    <w:rsid w:val="00192C78"/>
    <w:rsid w:val="0019390E"/>
    <w:rsid w:val="0019557F"/>
    <w:rsid w:val="001968B7"/>
    <w:rsid w:val="001A0D59"/>
    <w:rsid w:val="001A6278"/>
    <w:rsid w:val="001B0C52"/>
    <w:rsid w:val="001B3777"/>
    <w:rsid w:val="001B3C88"/>
    <w:rsid w:val="001B3E8B"/>
    <w:rsid w:val="001B6956"/>
    <w:rsid w:val="001B6BF8"/>
    <w:rsid w:val="001C08E3"/>
    <w:rsid w:val="001C0DF0"/>
    <w:rsid w:val="001C2128"/>
    <w:rsid w:val="001C2C0D"/>
    <w:rsid w:val="001C4890"/>
    <w:rsid w:val="001C76AD"/>
    <w:rsid w:val="001D0BC0"/>
    <w:rsid w:val="001D1D9C"/>
    <w:rsid w:val="001D47D0"/>
    <w:rsid w:val="001D523A"/>
    <w:rsid w:val="001D6D8A"/>
    <w:rsid w:val="001D7803"/>
    <w:rsid w:val="001D7C28"/>
    <w:rsid w:val="001E114D"/>
    <w:rsid w:val="001E284E"/>
    <w:rsid w:val="001E3A92"/>
    <w:rsid w:val="001E43AF"/>
    <w:rsid w:val="001E626E"/>
    <w:rsid w:val="001F2A28"/>
    <w:rsid w:val="001F36F8"/>
    <w:rsid w:val="001F3E0A"/>
    <w:rsid w:val="001F4079"/>
    <w:rsid w:val="001F47EA"/>
    <w:rsid w:val="001F738E"/>
    <w:rsid w:val="0020007C"/>
    <w:rsid w:val="00200E87"/>
    <w:rsid w:val="00201528"/>
    <w:rsid w:val="00202B20"/>
    <w:rsid w:val="00205CA8"/>
    <w:rsid w:val="002060DF"/>
    <w:rsid w:val="00206979"/>
    <w:rsid w:val="00207472"/>
    <w:rsid w:val="00207640"/>
    <w:rsid w:val="002133FF"/>
    <w:rsid w:val="00215887"/>
    <w:rsid w:val="00215D43"/>
    <w:rsid w:val="00220456"/>
    <w:rsid w:val="002207F9"/>
    <w:rsid w:val="0022518F"/>
    <w:rsid w:val="002259F5"/>
    <w:rsid w:val="00225C5F"/>
    <w:rsid w:val="0022699F"/>
    <w:rsid w:val="00230861"/>
    <w:rsid w:val="00230F87"/>
    <w:rsid w:val="0023131E"/>
    <w:rsid w:val="00231E27"/>
    <w:rsid w:val="00234ACD"/>
    <w:rsid w:val="0023558A"/>
    <w:rsid w:val="002364D9"/>
    <w:rsid w:val="00237500"/>
    <w:rsid w:val="00241195"/>
    <w:rsid w:val="0024345C"/>
    <w:rsid w:val="00243D63"/>
    <w:rsid w:val="0024400D"/>
    <w:rsid w:val="002467EE"/>
    <w:rsid w:val="00251BE5"/>
    <w:rsid w:val="002564AC"/>
    <w:rsid w:val="00256B48"/>
    <w:rsid w:val="00257959"/>
    <w:rsid w:val="00260279"/>
    <w:rsid w:val="00261AA2"/>
    <w:rsid w:val="00261D7D"/>
    <w:rsid w:val="00262E38"/>
    <w:rsid w:val="00263E1D"/>
    <w:rsid w:val="00270015"/>
    <w:rsid w:val="00270286"/>
    <w:rsid w:val="00270585"/>
    <w:rsid w:val="00271B50"/>
    <w:rsid w:val="0027214B"/>
    <w:rsid w:val="00272D82"/>
    <w:rsid w:val="002732A0"/>
    <w:rsid w:val="002749DD"/>
    <w:rsid w:val="00275438"/>
    <w:rsid w:val="002771AC"/>
    <w:rsid w:val="00280E58"/>
    <w:rsid w:val="00280E67"/>
    <w:rsid w:val="0028124D"/>
    <w:rsid w:val="00285370"/>
    <w:rsid w:val="0028650F"/>
    <w:rsid w:val="002872A7"/>
    <w:rsid w:val="00287E71"/>
    <w:rsid w:val="002929B4"/>
    <w:rsid w:val="00294447"/>
    <w:rsid w:val="00294534"/>
    <w:rsid w:val="00294DA1"/>
    <w:rsid w:val="00294FB8"/>
    <w:rsid w:val="00295120"/>
    <w:rsid w:val="0029513E"/>
    <w:rsid w:val="0029521E"/>
    <w:rsid w:val="00295B2E"/>
    <w:rsid w:val="0029676E"/>
    <w:rsid w:val="00296A95"/>
    <w:rsid w:val="00297C23"/>
    <w:rsid w:val="002A1F83"/>
    <w:rsid w:val="002A2C53"/>
    <w:rsid w:val="002A45D5"/>
    <w:rsid w:val="002A4C21"/>
    <w:rsid w:val="002A71E9"/>
    <w:rsid w:val="002B111F"/>
    <w:rsid w:val="002B3285"/>
    <w:rsid w:val="002B3B21"/>
    <w:rsid w:val="002B511E"/>
    <w:rsid w:val="002B5C4B"/>
    <w:rsid w:val="002C27FB"/>
    <w:rsid w:val="002C296D"/>
    <w:rsid w:val="002C3884"/>
    <w:rsid w:val="002C4ADF"/>
    <w:rsid w:val="002D02AA"/>
    <w:rsid w:val="002D193E"/>
    <w:rsid w:val="002D22F2"/>
    <w:rsid w:val="002D2E81"/>
    <w:rsid w:val="002D3061"/>
    <w:rsid w:val="002D3F7A"/>
    <w:rsid w:val="002D56AD"/>
    <w:rsid w:val="002D6AC5"/>
    <w:rsid w:val="002E05C5"/>
    <w:rsid w:val="002E0F45"/>
    <w:rsid w:val="002E306B"/>
    <w:rsid w:val="002E4032"/>
    <w:rsid w:val="002E4AA7"/>
    <w:rsid w:val="002E54BF"/>
    <w:rsid w:val="002E5EBA"/>
    <w:rsid w:val="002F0A3A"/>
    <w:rsid w:val="002F33D8"/>
    <w:rsid w:val="002F3A1C"/>
    <w:rsid w:val="002F4437"/>
    <w:rsid w:val="002F5F48"/>
    <w:rsid w:val="002F7D17"/>
    <w:rsid w:val="0030060C"/>
    <w:rsid w:val="00304564"/>
    <w:rsid w:val="00305C8B"/>
    <w:rsid w:val="00306E16"/>
    <w:rsid w:val="00307C22"/>
    <w:rsid w:val="00311DFF"/>
    <w:rsid w:val="0031231C"/>
    <w:rsid w:val="00313A3D"/>
    <w:rsid w:val="00313E46"/>
    <w:rsid w:val="00314954"/>
    <w:rsid w:val="003157DF"/>
    <w:rsid w:val="003164D4"/>
    <w:rsid w:val="00316AA4"/>
    <w:rsid w:val="00316D4A"/>
    <w:rsid w:val="00321A94"/>
    <w:rsid w:val="00322476"/>
    <w:rsid w:val="00323409"/>
    <w:rsid w:val="00324591"/>
    <w:rsid w:val="0032511F"/>
    <w:rsid w:val="00326902"/>
    <w:rsid w:val="00326D6B"/>
    <w:rsid w:val="00327DD4"/>
    <w:rsid w:val="00330211"/>
    <w:rsid w:val="00331CA9"/>
    <w:rsid w:val="00331CDD"/>
    <w:rsid w:val="00333BB9"/>
    <w:rsid w:val="00333F59"/>
    <w:rsid w:val="00334C4B"/>
    <w:rsid w:val="0033516F"/>
    <w:rsid w:val="0034170A"/>
    <w:rsid w:val="00341CC5"/>
    <w:rsid w:val="00341DAA"/>
    <w:rsid w:val="00342685"/>
    <w:rsid w:val="00350CA9"/>
    <w:rsid w:val="003512E6"/>
    <w:rsid w:val="00351B4E"/>
    <w:rsid w:val="003559A1"/>
    <w:rsid w:val="00356ED6"/>
    <w:rsid w:val="00360B09"/>
    <w:rsid w:val="00362AE9"/>
    <w:rsid w:val="003652FC"/>
    <w:rsid w:val="00366DA7"/>
    <w:rsid w:val="003671A6"/>
    <w:rsid w:val="00370460"/>
    <w:rsid w:val="00370FAC"/>
    <w:rsid w:val="00374F0E"/>
    <w:rsid w:val="00376426"/>
    <w:rsid w:val="0038000D"/>
    <w:rsid w:val="00380972"/>
    <w:rsid w:val="003821A0"/>
    <w:rsid w:val="00384548"/>
    <w:rsid w:val="00385581"/>
    <w:rsid w:val="00385B57"/>
    <w:rsid w:val="00385C92"/>
    <w:rsid w:val="0038606A"/>
    <w:rsid w:val="00386091"/>
    <w:rsid w:val="00387063"/>
    <w:rsid w:val="00387CFD"/>
    <w:rsid w:val="00387EEE"/>
    <w:rsid w:val="00390474"/>
    <w:rsid w:val="00393790"/>
    <w:rsid w:val="00393A5F"/>
    <w:rsid w:val="003A2C58"/>
    <w:rsid w:val="003A40DC"/>
    <w:rsid w:val="003A634B"/>
    <w:rsid w:val="003A6376"/>
    <w:rsid w:val="003A64F3"/>
    <w:rsid w:val="003B0DB4"/>
    <w:rsid w:val="003B0E8B"/>
    <w:rsid w:val="003B122A"/>
    <w:rsid w:val="003B5698"/>
    <w:rsid w:val="003B67D5"/>
    <w:rsid w:val="003B6FF7"/>
    <w:rsid w:val="003C173A"/>
    <w:rsid w:val="003C20C4"/>
    <w:rsid w:val="003C2C52"/>
    <w:rsid w:val="003C2F5F"/>
    <w:rsid w:val="003C49F2"/>
    <w:rsid w:val="003C5FA4"/>
    <w:rsid w:val="003C6331"/>
    <w:rsid w:val="003C64A7"/>
    <w:rsid w:val="003C794C"/>
    <w:rsid w:val="003D19BA"/>
    <w:rsid w:val="003D255D"/>
    <w:rsid w:val="003D51A8"/>
    <w:rsid w:val="003E04F6"/>
    <w:rsid w:val="003E195A"/>
    <w:rsid w:val="003E1C77"/>
    <w:rsid w:val="003E357B"/>
    <w:rsid w:val="003E36B6"/>
    <w:rsid w:val="003E41F4"/>
    <w:rsid w:val="003E606B"/>
    <w:rsid w:val="003E66A6"/>
    <w:rsid w:val="003E762A"/>
    <w:rsid w:val="003F0828"/>
    <w:rsid w:val="003F0B78"/>
    <w:rsid w:val="003F0F7D"/>
    <w:rsid w:val="003F17B9"/>
    <w:rsid w:val="003F54AB"/>
    <w:rsid w:val="003F61EA"/>
    <w:rsid w:val="003F7BE6"/>
    <w:rsid w:val="003F7EF6"/>
    <w:rsid w:val="00400526"/>
    <w:rsid w:val="0040164C"/>
    <w:rsid w:val="0040381E"/>
    <w:rsid w:val="00404D31"/>
    <w:rsid w:val="0040534A"/>
    <w:rsid w:val="00405AB4"/>
    <w:rsid w:val="00406CBE"/>
    <w:rsid w:val="00407949"/>
    <w:rsid w:val="00407CD8"/>
    <w:rsid w:val="00410955"/>
    <w:rsid w:val="00412C66"/>
    <w:rsid w:val="00414AC1"/>
    <w:rsid w:val="00421428"/>
    <w:rsid w:val="004216AB"/>
    <w:rsid w:val="00421BF7"/>
    <w:rsid w:val="00422091"/>
    <w:rsid w:val="00423690"/>
    <w:rsid w:val="00427C08"/>
    <w:rsid w:val="004305FE"/>
    <w:rsid w:val="004314CD"/>
    <w:rsid w:val="00431BD0"/>
    <w:rsid w:val="00433751"/>
    <w:rsid w:val="004341B2"/>
    <w:rsid w:val="00437408"/>
    <w:rsid w:val="0043747B"/>
    <w:rsid w:val="004376F4"/>
    <w:rsid w:val="00440A04"/>
    <w:rsid w:val="004414EC"/>
    <w:rsid w:val="004415DA"/>
    <w:rsid w:val="00442688"/>
    <w:rsid w:val="0044454F"/>
    <w:rsid w:val="00450C0D"/>
    <w:rsid w:val="004607A2"/>
    <w:rsid w:val="004611D3"/>
    <w:rsid w:val="004613A9"/>
    <w:rsid w:val="00461464"/>
    <w:rsid w:val="00461683"/>
    <w:rsid w:val="0046376F"/>
    <w:rsid w:val="004637BD"/>
    <w:rsid w:val="0046444C"/>
    <w:rsid w:val="00465DE3"/>
    <w:rsid w:val="004710C9"/>
    <w:rsid w:val="00471F05"/>
    <w:rsid w:val="00472C64"/>
    <w:rsid w:val="00474D10"/>
    <w:rsid w:val="00476171"/>
    <w:rsid w:val="00476336"/>
    <w:rsid w:val="00476D08"/>
    <w:rsid w:val="00476F53"/>
    <w:rsid w:val="00477A18"/>
    <w:rsid w:val="00480078"/>
    <w:rsid w:val="00481280"/>
    <w:rsid w:val="00481FC1"/>
    <w:rsid w:val="00482564"/>
    <w:rsid w:val="00482A75"/>
    <w:rsid w:val="0048601A"/>
    <w:rsid w:val="00486331"/>
    <w:rsid w:val="00486AE9"/>
    <w:rsid w:val="00486BBA"/>
    <w:rsid w:val="004875F9"/>
    <w:rsid w:val="0049025E"/>
    <w:rsid w:val="004902E9"/>
    <w:rsid w:val="00490EB7"/>
    <w:rsid w:val="00491105"/>
    <w:rsid w:val="00492027"/>
    <w:rsid w:val="00492681"/>
    <w:rsid w:val="00495EBF"/>
    <w:rsid w:val="00496717"/>
    <w:rsid w:val="00496BAC"/>
    <w:rsid w:val="00497A60"/>
    <w:rsid w:val="004A34A4"/>
    <w:rsid w:val="004A469E"/>
    <w:rsid w:val="004A5AD7"/>
    <w:rsid w:val="004B0A1E"/>
    <w:rsid w:val="004B3400"/>
    <w:rsid w:val="004B4128"/>
    <w:rsid w:val="004B46ED"/>
    <w:rsid w:val="004B4E40"/>
    <w:rsid w:val="004B567C"/>
    <w:rsid w:val="004C07BC"/>
    <w:rsid w:val="004C39B2"/>
    <w:rsid w:val="004C6226"/>
    <w:rsid w:val="004C7A02"/>
    <w:rsid w:val="004C7E59"/>
    <w:rsid w:val="004D08F0"/>
    <w:rsid w:val="004D0F53"/>
    <w:rsid w:val="004D13DA"/>
    <w:rsid w:val="004D289D"/>
    <w:rsid w:val="004D3E0F"/>
    <w:rsid w:val="004D4616"/>
    <w:rsid w:val="004E2CCC"/>
    <w:rsid w:val="004E39A9"/>
    <w:rsid w:val="004E39F2"/>
    <w:rsid w:val="004E4E08"/>
    <w:rsid w:val="004E747F"/>
    <w:rsid w:val="004E7B95"/>
    <w:rsid w:val="004F0A5F"/>
    <w:rsid w:val="004F30E0"/>
    <w:rsid w:val="004F4FD8"/>
    <w:rsid w:val="004F605E"/>
    <w:rsid w:val="004F623C"/>
    <w:rsid w:val="005009B6"/>
    <w:rsid w:val="005017DF"/>
    <w:rsid w:val="00501D82"/>
    <w:rsid w:val="0050416A"/>
    <w:rsid w:val="005049F4"/>
    <w:rsid w:val="00506E3B"/>
    <w:rsid w:val="00506F14"/>
    <w:rsid w:val="00511A7B"/>
    <w:rsid w:val="00514CC7"/>
    <w:rsid w:val="00515F80"/>
    <w:rsid w:val="00517619"/>
    <w:rsid w:val="00517F6F"/>
    <w:rsid w:val="005202A9"/>
    <w:rsid w:val="005206BB"/>
    <w:rsid w:val="0052328A"/>
    <w:rsid w:val="005243BE"/>
    <w:rsid w:val="005249C6"/>
    <w:rsid w:val="00524E37"/>
    <w:rsid w:val="005300D3"/>
    <w:rsid w:val="0053048B"/>
    <w:rsid w:val="005321CF"/>
    <w:rsid w:val="005326DD"/>
    <w:rsid w:val="00533CDC"/>
    <w:rsid w:val="00533F50"/>
    <w:rsid w:val="005354EE"/>
    <w:rsid w:val="005379B3"/>
    <w:rsid w:val="00540EBE"/>
    <w:rsid w:val="005411C4"/>
    <w:rsid w:val="005421A9"/>
    <w:rsid w:val="0054555E"/>
    <w:rsid w:val="005458F1"/>
    <w:rsid w:val="00556719"/>
    <w:rsid w:val="0056029E"/>
    <w:rsid w:val="005603A0"/>
    <w:rsid w:val="0056082C"/>
    <w:rsid w:val="00561BC1"/>
    <w:rsid w:val="0056529C"/>
    <w:rsid w:val="005663C3"/>
    <w:rsid w:val="00567985"/>
    <w:rsid w:val="00567A33"/>
    <w:rsid w:val="00570832"/>
    <w:rsid w:val="0057302A"/>
    <w:rsid w:val="00573F22"/>
    <w:rsid w:val="00576CE5"/>
    <w:rsid w:val="00580441"/>
    <w:rsid w:val="00581784"/>
    <w:rsid w:val="00583726"/>
    <w:rsid w:val="00583ACF"/>
    <w:rsid w:val="00583F90"/>
    <w:rsid w:val="005845C3"/>
    <w:rsid w:val="00585772"/>
    <w:rsid w:val="00591A63"/>
    <w:rsid w:val="00595D46"/>
    <w:rsid w:val="00596082"/>
    <w:rsid w:val="00596CDF"/>
    <w:rsid w:val="00597816"/>
    <w:rsid w:val="00597F8F"/>
    <w:rsid w:val="005A38C9"/>
    <w:rsid w:val="005A44F0"/>
    <w:rsid w:val="005A56A9"/>
    <w:rsid w:val="005A6EA9"/>
    <w:rsid w:val="005A7B3B"/>
    <w:rsid w:val="005B055D"/>
    <w:rsid w:val="005B06CF"/>
    <w:rsid w:val="005B2602"/>
    <w:rsid w:val="005B279B"/>
    <w:rsid w:val="005B62E1"/>
    <w:rsid w:val="005B7534"/>
    <w:rsid w:val="005C059B"/>
    <w:rsid w:val="005C212B"/>
    <w:rsid w:val="005C293D"/>
    <w:rsid w:val="005C3DEE"/>
    <w:rsid w:val="005C41F4"/>
    <w:rsid w:val="005C51AD"/>
    <w:rsid w:val="005C5F73"/>
    <w:rsid w:val="005D0552"/>
    <w:rsid w:val="005D05A6"/>
    <w:rsid w:val="005D0C42"/>
    <w:rsid w:val="005D3964"/>
    <w:rsid w:val="005D3B00"/>
    <w:rsid w:val="005D4E44"/>
    <w:rsid w:val="005E013F"/>
    <w:rsid w:val="005E01F8"/>
    <w:rsid w:val="005E3498"/>
    <w:rsid w:val="005E3D43"/>
    <w:rsid w:val="005E5C26"/>
    <w:rsid w:val="005E62A4"/>
    <w:rsid w:val="005E6763"/>
    <w:rsid w:val="005E7AC8"/>
    <w:rsid w:val="005F45CC"/>
    <w:rsid w:val="005F634E"/>
    <w:rsid w:val="006009F3"/>
    <w:rsid w:val="00600A5D"/>
    <w:rsid w:val="0060212D"/>
    <w:rsid w:val="0060243C"/>
    <w:rsid w:val="00602AA8"/>
    <w:rsid w:val="00602EF7"/>
    <w:rsid w:val="006033E2"/>
    <w:rsid w:val="00603873"/>
    <w:rsid w:val="00606163"/>
    <w:rsid w:val="006100D5"/>
    <w:rsid w:val="00611379"/>
    <w:rsid w:val="006128FF"/>
    <w:rsid w:val="00614011"/>
    <w:rsid w:val="00620C05"/>
    <w:rsid w:val="006218EA"/>
    <w:rsid w:val="00622882"/>
    <w:rsid w:val="006236C3"/>
    <w:rsid w:val="0062449D"/>
    <w:rsid w:val="00624678"/>
    <w:rsid w:val="006264FD"/>
    <w:rsid w:val="00630CEF"/>
    <w:rsid w:val="006323BA"/>
    <w:rsid w:val="00637F14"/>
    <w:rsid w:val="006405A8"/>
    <w:rsid w:val="006422BA"/>
    <w:rsid w:val="00643F4A"/>
    <w:rsid w:val="00644F5A"/>
    <w:rsid w:val="0064650F"/>
    <w:rsid w:val="00646EFC"/>
    <w:rsid w:val="006476E0"/>
    <w:rsid w:val="00647B73"/>
    <w:rsid w:val="00647DF9"/>
    <w:rsid w:val="0065091E"/>
    <w:rsid w:val="00650EDF"/>
    <w:rsid w:val="00656A3A"/>
    <w:rsid w:val="0065771A"/>
    <w:rsid w:val="0066425C"/>
    <w:rsid w:val="00670E8E"/>
    <w:rsid w:val="0067117B"/>
    <w:rsid w:val="00671718"/>
    <w:rsid w:val="00672C93"/>
    <w:rsid w:val="006754B3"/>
    <w:rsid w:val="00676864"/>
    <w:rsid w:val="00677694"/>
    <w:rsid w:val="00677C90"/>
    <w:rsid w:val="006801FA"/>
    <w:rsid w:val="00683305"/>
    <w:rsid w:val="006846AF"/>
    <w:rsid w:val="00684999"/>
    <w:rsid w:val="00685632"/>
    <w:rsid w:val="006869F8"/>
    <w:rsid w:val="00691B03"/>
    <w:rsid w:val="00694229"/>
    <w:rsid w:val="00696537"/>
    <w:rsid w:val="006A3811"/>
    <w:rsid w:val="006A46AF"/>
    <w:rsid w:val="006A494A"/>
    <w:rsid w:val="006A4EC0"/>
    <w:rsid w:val="006A527C"/>
    <w:rsid w:val="006A6425"/>
    <w:rsid w:val="006B098D"/>
    <w:rsid w:val="006B3B86"/>
    <w:rsid w:val="006B4EAD"/>
    <w:rsid w:val="006B512F"/>
    <w:rsid w:val="006B7D38"/>
    <w:rsid w:val="006C017D"/>
    <w:rsid w:val="006C316B"/>
    <w:rsid w:val="006C486F"/>
    <w:rsid w:val="006C4BD9"/>
    <w:rsid w:val="006C5215"/>
    <w:rsid w:val="006C674A"/>
    <w:rsid w:val="006C6CC6"/>
    <w:rsid w:val="006C78ED"/>
    <w:rsid w:val="006D5168"/>
    <w:rsid w:val="006D5245"/>
    <w:rsid w:val="006D5CDD"/>
    <w:rsid w:val="006D5E06"/>
    <w:rsid w:val="006E0F30"/>
    <w:rsid w:val="006E17C3"/>
    <w:rsid w:val="006E4F3F"/>
    <w:rsid w:val="006E7B8C"/>
    <w:rsid w:val="006F12D1"/>
    <w:rsid w:val="006F1702"/>
    <w:rsid w:val="006F25A1"/>
    <w:rsid w:val="006F6594"/>
    <w:rsid w:val="007007CC"/>
    <w:rsid w:val="0070191F"/>
    <w:rsid w:val="00702D65"/>
    <w:rsid w:val="00703714"/>
    <w:rsid w:val="007051AF"/>
    <w:rsid w:val="007065DF"/>
    <w:rsid w:val="0070753C"/>
    <w:rsid w:val="007115DC"/>
    <w:rsid w:val="007136F3"/>
    <w:rsid w:val="00725E70"/>
    <w:rsid w:val="00726B1B"/>
    <w:rsid w:val="007277A4"/>
    <w:rsid w:val="0073122C"/>
    <w:rsid w:val="007323A1"/>
    <w:rsid w:val="00732E99"/>
    <w:rsid w:val="00734497"/>
    <w:rsid w:val="00735387"/>
    <w:rsid w:val="0073749E"/>
    <w:rsid w:val="007406D5"/>
    <w:rsid w:val="00740E8C"/>
    <w:rsid w:val="00742289"/>
    <w:rsid w:val="0074332A"/>
    <w:rsid w:val="007443DC"/>
    <w:rsid w:val="0074765F"/>
    <w:rsid w:val="0075097B"/>
    <w:rsid w:val="0075333E"/>
    <w:rsid w:val="00762BE6"/>
    <w:rsid w:val="007632AF"/>
    <w:rsid w:val="007634A7"/>
    <w:rsid w:val="0076777D"/>
    <w:rsid w:val="0077008B"/>
    <w:rsid w:val="00770E3F"/>
    <w:rsid w:val="007717BA"/>
    <w:rsid w:val="00771D5B"/>
    <w:rsid w:val="0077241F"/>
    <w:rsid w:val="00772910"/>
    <w:rsid w:val="00772ABF"/>
    <w:rsid w:val="00772DDB"/>
    <w:rsid w:val="00773C31"/>
    <w:rsid w:val="007749DC"/>
    <w:rsid w:val="00775908"/>
    <w:rsid w:val="007767BA"/>
    <w:rsid w:val="00780263"/>
    <w:rsid w:val="00785EF0"/>
    <w:rsid w:val="00790684"/>
    <w:rsid w:val="00791782"/>
    <w:rsid w:val="00791A55"/>
    <w:rsid w:val="00792214"/>
    <w:rsid w:val="00792CDE"/>
    <w:rsid w:val="00794685"/>
    <w:rsid w:val="007957D9"/>
    <w:rsid w:val="00795D91"/>
    <w:rsid w:val="007A069A"/>
    <w:rsid w:val="007A0A8A"/>
    <w:rsid w:val="007A24C2"/>
    <w:rsid w:val="007A452A"/>
    <w:rsid w:val="007A6184"/>
    <w:rsid w:val="007A6BD1"/>
    <w:rsid w:val="007A6EF7"/>
    <w:rsid w:val="007A7C4D"/>
    <w:rsid w:val="007B08FE"/>
    <w:rsid w:val="007B092B"/>
    <w:rsid w:val="007B0E58"/>
    <w:rsid w:val="007B14A8"/>
    <w:rsid w:val="007B29C6"/>
    <w:rsid w:val="007B2B2C"/>
    <w:rsid w:val="007B5351"/>
    <w:rsid w:val="007B7B2C"/>
    <w:rsid w:val="007C0DCC"/>
    <w:rsid w:val="007C3566"/>
    <w:rsid w:val="007C4172"/>
    <w:rsid w:val="007C4863"/>
    <w:rsid w:val="007C4A6A"/>
    <w:rsid w:val="007C4F4A"/>
    <w:rsid w:val="007C53DA"/>
    <w:rsid w:val="007D2411"/>
    <w:rsid w:val="007D3E3C"/>
    <w:rsid w:val="007D4294"/>
    <w:rsid w:val="007D469A"/>
    <w:rsid w:val="007D66C0"/>
    <w:rsid w:val="007D6C57"/>
    <w:rsid w:val="007E213B"/>
    <w:rsid w:val="007E61BD"/>
    <w:rsid w:val="007E6B63"/>
    <w:rsid w:val="007F2199"/>
    <w:rsid w:val="007F3F61"/>
    <w:rsid w:val="007F4CDC"/>
    <w:rsid w:val="007F5640"/>
    <w:rsid w:val="0080362F"/>
    <w:rsid w:val="00803CAD"/>
    <w:rsid w:val="00803E76"/>
    <w:rsid w:val="00805835"/>
    <w:rsid w:val="00806C70"/>
    <w:rsid w:val="00807621"/>
    <w:rsid w:val="00807746"/>
    <w:rsid w:val="00810328"/>
    <w:rsid w:val="0081079E"/>
    <w:rsid w:val="00810EC4"/>
    <w:rsid w:val="00813803"/>
    <w:rsid w:val="008140F0"/>
    <w:rsid w:val="00814458"/>
    <w:rsid w:val="00814B65"/>
    <w:rsid w:val="0081511E"/>
    <w:rsid w:val="00815ECA"/>
    <w:rsid w:val="008206C1"/>
    <w:rsid w:val="00820F30"/>
    <w:rsid w:val="00821FC0"/>
    <w:rsid w:val="00824892"/>
    <w:rsid w:val="00824C83"/>
    <w:rsid w:val="00827E03"/>
    <w:rsid w:val="00827E53"/>
    <w:rsid w:val="00831098"/>
    <w:rsid w:val="008312AD"/>
    <w:rsid w:val="00831A44"/>
    <w:rsid w:val="008329F3"/>
    <w:rsid w:val="00833A5B"/>
    <w:rsid w:val="00833CD1"/>
    <w:rsid w:val="008341ED"/>
    <w:rsid w:val="008349DE"/>
    <w:rsid w:val="00835587"/>
    <w:rsid w:val="0083763F"/>
    <w:rsid w:val="0084081B"/>
    <w:rsid w:val="00842C3E"/>
    <w:rsid w:val="00844F12"/>
    <w:rsid w:val="00846211"/>
    <w:rsid w:val="0084637F"/>
    <w:rsid w:val="00847304"/>
    <w:rsid w:val="00851CA4"/>
    <w:rsid w:val="0085360B"/>
    <w:rsid w:val="00853E21"/>
    <w:rsid w:val="00856CE4"/>
    <w:rsid w:val="008578E1"/>
    <w:rsid w:val="0086087E"/>
    <w:rsid w:val="00860C54"/>
    <w:rsid w:val="00860C6D"/>
    <w:rsid w:val="00860E3F"/>
    <w:rsid w:val="008612D2"/>
    <w:rsid w:val="00863AD8"/>
    <w:rsid w:val="00866BAF"/>
    <w:rsid w:val="00866E45"/>
    <w:rsid w:val="00867DF3"/>
    <w:rsid w:val="00867F60"/>
    <w:rsid w:val="008712BF"/>
    <w:rsid w:val="00872318"/>
    <w:rsid w:val="00874068"/>
    <w:rsid w:val="00875A9B"/>
    <w:rsid w:val="00876A09"/>
    <w:rsid w:val="008777A0"/>
    <w:rsid w:val="00880D86"/>
    <w:rsid w:val="0088152F"/>
    <w:rsid w:val="00883134"/>
    <w:rsid w:val="00883E1E"/>
    <w:rsid w:val="0088522D"/>
    <w:rsid w:val="00885995"/>
    <w:rsid w:val="008901EA"/>
    <w:rsid w:val="0089211C"/>
    <w:rsid w:val="0089387A"/>
    <w:rsid w:val="00895089"/>
    <w:rsid w:val="008957E8"/>
    <w:rsid w:val="00896332"/>
    <w:rsid w:val="00897899"/>
    <w:rsid w:val="008979EE"/>
    <w:rsid w:val="008A1A6F"/>
    <w:rsid w:val="008A2E0C"/>
    <w:rsid w:val="008A4C8D"/>
    <w:rsid w:val="008A7850"/>
    <w:rsid w:val="008B0DA2"/>
    <w:rsid w:val="008B1B2A"/>
    <w:rsid w:val="008B3176"/>
    <w:rsid w:val="008B613C"/>
    <w:rsid w:val="008C0957"/>
    <w:rsid w:val="008C1AAD"/>
    <w:rsid w:val="008C5539"/>
    <w:rsid w:val="008C5A39"/>
    <w:rsid w:val="008C651C"/>
    <w:rsid w:val="008C6E00"/>
    <w:rsid w:val="008C7FE7"/>
    <w:rsid w:val="008D3376"/>
    <w:rsid w:val="008D3D33"/>
    <w:rsid w:val="008D5407"/>
    <w:rsid w:val="008D548D"/>
    <w:rsid w:val="008D6066"/>
    <w:rsid w:val="008D6BCD"/>
    <w:rsid w:val="008E0242"/>
    <w:rsid w:val="008E1871"/>
    <w:rsid w:val="008E24DB"/>
    <w:rsid w:val="008E3871"/>
    <w:rsid w:val="008E4A68"/>
    <w:rsid w:val="008E5109"/>
    <w:rsid w:val="008E55AF"/>
    <w:rsid w:val="008E56FF"/>
    <w:rsid w:val="008E61FB"/>
    <w:rsid w:val="008E66E0"/>
    <w:rsid w:val="008F1732"/>
    <w:rsid w:val="008F50A6"/>
    <w:rsid w:val="008F59CA"/>
    <w:rsid w:val="008F5D85"/>
    <w:rsid w:val="008F77B6"/>
    <w:rsid w:val="00900EF6"/>
    <w:rsid w:val="00902EAC"/>
    <w:rsid w:val="00903071"/>
    <w:rsid w:val="00907721"/>
    <w:rsid w:val="00910FA8"/>
    <w:rsid w:val="00911CE1"/>
    <w:rsid w:val="0091332C"/>
    <w:rsid w:val="0091645F"/>
    <w:rsid w:val="009166EC"/>
    <w:rsid w:val="00917144"/>
    <w:rsid w:val="00917BB4"/>
    <w:rsid w:val="00921891"/>
    <w:rsid w:val="0092216A"/>
    <w:rsid w:val="0092278C"/>
    <w:rsid w:val="00922AA6"/>
    <w:rsid w:val="0092346E"/>
    <w:rsid w:val="00924741"/>
    <w:rsid w:val="00924A9B"/>
    <w:rsid w:val="00925801"/>
    <w:rsid w:val="0092726E"/>
    <w:rsid w:val="00927BF6"/>
    <w:rsid w:val="00932075"/>
    <w:rsid w:val="00932C99"/>
    <w:rsid w:val="00933124"/>
    <w:rsid w:val="00933400"/>
    <w:rsid w:val="00933819"/>
    <w:rsid w:val="00933AB8"/>
    <w:rsid w:val="00935C57"/>
    <w:rsid w:val="009408AA"/>
    <w:rsid w:val="009422EF"/>
    <w:rsid w:val="009435BC"/>
    <w:rsid w:val="009441E5"/>
    <w:rsid w:val="00951C39"/>
    <w:rsid w:val="009529D6"/>
    <w:rsid w:val="00952B29"/>
    <w:rsid w:val="00957F12"/>
    <w:rsid w:val="00960733"/>
    <w:rsid w:val="00961DE6"/>
    <w:rsid w:val="00962761"/>
    <w:rsid w:val="0096336B"/>
    <w:rsid w:val="0096420E"/>
    <w:rsid w:val="00964F64"/>
    <w:rsid w:val="00967FE3"/>
    <w:rsid w:val="009706C5"/>
    <w:rsid w:val="0097189E"/>
    <w:rsid w:val="00972676"/>
    <w:rsid w:val="00972DCE"/>
    <w:rsid w:val="00975838"/>
    <w:rsid w:val="00976D3F"/>
    <w:rsid w:val="00977169"/>
    <w:rsid w:val="0098170B"/>
    <w:rsid w:val="00982129"/>
    <w:rsid w:val="009838D3"/>
    <w:rsid w:val="0098468C"/>
    <w:rsid w:val="00984B32"/>
    <w:rsid w:val="00984C28"/>
    <w:rsid w:val="0098713E"/>
    <w:rsid w:val="009873E7"/>
    <w:rsid w:val="00987A2C"/>
    <w:rsid w:val="00987B5B"/>
    <w:rsid w:val="00993B40"/>
    <w:rsid w:val="0099538A"/>
    <w:rsid w:val="00995703"/>
    <w:rsid w:val="00995B4B"/>
    <w:rsid w:val="009961C9"/>
    <w:rsid w:val="00996AF4"/>
    <w:rsid w:val="00996FB1"/>
    <w:rsid w:val="00997BF0"/>
    <w:rsid w:val="009A173F"/>
    <w:rsid w:val="009A2532"/>
    <w:rsid w:val="009A49CA"/>
    <w:rsid w:val="009A7615"/>
    <w:rsid w:val="009B121B"/>
    <w:rsid w:val="009B2FE9"/>
    <w:rsid w:val="009B47EA"/>
    <w:rsid w:val="009B68BE"/>
    <w:rsid w:val="009C0952"/>
    <w:rsid w:val="009C1185"/>
    <w:rsid w:val="009C1B84"/>
    <w:rsid w:val="009C2F57"/>
    <w:rsid w:val="009C34A3"/>
    <w:rsid w:val="009C577C"/>
    <w:rsid w:val="009C693C"/>
    <w:rsid w:val="009C6CF7"/>
    <w:rsid w:val="009C6EF0"/>
    <w:rsid w:val="009C7FEC"/>
    <w:rsid w:val="009D0F10"/>
    <w:rsid w:val="009D1A64"/>
    <w:rsid w:val="009D6DD0"/>
    <w:rsid w:val="009E6E76"/>
    <w:rsid w:val="009E734B"/>
    <w:rsid w:val="009F05B1"/>
    <w:rsid w:val="009F0705"/>
    <w:rsid w:val="009F19F4"/>
    <w:rsid w:val="009F30E1"/>
    <w:rsid w:val="009F36F4"/>
    <w:rsid w:val="009F3962"/>
    <w:rsid w:val="00A02FE7"/>
    <w:rsid w:val="00A0423A"/>
    <w:rsid w:val="00A04AAC"/>
    <w:rsid w:val="00A052F0"/>
    <w:rsid w:val="00A053F8"/>
    <w:rsid w:val="00A05C16"/>
    <w:rsid w:val="00A078AB"/>
    <w:rsid w:val="00A07BE4"/>
    <w:rsid w:val="00A07E7F"/>
    <w:rsid w:val="00A10506"/>
    <w:rsid w:val="00A10DBE"/>
    <w:rsid w:val="00A12738"/>
    <w:rsid w:val="00A12B5B"/>
    <w:rsid w:val="00A130CC"/>
    <w:rsid w:val="00A14DC7"/>
    <w:rsid w:val="00A15584"/>
    <w:rsid w:val="00A16F9B"/>
    <w:rsid w:val="00A2075B"/>
    <w:rsid w:val="00A21784"/>
    <w:rsid w:val="00A2334E"/>
    <w:rsid w:val="00A249FD"/>
    <w:rsid w:val="00A24DA7"/>
    <w:rsid w:val="00A25841"/>
    <w:rsid w:val="00A2716B"/>
    <w:rsid w:val="00A278C6"/>
    <w:rsid w:val="00A27ECA"/>
    <w:rsid w:val="00A32786"/>
    <w:rsid w:val="00A33234"/>
    <w:rsid w:val="00A33412"/>
    <w:rsid w:val="00A3523F"/>
    <w:rsid w:val="00A36779"/>
    <w:rsid w:val="00A3759F"/>
    <w:rsid w:val="00A37D04"/>
    <w:rsid w:val="00A410B6"/>
    <w:rsid w:val="00A4223E"/>
    <w:rsid w:val="00A42EA0"/>
    <w:rsid w:val="00A4450F"/>
    <w:rsid w:val="00A45786"/>
    <w:rsid w:val="00A45E5C"/>
    <w:rsid w:val="00A47B7B"/>
    <w:rsid w:val="00A506A6"/>
    <w:rsid w:val="00A515C2"/>
    <w:rsid w:val="00A51D32"/>
    <w:rsid w:val="00A52517"/>
    <w:rsid w:val="00A52AB1"/>
    <w:rsid w:val="00A538DE"/>
    <w:rsid w:val="00A559B7"/>
    <w:rsid w:val="00A605D6"/>
    <w:rsid w:val="00A608DB"/>
    <w:rsid w:val="00A62156"/>
    <w:rsid w:val="00A62C79"/>
    <w:rsid w:val="00A6572C"/>
    <w:rsid w:val="00A65BAB"/>
    <w:rsid w:val="00A66C86"/>
    <w:rsid w:val="00A70789"/>
    <w:rsid w:val="00A71693"/>
    <w:rsid w:val="00A73AC3"/>
    <w:rsid w:val="00A75DFE"/>
    <w:rsid w:val="00A76A6B"/>
    <w:rsid w:val="00A775C4"/>
    <w:rsid w:val="00A80516"/>
    <w:rsid w:val="00A80F8D"/>
    <w:rsid w:val="00A820CB"/>
    <w:rsid w:val="00A8318C"/>
    <w:rsid w:val="00A83E4C"/>
    <w:rsid w:val="00A849F9"/>
    <w:rsid w:val="00A855A1"/>
    <w:rsid w:val="00A856AC"/>
    <w:rsid w:val="00A8654F"/>
    <w:rsid w:val="00A87D84"/>
    <w:rsid w:val="00A87F90"/>
    <w:rsid w:val="00A93538"/>
    <w:rsid w:val="00AA0754"/>
    <w:rsid w:val="00AA0760"/>
    <w:rsid w:val="00AA245F"/>
    <w:rsid w:val="00AA5213"/>
    <w:rsid w:val="00AA5F57"/>
    <w:rsid w:val="00AB0CFA"/>
    <w:rsid w:val="00AB1A26"/>
    <w:rsid w:val="00AB20EF"/>
    <w:rsid w:val="00AB394E"/>
    <w:rsid w:val="00AB3CAC"/>
    <w:rsid w:val="00AB4508"/>
    <w:rsid w:val="00AB7A9F"/>
    <w:rsid w:val="00AC1816"/>
    <w:rsid w:val="00AC29C1"/>
    <w:rsid w:val="00AC2B37"/>
    <w:rsid w:val="00AC2E66"/>
    <w:rsid w:val="00AC395B"/>
    <w:rsid w:val="00AC50F2"/>
    <w:rsid w:val="00AD15ED"/>
    <w:rsid w:val="00AD7FC9"/>
    <w:rsid w:val="00AE167E"/>
    <w:rsid w:val="00AE180D"/>
    <w:rsid w:val="00AE321D"/>
    <w:rsid w:val="00AE5ECD"/>
    <w:rsid w:val="00AF0044"/>
    <w:rsid w:val="00AF0569"/>
    <w:rsid w:val="00AF081B"/>
    <w:rsid w:val="00AF085A"/>
    <w:rsid w:val="00AF23A1"/>
    <w:rsid w:val="00AF373E"/>
    <w:rsid w:val="00B00C9F"/>
    <w:rsid w:val="00B0203A"/>
    <w:rsid w:val="00B02CA1"/>
    <w:rsid w:val="00B0491E"/>
    <w:rsid w:val="00B0504F"/>
    <w:rsid w:val="00B066A3"/>
    <w:rsid w:val="00B1309D"/>
    <w:rsid w:val="00B15684"/>
    <w:rsid w:val="00B162CA"/>
    <w:rsid w:val="00B167BD"/>
    <w:rsid w:val="00B16BA2"/>
    <w:rsid w:val="00B170E8"/>
    <w:rsid w:val="00B17935"/>
    <w:rsid w:val="00B17A55"/>
    <w:rsid w:val="00B212FD"/>
    <w:rsid w:val="00B21988"/>
    <w:rsid w:val="00B223DA"/>
    <w:rsid w:val="00B229DA"/>
    <w:rsid w:val="00B251C0"/>
    <w:rsid w:val="00B252E9"/>
    <w:rsid w:val="00B25820"/>
    <w:rsid w:val="00B2723F"/>
    <w:rsid w:val="00B3293D"/>
    <w:rsid w:val="00B35AC7"/>
    <w:rsid w:val="00B36573"/>
    <w:rsid w:val="00B373D5"/>
    <w:rsid w:val="00B37CE9"/>
    <w:rsid w:val="00B37D55"/>
    <w:rsid w:val="00B41875"/>
    <w:rsid w:val="00B429CE"/>
    <w:rsid w:val="00B441D0"/>
    <w:rsid w:val="00B523F7"/>
    <w:rsid w:val="00B57EEC"/>
    <w:rsid w:val="00B62F46"/>
    <w:rsid w:val="00B63BC9"/>
    <w:rsid w:val="00B645BD"/>
    <w:rsid w:val="00B6530D"/>
    <w:rsid w:val="00B65BD1"/>
    <w:rsid w:val="00B71D44"/>
    <w:rsid w:val="00B733F8"/>
    <w:rsid w:val="00B802FC"/>
    <w:rsid w:val="00B87D89"/>
    <w:rsid w:val="00B92F24"/>
    <w:rsid w:val="00B95772"/>
    <w:rsid w:val="00B95D37"/>
    <w:rsid w:val="00B96122"/>
    <w:rsid w:val="00BA1E6B"/>
    <w:rsid w:val="00BA5E0F"/>
    <w:rsid w:val="00BB1402"/>
    <w:rsid w:val="00BB22CC"/>
    <w:rsid w:val="00BB4753"/>
    <w:rsid w:val="00BB4B9C"/>
    <w:rsid w:val="00BB6D97"/>
    <w:rsid w:val="00BC0958"/>
    <w:rsid w:val="00BC24FE"/>
    <w:rsid w:val="00BC4798"/>
    <w:rsid w:val="00BC4B0D"/>
    <w:rsid w:val="00BC4FB0"/>
    <w:rsid w:val="00BC5B41"/>
    <w:rsid w:val="00BC60ED"/>
    <w:rsid w:val="00BC6665"/>
    <w:rsid w:val="00BC790B"/>
    <w:rsid w:val="00BD0D20"/>
    <w:rsid w:val="00BD12A7"/>
    <w:rsid w:val="00BD20BB"/>
    <w:rsid w:val="00BD305F"/>
    <w:rsid w:val="00BD32B3"/>
    <w:rsid w:val="00BD3D50"/>
    <w:rsid w:val="00BD5B31"/>
    <w:rsid w:val="00BD5C7A"/>
    <w:rsid w:val="00BD7C41"/>
    <w:rsid w:val="00BE1EBA"/>
    <w:rsid w:val="00BE3184"/>
    <w:rsid w:val="00BE45B2"/>
    <w:rsid w:val="00BE6875"/>
    <w:rsid w:val="00BE6D3F"/>
    <w:rsid w:val="00BE6FA0"/>
    <w:rsid w:val="00BE73FE"/>
    <w:rsid w:val="00BE7D58"/>
    <w:rsid w:val="00BF0DA4"/>
    <w:rsid w:val="00BF39C4"/>
    <w:rsid w:val="00BF419C"/>
    <w:rsid w:val="00BF4540"/>
    <w:rsid w:val="00BF52E2"/>
    <w:rsid w:val="00BF64F6"/>
    <w:rsid w:val="00BF7FF7"/>
    <w:rsid w:val="00C00FBE"/>
    <w:rsid w:val="00C0518A"/>
    <w:rsid w:val="00C05951"/>
    <w:rsid w:val="00C05AAF"/>
    <w:rsid w:val="00C05B9C"/>
    <w:rsid w:val="00C05F2F"/>
    <w:rsid w:val="00C063D5"/>
    <w:rsid w:val="00C101DE"/>
    <w:rsid w:val="00C11102"/>
    <w:rsid w:val="00C112D7"/>
    <w:rsid w:val="00C139FA"/>
    <w:rsid w:val="00C22046"/>
    <w:rsid w:val="00C25CCC"/>
    <w:rsid w:val="00C27D57"/>
    <w:rsid w:val="00C305A9"/>
    <w:rsid w:val="00C311CA"/>
    <w:rsid w:val="00C33830"/>
    <w:rsid w:val="00C33BC4"/>
    <w:rsid w:val="00C34705"/>
    <w:rsid w:val="00C35584"/>
    <w:rsid w:val="00C35A81"/>
    <w:rsid w:val="00C3737A"/>
    <w:rsid w:val="00C404DF"/>
    <w:rsid w:val="00C44318"/>
    <w:rsid w:val="00C45730"/>
    <w:rsid w:val="00C536A1"/>
    <w:rsid w:val="00C53A3A"/>
    <w:rsid w:val="00C53CFE"/>
    <w:rsid w:val="00C540CD"/>
    <w:rsid w:val="00C54243"/>
    <w:rsid w:val="00C54C7F"/>
    <w:rsid w:val="00C555B4"/>
    <w:rsid w:val="00C56A05"/>
    <w:rsid w:val="00C57E21"/>
    <w:rsid w:val="00C61B14"/>
    <w:rsid w:val="00C63059"/>
    <w:rsid w:val="00C63C12"/>
    <w:rsid w:val="00C70448"/>
    <w:rsid w:val="00C7306A"/>
    <w:rsid w:val="00C75D07"/>
    <w:rsid w:val="00C75F94"/>
    <w:rsid w:val="00C77F85"/>
    <w:rsid w:val="00C822D0"/>
    <w:rsid w:val="00C84B25"/>
    <w:rsid w:val="00C851B7"/>
    <w:rsid w:val="00C85BC4"/>
    <w:rsid w:val="00C8721D"/>
    <w:rsid w:val="00C87504"/>
    <w:rsid w:val="00C90660"/>
    <w:rsid w:val="00C91714"/>
    <w:rsid w:val="00C92E39"/>
    <w:rsid w:val="00C936D0"/>
    <w:rsid w:val="00C93D65"/>
    <w:rsid w:val="00C93F1A"/>
    <w:rsid w:val="00C9459F"/>
    <w:rsid w:val="00C9755D"/>
    <w:rsid w:val="00CA0EF2"/>
    <w:rsid w:val="00CA1E06"/>
    <w:rsid w:val="00CA3B9B"/>
    <w:rsid w:val="00CA5D4C"/>
    <w:rsid w:val="00CA7A8E"/>
    <w:rsid w:val="00CA7CD8"/>
    <w:rsid w:val="00CB009D"/>
    <w:rsid w:val="00CB1561"/>
    <w:rsid w:val="00CB48BE"/>
    <w:rsid w:val="00CC017C"/>
    <w:rsid w:val="00CC01D7"/>
    <w:rsid w:val="00CC20F9"/>
    <w:rsid w:val="00CC3E13"/>
    <w:rsid w:val="00CC3EE3"/>
    <w:rsid w:val="00CC4211"/>
    <w:rsid w:val="00CC5F3C"/>
    <w:rsid w:val="00CC75D7"/>
    <w:rsid w:val="00CD00CE"/>
    <w:rsid w:val="00CD159C"/>
    <w:rsid w:val="00CD3F81"/>
    <w:rsid w:val="00CD6CFE"/>
    <w:rsid w:val="00CE01A7"/>
    <w:rsid w:val="00CE3A2F"/>
    <w:rsid w:val="00CE4E49"/>
    <w:rsid w:val="00CE6734"/>
    <w:rsid w:val="00CE7794"/>
    <w:rsid w:val="00CF0BBB"/>
    <w:rsid w:val="00CF2F0D"/>
    <w:rsid w:val="00CF3F22"/>
    <w:rsid w:val="00CF4F49"/>
    <w:rsid w:val="00D01972"/>
    <w:rsid w:val="00D04F15"/>
    <w:rsid w:val="00D07DBE"/>
    <w:rsid w:val="00D12237"/>
    <w:rsid w:val="00D14595"/>
    <w:rsid w:val="00D1534F"/>
    <w:rsid w:val="00D15EF5"/>
    <w:rsid w:val="00D203D5"/>
    <w:rsid w:val="00D219A4"/>
    <w:rsid w:val="00D23E3C"/>
    <w:rsid w:val="00D25D0C"/>
    <w:rsid w:val="00D2761B"/>
    <w:rsid w:val="00D3249F"/>
    <w:rsid w:val="00D34DEA"/>
    <w:rsid w:val="00D353C9"/>
    <w:rsid w:val="00D3610A"/>
    <w:rsid w:val="00D40273"/>
    <w:rsid w:val="00D4371B"/>
    <w:rsid w:val="00D43B95"/>
    <w:rsid w:val="00D4541E"/>
    <w:rsid w:val="00D4649A"/>
    <w:rsid w:val="00D46FBB"/>
    <w:rsid w:val="00D5045E"/>
    <w:rsid w:val="00D50C8E"/>
    <w:rsid w:val="00D53BC3"/>
    <w:rsid w:val="00D53FF4"/>
    <w:rsid w:val="00D54161"/>
    <w:rsid w:val="00D57B05"/>
    <w:rsid w:val="00D57C71"/>
    <w:rsid w:val="00D601CA"/>
    <w:rsid w:val="00D604A8"/>
    <w:rsid w:val="00D60840"/>
    <w:rsid w:val="00D61283"/>
    <w:rsid w:val="00D66113"/>
    <w:rsid w:val="00D661CA"/>
    <w:rsid w:val="00D7191C"/>
    <w:rsid w:val="00D7206E"/>
    <w:rsid w:val="00D731A9"/>
    <w:rsid w:val="00D81641"/>
    <w:rsid w:val="00D81A5B"/>
    <w:rsid w:val="00D82AF8"/>
    <w:rsid w:val="00D839D4"/>
    <w:rsid w:val="00D90F62"/>
    <w:rsid w:val="00DA4BF7"/>
    <w:rsid w:val="00DA4D46"/>
    <w:rsid w:val="00DA4E59"/>
    <w:rsid w:val="00DA7E34"/>
    <w:rsid w:val="00DA7F1D"/>
    <w:rsid w:val="00DB0A96"/>
    <w:rsid w:val="00DB2D25"/>
    <w:rsid w:val="00DB335E"/>
    <w:rsid w:val="00DB3C27"/>
    <w:rsid w:val="00DB3E40"/>
    <w:rsid w:val="00DB7BA0"/>
    <w:rsid w:val="00DC1FC9"/>
    <w:rsid w:val="00DC2CC3"/>
    <w:rsid w:val="00DC32C3"/>
    <w:rsid w:val="00DC3C69"/>
    <w:rsid w:val="00DC4160"/>
    <w:rsid w:val="00DC4E34"/>
    <w:rsid w:val="00DC581C"/>
    <w:rsid w:val="00DC6FAF"/>
    <w:rsid w:val="00DC72A6"/>
    <w:rsid w:val="00DD0DF0"/>
    <w:rsid w:val="00DD37BD"/>
    <w:rsid w:val="00DD5694"/>
    <w:rsid w:val="00DD6B8F"/>
    <w:rsid w:val="00DD6E96"/>
    <w:rsid w:val="00DE0AF4"/>
    <w:rsid w:val="00DE0DD1"/>
    <w:rsid w:val="00DE1DBA"/>
    <w:rsid w:val="00DE4252"/>
    <w:rsid w:val="00DE65A4"/>
    <w:rsid w:val="00DE7B06"/>
    <w:rsid w:val="00DF146E"/>
    <w:rsid w:val="00DF21CC"/>
    <w:rsid w:val="00DF2CA0"/>
    <w:rsid w:val="00DF3659"/>
    <w:rsid w:val="00DF3EF7"/>
    <w:rsid w:val="00DF4432"/>
    <w:rsid w:val="00DF77A3"/>
    <w:rsid w:val="00E015C8"/>
    <w:rsid w:val="00E03AFA"/>
    <w:rsid w:val="00E0460C"/>
    <w:rsid w:val="00E04D82"/>
    <w:rsid w:val="00E06928"/>
    <w:rsid w:val="00E071EA"/>
    <w:rsid w:val="00E11874"/>
    <w:rsid w:val="00E25C99"/>
    <w:rsid w:val="00E25F95"/>
    <w:rsid w:val="00E261F8"/>
    <w:rsid w:val="00E27288"/>
    <w:rsid w:val="00E31B4F"/>
    <w:rsid w:val="00E333AB"/>
    <w:rsid w:val="00E33411"/>
    <w:rsid w:val="00E36968"/>
    <w:rsid w:val="00E3777E"/>
    <w:rsid w:val="00E41842"/>
    <w:rsid w:val="00E42210"/>
    <w:rsid w:val="00E42221"/>
    <w:rsid w:val="00E42439"/>
    <w:rsid w:val="00E42951"/>
    <w:rsid w:val="00E42A15"/>
    <w:rsid w:val="00E55B4D"/>
    <w:rsid w:val="00E55EA8"/>
    <w:rsid w:val="00E56299"/>
    <w:rsid w:val="00E57625"/>
    <w:rsid w:val="00E605C6"/>
    <w:rsid w:val="00E60912"/>
    <w:rsid w:val="00E6374B"/>
    <w:rsid w:val="00E65C51"/>
    <w:rsid w:val="00E66BA3"/>
    <w:rsid w:val="00E66FD9"/>
    <w:rsid w:val="00E6760E"/>
    <w:rsid w:val="00E702A6"/>
    <w:rsid w:val="00E717CA"/>
    <w:rsid w:val="00E73048"/>
    <w:rsid w:val="00E819C5"/>
    <w:rsid w:val="00E849B6"/>
    <w:rsid w:val="00E86DC5"/>
    <w:rsid w:val="00E90886"/>
    <w:rsid w:val="00E90F89"/>
    <w:rsid w:val="00E91716"/>
    <w:rsid w:val="00E92A71"/>
    <w:rsid w:val="00E92DF9"/>
    <w:rsid w:val="00E935B5"/>
    <w:rsid w:val="00E93A1D"/>
    <w:rsid w:val="00E94FC1"/>
    <w:rsid w:val="00E9591B"/>
    <w:rsid w:val="00EA0E7A"/>
    <w:rsid w:val="00EA1D46"/>
    <w:rsid w:val="00EA23B4"/>
    <w:rsid w:val="00EA325B"/>
    <w:rsid w:val="00EA430E"/>
    <w:rsid w:val="00EA5E01"/>
    <w:rsid w:val="00EA7807"/>
    <w:rsid w:val="00EB0870"/>
    <w:rsid w:val="00EB3C41"/>
    <w:rsid w:val="00EB40F0"/>
    <w:rsid w:val="00EB685B"/>
    <w:rsid w:val="00EB6EB7"/>
    <w:rsid w:val="00EB780E"/>
    <w:rsid w:val="00EC1D2F"/>
    <w:rsid w:val="00EC4DAD"/>
    <w:rsid w:val="00EC58D4"/>
    <w:rsid w:val="00EC599D"/>
    <w:rsid w:val="00EC703B"/>
    <w:rsid w:val="00EC7BA9"/>
    <w:rsid w:val="00ED0457"/>
    <w:rsid w:val="00ED2743"/>
    <w:rsid w:val="00ED4889"/>
    <w:rsid w:val="00ED735D"/>
    <w:rsid w:val="00EE002C"/>
    <w:rsid w:val="00EE09A9"/>
    <w:rsid w:val="00EE11EE"/>
    <w:rsid w:val="00EE1A5A"/>
    <w:rsid w:val="00EE2D79"/>
    <w:rsid w:val="00EE52AF"/>
    <w:rsid w:val="00EE5F95"/>
    <w:rsid w:val="00EE67C3"/>
    <w:rsid w:val="00EF282D"/>
    <w:rsid w:val="00EF2C86"/>
    <w:rsid w:val="00EF39E9"/>
    <w:rsid w:val="00EF5854"/>
    <w:rsid w:val="00EF7626"/>
    <w:rsid w:val="00EF7701"/>
    <w:rsid w:val="00F00587"/>
    <w:rsid w:val="00F00EEA"/>
    <w:rsid w:val="00F075D7"/>
    <w:rsid w:val="00F10187"/>
    <w:rsid w:val="00F105AB"/>
    <w:rsid w:val="00F110DD"/>
    <w:rsid w:val="00F1231E"/>
    <w:rsid w:val="00F12D65"/>
    <w:rsid w:val="00F13B31"/>
    <w:rsid w:val="00F14B29"/>
    <w:rsid w:val="00F20E1F"/>
    <w:rsid w:val="00F21148"/>
    <w:rsid w:val="00F2227C"/>
    <w:rsid w:val="00F24B35"/>
    <w:rsid w:val="00F262CB"/>
    <w:rsid w:val="00F276C2"/>
    <w:rsid w:val="00F30B00"/>
    <w:rsid w:val="00F31F36"/>
    <w:rsid w:val="00F33A0D"/>
    <w:rsid w:val="00F33BAC"/>
    <w:rsid w:val="00F35B7C"/>
    <w:rsid w:val="00F35CA5"/>
    <w:rsid w:val="00F40C70"/>
    <w:rsid w:val="00F40DEC"/>
    <w:rsid w:val="00F418F7"/>
    <w:rsid w:val="00F43EB5"/>
    <w:rsid w:val="00F454EA"/>
    <w:rsid w:val="00F45E1A"/>
    <w:rsid w:val="00F47F3B"/>
    <w:rsid w:val="00F502BA"/>
    <w:rsid w:val="00F505E3"/>
    <w:rsid w:val="00F5139B"/>
    <w:rsid w:val="00F51D9F"/>
    <w:rsid w:val="00F55937"/>
    <w:rsid w:val="00F55BDA"/>
    <w:rsid w:val="00F60F5A"/>
    <w:rsid w:val="00F65E0C"/>
    <w:rsid w:val="00F66E87"/>
    <w:rsid w:val="00F67028"/>
    <w:rsid w:val="00F73EB7"/>
    <w:rsid w:val="00F77CDE"/>
    <w:rsid w:val="00F807DA"/>
    <w:rsid w:val="00F80B6E"/>
    <w:rsid w:val="00F81E07"/>
    <w:rsid w:val="00F8251E"/>
    <w:rsid w:val="00F82650"/>
    <w:rsid w:val="00F84074"/>
    <w:rsid w:val="00F8450D"/>
    <w:rsid w:val="00F92AFC"/>
    <w:rsid w:val="00F93A10"/>
    <w:rsid w:val="00F94E73"/>
    <w:rsid w:val="00F95D58"/>
    <w:rsid w:val="00FA0BEA"/>
    <w:rsid w:val="00FA158D"/>
    <w:rsid w:val="00FA26BD"/>
    <w:rsid w:val="00FA3B2F"/>
    <w:rsid w:val="00FA4B33"/>
    <w:rsid w:val="00FA57BD"/>
    <w:rsid w:val="00FB02EB"/>
    <w:rsid w:val="00FB0B65"/>
    <w:rsid w:val="00FB19EB"/>
    <w:rsid w:val="00FB1B28"/>
    <w:rsid w:val="00FB3E81"/>
    <w:rsid w:val="00FB46AC"/>
    <w:rsid w:val="00FC0849"/>
    <w:rsid w:val="00FC40E0"/>
    <w:rsid w:val="00FC441C"/>
    <w:rsid w:val="00FC5201"/>
    <w:rsid w:val="00FC5910"/>
    <w:rsid w:val="00FC7A74"/>
    <w:rsid w:val="00FD1F25"/>
    <w:rsid w:val="00FD4318"/>
    <w:rsid w:val="00FD46EC"/>
    <w:rsid w:val="00FD4BB9"/>
    <w:rsid w:val="00FD511C"/>
    <w:rsid w:val="00FD533F"/>
    <w:rsid w:val="00FE292D"/>
    <w:rsid w:val="00FE3449"/>
    <w:rsid w:val="00FE3786"/>
    <w:rsid w:val="00FE56D4"/>
    <w:rsid w:val="00FE62DF"/>
    <w:rsid w:val="00FE6528"/>
    <w:rsid w:val="00FE735A"/>
    <w:rsid w:val="00FE7D39"/>
    <w:rsid w:val="00FF0F73"/>
    <w:rsid w:val="00FF1FC1"/>
    <w:rsid w:val="00FF3C42"/>
    <w:rsid w:val="00FF505F"/>
    <w:rsid w:val="00FF5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2A70B"/>
  <w15:chartTrackingRefBased/>
  <w15:docId w15:val="{CA65D361-A96B-421D-A3D2-27BADA24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FA8"/>
    <w:pPr>
      <w:jc w:val="center"/>
    </w:pPr>
    <w:rPr>
      <w:sz w:val="24"/>
      <w:szCs w:val="24"/>
    </w:rPr>
  </w:style>
  <w:style w:type="paragraph" w:styleId="Antrat1">
    <w:name w:val="heading 1"/>
    <w:basedOn w:val="prastasis"/>
    <w:next w:val="prastasis"/>
    <w:link w:val="Antrat1Diagrama"/>
    <w:uiPriority w:val="99"/>
    <w:qFormat/>
    <w:locked/>
    <w:rsid w:val="009422EF"/>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locked/>
    <w:rsid w:val="00FB19EB"/>
    <w:pPr>
      <w:keepNext/>
      <w:spacing w:before="240" w:after="60"/>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E2CCC"/>
    <w:rPr>
      <w:rFonts w:ascii="Cambria" w:hAnsi="Cambria" w:cs="Times New Roman"/>
      <w:b/>
      <w:bCs/>
      <w:kern w:val="32"/>
      <w:sz w:val="32"/>
      <w:szCs w:val="32"/>
    </w:rPr>
  </w:style>
  <w:style w:type="table" w:styleId="Lentelstinklelis">
    <w:name w:val="Table Grid"/>
    <w:basedOn w:val="prastojilentel"/>
    <w:uiPriority w:val="99"/>
    <w:rsid w:val="00C7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ple">
    <w:name w:val="sample"/>
    <w:uiPriority w:val="99"/>
    <w:rsid w:val="00FC5910"/>
    <w:rPr>
      <w:rFonts w:cs="Times New Roman"/>
    </w:rPr>
  </w:style>
  <w:style w:type="paragraph" w:styleId="Antrats">
    <w:name w:val="header"/>
    <w:aliases w:val="Char"/>
    <w:basedOn w:val="prastasis"/>
    <w:link w:val="AntratsDiagrama"/>
    <w:uiPriority w:val="99"/>
    <w:rsid w:val="0023558A"/>
    <w:pPr>
      <w:tabs>
        <w:tab w:val="center" w:pos="4819"/>
        <w:tab w:val="right" w:pos="9638"/>
      </w:tabs>
    </w:pPr>
    <w:rPr>
      <w:lang w:val="x-none" w:eastAsia="x-none"/>
    </w:rPr>
  </w:style>
  <w:style w:type="character" w:customStyle="1" w:styleId="AntratsDiagrama">
    <w:name w:val="Antraštės Diagrama"/>
    <w:aliases w:val="Char Diagrama"/>
    <w:link w:val="Antrats"/>
    <w:uiPriority w:val="99"/>
    <w:locked/>
    <w:rsid w:val="002F0A3A"/>
    <w:rPr>
      <w:rFonts w:cs="Times New Roman"/>
      <w:sz w:val="24"/>
      <w:szCs w:val="24"/>
    </w:rPr>
  </w:style>
  <w:style w:type="character" w:styleId="Puslapionumeris">
    <w:name w:val="page number"/>
    <w:uiPriority w:val="99"/>
    <w:rsid w:val="0023558A"/>
    <w:rPr>
      <w:rFonts w:cs="Times New Roman"/>
    </w:rPr>
  </w:style>
  <w:style w:type="paragraph" w:styleId="Porat">
    <w:name w:val="footer"/>
    <w:basedOn w:val="prastasis"/>
    <w:link w:val="PoratDiagrama"/>
    <w:uiPriority w:val="99"/>
    <w:rsid w:val="00234ACD"/>
    <w:pPr>
      <w:tabs>
        <w:tab w:val="center" w:pos="4819"/>
        <w:tab w:val="right" w:pos="9638"/>
      </w:tabs>
    </w:pPr>
    <w:rPr>
      <w:lang w:val="x-none" w:eastAsia="x-none"/>
    </w:rPr>
  </w:style>
  <w:style w:type="character" w:customStyle="1" w:styleId="PoratDiagrama">
    <w:name w:val="Poraštė Diagrama"/>
    <w:link w:val="Porat"/>
    <w:uiPriority w:val="99"/>
    <w:semiHidden/>
    <w:locked/>
    <w:rsid w:val="001C76AD"/>
    <w:rPr>
      <w:rFonts w:cs="Times New Roman"/>
      <w:sz w:val="24"/>
      <w:szCs w:val="24"/>
    </w:rPr>
  </w:style>
  <w:style w:type="paragraph" w:styleId="Debesliotekstas">
    <w:name w:val="Balloon Text"/>
    <w:basedOn w:val="prastasis"/>
    <w:link w:val="DebesliotekstasDiagrama"/>
    <w:uiPriority w:val="99"/>
    <w:semiHidden/>
    <w:rsid w:val="00524E37"/>
    <w:rPr>
      <w:sz w:val="2"/>
      <w:szCs w:val="20"/>
      <w:lang w:val="x-none" w:eastAsia="x-none"/>
    </w:rPr>
  </w:style>
  <w:style w:type="character" w:customStyle="1" w:styleId="DebesliotekstasDiagrama">
    <w:name w:val="Debesėlio tekstas Diagrama"/>
    <w:link w:val="Debesliotekstas"/>
    <w:uiPriority w:val="99"/>
    <w:semiHidden/>
    <w:locked/>
    <w:rsid w:val="001C76AD"/>
    <w:rPr>
      <w:rFonts w:cs="Times New Roman"/>
      <w:sz w:val="2"/>
    </w:rPr>
  </w:style>
  <w:style w:type="character" w:customStyle="1" w:styleId="typewriter">
    <w:name w:val="typewriter"/>
    <w:rsid w:val="00015CEA"/>
    <w:rPr>
      <w:rFonts w:cs="Times New Roman"/>
    </w:rPr>
  </w:style>
  <w:style w:type="paragraph" w:styleId="Pagrindinistekstas">
    <w:name w:val="Body Text"/>
    <w:basedOn w:val="prastasis"/>
    <w:link w:val="PagrindinistekstasDiagrama"/>
    <w:uiPriority w:val="99"/>
    <w:rsid w:val="008140F0"/>
    <w:pPr>
      <w:widowControl w:val="0"/>
      <w:suppressAutoHyphens/>
      <w:ind w:firstLine="567"/>
      <w:jc w:val="both"/>
    </w:pPr>
    <w:rPr>
      <w:lang w:val="x-none" w:eastAsia="en-US"/>
    </w:rPr>
  </w:style>
  <w:style w:type="character" w:customStyle="1" w:styleId="PagrindinistekstasDiagrama">
    <w:name w:val="Pagrindinis tekstas Diagrama"/>
    <w:link w:val="Pagrindinistekstas"/>
    <w:uiPriority w:val="99"/>
    <w:locked/>
    <w:rsid w:val="008140F0"/>
    <w:rPr>
      <w:rFonts w:eastAsia="Times New Roman" w:cs="Tahoma"/>
      <w:sz w:val="24"/>
      <w:szCs w:val="24"/>
      <w:lang w:eastAsia="en-US"/>
    </w:rPr>
  </w:style>
  <w:style w:type="paragraph" w:customStyle="1" w:styleId="Nurodytoformatotekstas">
    <w:name w:val="Nurodyto formato tekstas"/>
    <w:basedOn w:val="prastasis"/>
    <w:uiPriority w:val="99"/>
    <w:rsid w:val="00620C05"/>
    <w:pPr>
      <w:widowControl w:val="0"/>
      <w:suppressAutoHyphens/>
    </w:pPr>
    <w:rPr>
      <w:rFonts w:ascii="Courier New" w:hAnsi="Courier New" w:cs="Courier New"/>
      <w:sz w:val="20"/>
      <w:szCs w:val="20"/>
      <w:lang w:eastAsia="ar-SA"/>
    </w:rPr>
  </w:style>
  <w:style w:type="paragraph" w:styleId="Pagrindiniotekstotrauka">
    <w:name w:val="Body Text Indent"/>
    <w:basedOn w:val="prastasis"/>
    <w:link w:val="PagrindiniotekstotraukaDiagrama"/>
    <w:uiPriority w:val="99"/>
    <w:rsid w:val="008E3871"/>
    <w:pPr>
      <w:widowControl w:val="0"/>
      <w:suppressAutoHyphens/>
      <w:spacing w:after="120"/>
      <w:ind w:left="283"/>
    </w:pPr>
    <w:rPr>
      <w:lang w:val="x-none" w:eastAsia="en-US"/>
    </w:rPr>
  </w:style>
  <w:style w:type="character" w:customStyle="1" w:styleId="PagrindiniotekstotraukaDiagrama">
    <w:name w:val="Pagrindinio teksto įtrauka Diagrama"/>
    <w:link w:val="Pagrindiniotekstotrauka"/>
    <w:uiPriority w:val="99"/>
    <w:locked/>
    <w:rsid w:val="008E3871"/>
    <w:rPr>
      <w:rFonts w:eastAsia="Times New Roman" w:cs="Tahoma"/>
      <w:sz w:val="24"/>
      <w:szCs w:val="24"/>
      <w:lang w:eastAsia="en-US"/>
    </w:rPr>
  </w:style>
  <w:style w:type="paragraph" w:customStyle="1" w:styleId="Sraopastraipa1">
    <w:name w:val="Sąrašo pastraipa1"/>
    <w:basedOn w:val="prastasis"/>
    <w:uiPriority w:val="99"/>
    <w:qFormat/>
    <w:rsid w:val="00E42221"/>
    <w:pPr>
      <w:ind w:left="720"/>
      <w:contextualSpacing/>
    </w:pPr>
    <w:rPr>
      <w:lang w:val="en-US" w:eastAsia="en-US"/>
    </w:rPr>
  </w:style>
  <w:style w:type="paragraph" w:customStyle="1" w:styleId="Tekstas">
    <w:name w:val="Tekstas"/>
    <w:basedOn w:val="prastasis"/>
    <w:uiPriority w:val="99"/>
    <w:rsid w:val="002F0A3A"/>
    <w:pPr>
      <w:spacing w:before="40" w:after="40"/>
      <w:ind w:right="40" w:firstLine="1247"/>
      <w:jc w:val="both"/>
    </w:pPr>
    <w:rPr>
      <w:lang w:eastAsia="en-US"/>
    </w:rPr>
  </w:style>
  <w:style w:type="paragraph" w:styleId="Puslapioinaostekstas">
    <w:name w:val="footnote text"/>
    <w:basedOn w:val="prastasis"/>
    <w:link w:val="PuslapioinaostekstasDiagrama"/>
    <w:uiPriority w:val="99"/>
    <w:semiHidden/>
    <w:rsid w:val="002F0A3A"/>
    <w:rPr>
      <w:sz w:val="20"/>
      <w:szCs w:val="20"/>
      <w:lang w:val="x-none" w:eastAsia="en-US"/>
    </w:rPr>
  </w:style>
  <w:style w:type="character" w:customStyle="1" w:styleId="PuslapioinaostekstasDiagrama">
    <w:name w:val="Puslapio išnašos tekstas Diagrama"/>
    <w:link w:val="Puslapioinaostekstas"/>
    <w:uiPriority w:val="99"/>
    <w:semiHidden/>
    <w:locked/>
    <w:rsid w:val="002F0A3A"/>
    <w:rPr>
      <w:rFonts w:cs="Times New Roman"/>
      <w:lang w:eastAsia="en-US"/>
    </w:rPr>
  </w:style>
  <w:style w:type="character" w:styleId="Puslapioinaosnuoroda">
    <w:name w:val="footnote reference"/>
    <w:uiPriority w:val="99"/>
    <w:semiHidden/>
    <w:rsid w:val="002F0A3A"/>
    <w:rPr>
      <w:rFonts w:cs="Times New Roman"/>
      <w:vertAlign w:val="superscript"/>
    </w:rPr>
  </w:style>
  <w:style w:type="paragraph" w:styleId="Pagrindiniotekstotrauka3">
    <w:name w:val="Body Text Indent 3"/>
    <w:basedOn w:val="prastasis"/>
    <w:link w:val="Pagrindiniotekstotrauka3Diagrama"/>
    <w:uiPriority w:val="99"/>
    <w:semiHidden/>
    <w:rsid w:val="009529D6"/>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9529D6"/>
    <w:rPr>
      <w:rFonts w:cs="Times New Roman"/>
      <w:sz w:val="16"/>
      <w:szCs w:val="16"/>
    </w:rPr>
  </w:style>
  <w:style w:type="paragraph" w:customStyle="1" w:styleId="CharCharDiagramaDiagramaCharCharDiagramaDiagramaCharChar">
    <w:name w:val="Char Char Diagrama Diagrama Char Char Diagrama Diagrama Char Char"/>
    <w:basedOn w:val="prastasis"/>
    <w:next w:val="prastasis"/>
    <w:uiPriority w:val="99"/>
    <w:rsid w:val="009529D6"/>
    <w:pPr>
      <w:spacing w:before="120" w:after="120"/>
    </w:pPr>
    <w:rPr>
      <w:b/>
      <w:bCs/>
      <w:u w:val="single"/>
      <w:lang w:eastAsia="en-GB"/>
    </w:rPr>
  </w:style>
  <w:style w:type="paragraph" w:styleId="Dokumentostruktra">
    <w:name w:val="Document Map"/>
    <w:basedOn w:val="prastasis"/>
    <w:link w:val="DokumentostruktraDiagrama"/>
    <w:uiPriority w:val="99"/>
    <w:semiHidden/>
    <w:rsid w:val="00081F5C"/>
    <w:rPr>
      <w:rFonts w:ascii="Tahoma" w:hAnsi="Tahoma"/>
      <w:sz w:val="16"/>
      <w:szCs w:val="16"/>
      <w:lang w:val="x-none" w:eastAsia="x-none"/>
    </w:rPr>
  </w:style>
  <w:style w:type="character" w:customStyle="1" w:styleId="DokumentostruktraDiagrama">
    <w:name w:val="Dokumento struktūra Diagrama"/>
    <w:link w:val="Dokumentostruktra"/>
    <w:uiPriority w:val="99"/>
    <w:semiHidden/>
    <w:locked/>
    <w:rsid w:val="00081F5C"/>
    <w:rPr>
      <w:rFonts w:ascii="Tahoma" w:hAnsi="Tahoma" w:cs="Tahoma"/>
      <w:sz w:val="16"/>
      <w:szCs w:val="16"/>
    </w:rPr>
  </w:style>
  <w:style w:type="paragraph" w:styleId="HTMLiankstoformatuotas">
    <w:name w:val="HTML Preformatted"/>
    <w:basedOn w:val="prastasis"/>
    <w:link w:val="HTMLiankstoformatuotasDiagrama"/>
    <w:uiPriority w:val="99"/>
    <w:rsid w:val="00F47F3B"/>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locked/>
    <w:rsid w:val="00BF419C"/>
    <w:rPr>
      <w:rFonts w:ascii="Courier New" w:hAnsi="Courier New" w:cs="Courier New"/>
      <w:sz w:val="20"/>
      <w:szCs w:val="20"/>
    </w:rPr>
  </w:style>
  <w:style w:type="character" w:styleId="Komentaronuoroda">
    <w:name w:val="annotation reference"/>
    <w:uiPriority w:val="99"/>
    <w:semiHidden/>
    <w:rsid w:val="00F30B00"/>
    <w:rPr>
      <w:rFonts w:cs="Times New Roman"/>
      <w:sz w:val="16"/>
      <w:szCs w:val="16"/>
    </w:rPr>
  </w:style>
  <w:style w:type="paragraph" w:styleId="Komentarotekstas">
    <w:name w:val="annotation text"/>
    <w:basedOn w:val="prastasis"/>
    <w:link w:val="KomentarotekstasDiagrama"/>
    <w:uiPriority w:val="99"/>
    <w:semiHidden/>
    <w:rsid w:val="00F30B00"/>
    <w:rPr>
      <w:sz w:val="20"/>
      <w:szCs w:val="20"/>
      <w:lang w:val="x-none" w:eastAsia="x-none"/>
    </w:rPr>
  </w:style>
  <w:style w:type="character" w:customStyle="1" w:styleId="KomentarotekstasDiagrama">
    <w:name w:val="Komentaro tekstas Diagrama"/>
    <w:link w:val="Komentarotekstas"/>
    <w:uiPriority w:val="99"/>
    <w:semiHidden/>
    <w:locked/>
    <w:rsid w:val="00BF419C"/>
    <w:rPr>
      <w:rFonts w:cs="Times New Roman"/>
      <w:sz w:val="20"/>
      <w:szCs w:val="20"/>
    </w:rPr>
  </w:style>
  <w:style w:type="paragraph" w:styleId="Komentarotema">
    <w:name w:val="annotation subject"/>
    <w:basedOn w:val="Komentarotekstas"/>
    <w:next w:val="Komentarotekstas"/>
    <w:link w:val="KomentarotemaDiagrama"/>
    <w:uiPriority w:val="99"/>
    <w:semiHidden/>
    <w:rsid w:val="00F30B00"/>
    <w:rPr>
      <w:b/>
      <w:bCs/>
    </w:rPr>
  </w:style>
  <w:style w:type="character" w:customStyle="1" w:styleId="KomentarotemaDiagrama">
    <w:name w:val="Komentaro tema Diagrama"/>
    <w:link w:val="Komentarotema"/>
    <w:uiPriority w:val="99"/>
    <w:semiHidden/>
    <w:locked/>
    <w:rsid w:val="00BF419C"/>
    <w:rPr>
      <w:rFonts w:cs="Times New Roman"/>
      <w:b/>
      <w:bCs/>
      <w:sz w:val="20"/>
      <w:szCs w:val="20"/>
    </w:rPr>
  </w:style>
  <w:style w:type="character" w:customStyle="1" w:styleId="apple-converted-space">
    <w:name w:val="apple-converted-space"/>
    <w:uiPriority w:val="99"/>
    <w:rsid w:val="00F31F36"/>
    <w:rPr>
      <w:rFonts w:cs="Times New Roman"/>
    </w:rPr>
  </w:style>
  <w:style w:type="character" w:styleId="Hipersaitas">
    <w:name w:val="Hyperlink"/>
    <w:uiPriority w:val="99"/>
    <w:rsid w:val="000741D9"/>
    <w:rPr>
      <w:rFonts w:cs="Times New Roman"/>
      <w:color w:val="0000FF"/>
      <w:u w:val="single"/>
    </w:rPr>
  </w:style>
  <w:style w:type="character" w:customStyle="1" w:styleId="Antrat2Diagrama">
    <w:name w:val="Antraštė 2 Diagrama"/>
    <w:link w:val="Antrat2"/>
    <w:rsid w:val="00FB19EB"/>
    <w:rPr>
      <w:rFonts w:ascii="Cambria" w:eastAsia="Times New Roman" w:hAnsi="Cambria" w:cs="Times New Roman"/>
      <w:b/>
      <w:bCs/>
      <w:i/>
      <w:iCs/>
      <w:sz w:val="28"/>
      <w:szCs w:val="28"/>
    </w:rPr>
  </w:style>
  <w:style w:type="paragraph" w:customStyle="1" w:styleId="Preformatted">
    <w:name w:val="Preformatted"/>
    <w:basedOn w:val="prastasis"/>
    <w:rsid w:val="009B47E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lang w:eastAsia="en-US"/>
    </w:rPr>
  </w:style>
  <w:style w:type="paragraph" w:styleId="prastasiniatinklio">
    <w:name w:val="Normal (Web)"/>
    <w:basedOn w:val="prastasis"/>
    <w:uiPriority w:val="99"/>
    <w:unhideWhenUsed/>
    <w:rsid w:val="00010E02"/>
    <w:pPr>
      <w:jc w:val="both"/>
    </w:pPr>
    <w:rPr>
      <w:b/>
      <w:color w:val="FF0000"/>
      <w:lang w:eastAsia="en-US"/>
    </w:rPr>
  </w:style>
  <w:style w:type="paragraph" w:customStyle="1" w:styleId="BodyText1">
    <w:name w:val="Body Text1"/>
    <w:rsid w:val="00010E02"/>
    <w:pPr>
      <w:ind w:firstLine="312"/>
      <w:jc w:val="both"/>
    </w:pPr>
    <w:rPr>
      <w:rFonts w:ascii="TIMESLT" w:hAnsi="TIMESLT"/>
      <w:snapToGrid w:val="0"/>
      <w:lang w:val="en-US" w:eastAsia="en-US"/>
    </w:rPr>
  </w:style>
  <w:style w:type="paragraph" w:styleId="Pagrindinistekstas3">
    <w:name w:val="Body Text 3"/>
    <w:basedOn w:val="prastasis"/>
    <w:link w:val="Pagrindinistekstas3Diagrama"/>
    <w:uiPriority w:val="99"/>
    <w:semiHidden/>
    <w:unhideWhenUsed/>
    <w:rsid w:val="00883E1E"/>
    <w:pPr>
      <w:spacing w:after="120"/>
    </w:pPr>
    <w:rPr>
      <w:sz w:val="16"/>
      <w:szCs w:val="16"/>
      <w:lang w:val="x-none" w:eastAsia="x-none"/>
    </w:rPr>
  </w:style>
  <w:style w:type="character" w:customStyle="1" w:styleId="Pagrindinistekstas3Diagrama">
    <w:name w:val="Pagrindinis tekstas 3 Diagrama"/>
    <w:link w:val="Pagrindinistekstas3"/>
    <w:uiPriority w:val="99"/>
    <w:semiHidden/>
    <w:rsid w:val="00883E1E"/>
    <w:rPr>
      <w:sz w:val="16"/>
      <w:szCs w:val="16"/>
    </w:rPr>
  </w:style>
  <w:style w:type="paragraph" w:customStyle="1" w:styleId="patvirtinta">
    <w:name w:val="patvirtinta"/>
    <w:basedOn w:val="prastasis"/>
    <w:rsid w:val="006869F8"/>
    <w:pPr>
      <w:spacing w:before="100" w:beforeAutospacing="1" w:after="100" w:afterAutospacing="1"/>
      <w:jc w:val="left"/>
    </w:pPr>
  </w:style>
  <w:style w:type="paragraph" w:customStyle="1" w:styleId="Pataisymai1">
    <w:name w:val="Pataisymai1"/>
    <w:hidden/>
    <w:uiPriority w:val="99"/>
    <w:semiHidden/>
    <w:rsid w:val="000E31FC"/>
    <w:rPr>
      <w:sz w:val="24"/>
      <w:szCs w:val="24"/>
    </w:rPr>
  </w:style>
  <w:style w:type="paragraph" w:styleId="Sraopastraipa">
    <w:name w:val="List Paragraph"/>
    <w:basedOn w:val="prastasis"/>
    <w:uiPriority w:val="34"/>
    <w:qFormat/>
    <w:rsid w:val="00E717CA"/>
    <w:pPr>
      <w:suppressAutoHyphens/>
      <w:ind w:left="720"/>
      <w:contextualSpacing/>
      <w:jc w:val="lef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1990">
      <w:bodyDiv w:val="1"/>
      <w:marLeft w:val="0"/>
      <w:marRight w:val="0"/>
      <w:marTop w:val="0"/>
      <w:marBottom w:val="0"/>
      <w:divBdr>
        <w:top w:val="none" w:sz="0" w:space="0" w:color="auto"/>
        <w:left w:val="none" w:sz="0" w:space="0" w:color="auto"/>
        <w:bottom w:val="none" w:sz="0" w:space="0" w:color="auto"/>
        <w:right w:val="none" w:sz="0" w:space="0" w:color="auto"/>
      </w:divBdr>
    </w:div>
    <w:div w:id="1004362939">
      <w:bodyDiv w:val="1"/>
      <w:marLeft w:val="0"/>
      <w:marRight w:val="0"/>
      <w:marTop w:val="0"/>
      <w:marBottom w:val="0"/>
      <w:divBdr>
        <w:top w:val="none" w:sz="0" w:space="0" w:color="auto"/>
        <w:left w:val="none" w:sz="0" w:space="0" w:color="auto"/>
        <w:bottom w:val="none" w:sz="0" w:space="0" w:color="auto"/>
        <w:right w:val="none" w:sz="0" w:space="0" w:color="auto"/>
      </w:divBdr>
    </w:div>
    <w:div w:id="1278023053">
      <w:bodyDiv w:val="1"/>
      <w:marLeft w:val="0"/>
      <w:marRight w:val="0"/>
      <w:marTop w:val="0"/>
      <w:marBottom w:val="0"/>
      <w:divBdr>
        <w:top w:val="none" w:sz="0" w:space="0" w:color="auto"/>
        <w:left w:val="none" w:sz="0" w:space="0" w:color="auto"/>
        <w:bottom w:val="none" w:sz="0" w:space="0" w:color="auto"/>
        <w:right w:val="none" w:sz="0" w:space="0" w:color="auto"/>
      </w:divBdr>
    </w:div>
    <w:div w:id="1505584597">
      <w:marLeft w:val="0"/>
      <w:marRight w:val="0"/>
      <w:marTop w:val="0"/>
      <w:marBottom w:val="0"/>
      <w:divBdr>
        <w:top w:val="none" w:sz="0" w:space="0" w:color="auto"/>
        <w:left w:val="none" w:sz="0" w:space="0" w:color="auto"/>
        <w:bottom w:val="none" w:sz="0" w:space="0" w:color="auto"/>
        <w:right w:val="none" w:sz="0" w:space="0" w:color="auto"/>
      </w:divBdr>
    </w:div>
    <w:div w:id="1505584598">
      <w:marLeft w:val="0"/>
      <w:marRight w:val="0"/>
      <w:marTop w:val="0"/>
      <w:marBottom w:val="0"/>
      <w:divBdr>
        <w:top w:val="none" w:sz="0" w:space="0" w:color="auto"/>
        <w:left w:val="none" w:sz="0" w:space="0" w:color="auto"/>
        <w:bottom w:val="none" w:sz="0" w:space="0" w:color="auto"/>
        <w:right w:val="none" w:sz="0" w:space="0" w:color="auto"/>
      </w:divBdr>
    </w:div>
    <w:div w:id="1505584599">
      <w:marLeft w:val="0"/>
      <w:marRight w:val="0"/>
      <w:marTop w:val="0"/>
      <w:marBottom w:val="0"/>
      <w:divBdr>
        <w:top w:val="none" w:sz="0" w:space="0" w:color="auto"/>
        <w:left w:val="none" w:sz="0" w:space="0" w:color="auto"/>
        <w:bottom w:val="none" w:sz="0" w:space="0" w:color="auto"/>
        <w:right w:val="none" w:sz="0" w:space="0" w:color="auto"/>
      </w:divBdr>
    </w:div>
    <w:div w:id="1505584600">
      <w:marLeft w:val="0"/>
      <w:marRight w:val="0"/>
      <w:marTop w:val="0"/>
      <w:marBottom w:val="0"/>
      <w:divBdr>
        <w:top w:val="none" w:sz="0" w:space="0" w:color="auto"/>
        <w:left w:val="none" w:sz="0" w:space="0" w:color="auto"/>
        <w:bottom w:val="none" w:sz="0" w:space="0" w:color="auto"/>
        <w:right w:val="none" w:sz="0" w:space="0" w:color="auto"/>
      </w:divBdr>
    </w:div>
    <w:div w:id="1505584601">
      <w:marLeft w:val="0"/>
      <w:marRight w:val="0"/>
      <w:marTop w:val="0"/>
      <w:marBottom w:val="0"/>
      <w:divBdr>
        <w:top w:val="none" w:sz="0" w:space="0" w:color="auto"/>
        <w:left w:val="none" w:sz="0" w:space="0" w:color="auto"/>
        <w:bottom w:val="none" w:sz="0" w:space="0" w:color="auto"/>
        <w:right w:val="none" w:sz="0" w:space="0" w:color="auto"/>
      </w:divBdr>
    </w:div>
    <w:div w:id="1505584602">
      <w:marLeft w:val="0"/>
      <w:marRight w:val="0"/>
      <w:marTop w:val="0"/>
      <w:marBottom w:val="0"/>
      <w:divBdr>
        <w:top w:val="none" w:sz="0" w:space="0" w:color="auto"/>
        <w:left w:val="none" w:sz="0" w:space="0" w:color="auto"/>
        <w:bottom w:val="none" w:sz="0" w:space="0" w:color="auto"/>
        <w:right w:val="none" w:sz="0" w:space="0" w:color="auto"/>
      </w:divBdr>
    </w:div>
    <w:div w:id="1505584603">
      <w:marLeft w:val="0"/>
      <w:marRight w:val="0"/>
      <w:marTop w:val="0"/>
      <w:marBottom w:val="0"/>
      <w:divBdr>
        <w:top w:val="none" w:sz="0" w:space="0" w:color="auto"/>
        <w:left w:val="none" w:sz="0" w:space="0" w:color="auto"/>
        <w:bottom w:val="none" w:sz="0" w:space="0" w:color="auto"/>
        <w:right w:val="none" w:sz="0" w:space="0" w:color="auto"/>
      </w:divBdr>
    </w:div>
    <w:div w:id="1505584604">
      <w:marLeft w:val="0"/>
      <w:marRight w:val="0"/>
      <w:marTop w:val="0"/>
      <w:marBottom w:val="0"/>
      <w:divBdr>
        <w:top w:val="none" w:sz="0" w:space="0" w:color="auto"/>
        <w:left w:val="none" w:sz="0" w:space="0" w:color="auto"/>
        <w:bottom w:val="none" w:sz="0" w:space="0" w:color="auto"/>
        <w:right w:val="none" w:sz="0" w:space="0" w:color="auto"/>
      </w:divBdr>
    </w:div>
    <w:div w:id="1505584605">
      <w:marLeft w:val="0"/>
      <w:marRight w:val="0"/>
      <w:marTop w:val="0"/>
      <w:marBottom w:val="0"/>
      <w:divBdr>
        <w:top w:val="none" w:sz="0" w:space="0" w:color="auto"/>
        <w:left w:val="none" w:sz="0" w:space="0" w:color="auto"/>
        <w:bottom w:val="none" w:sz="0" w:space="0" w:color="auto"/>
        <w:right w:val="none" w:sz="0" w:space="0" w:color="auto"/>
      </w:divBdr>
    </w:div>
    <w:div w:id="1505584606">
      <w:marLeft w:val="225"/>
      <w:marRight w:val="225"/>
      <w:marTop w:val="0"/>
      <w:marBottom w:val="0"/>
      <w:divBdr>
        <w:top w:val="none" w:sz="0" w:space="0" w:color="auto"/>
        <w:left w:val="none" w:sz="0" w:space="0" w:color="auto"/>
        <w:bottom w:val="none" w:sz="0" w:space="0" w:color="auto"/>
        <w:right w:val="none" w:sz="0" w:space="0" w:color="auto"/>
      </w:divBdr>
      <w:divsChild>
        <w:div w:id="1505584607">
          <w:marLeft w:val="0"/>
          <w:marRight w:val="0"/>
          <w:marTop w:val="0"/>
          <w:marBottom w:val="0"/>
          <w:divBdr>
            <w:top w:val="none" w:sz="0" w:space="0" w:color="auto"/>
            <w:left w:val="none" w:sz="0" w:space="0" w:color="auto"/>
            <w:bottom w:val="none" w:sz="0" w:space="0" w:color="auto"/>
            <w:right w:val="none" w:sz="0" w:space="0" w:color="auto"/>
          </w:divBdr>
        </w:div>
      </w:divsChild>
    </w:div>
    <w:div w:id="1563321992">
      <w:bodyDiv w:val="1"/>
      <w:marLeft w:val="0"/>
      <w:marRight w:val="0"/>
      <w:marTop w:val="0"/>
      <w:marBottom w:val="0"/>
      <w:divBdr>
        <w:top w:val="none" w:sz="0" w:space="0" w:color="auto"/>
        <w:left w:val="none" w:sz="0" w:space="0" w:color="auto"/>
        <w:bottom w:val="none" w:sz="0" w:space="0" w:color="auto"/>
        <w:right w:val="none" w:sz="0" w:space="0" w:color="auto"/>
      </w:divBdr>
    </w:div>
    <w:div w:id="18344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00221-5647-4578-B80C-E6FF142494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668481-901E-4D90-BF05-C384870AEF19}">
  <ds:schemaRefs>
    <ds:schemaRef ds:uri="http://schemas.microsoft.com/sharepoint/v3/contenttype/forms"/>
  </ds:schemaRefs>
</ds:datastoreItem>
</file>

<file path=customXml/itemProps3.xml><?xml version="1.0" encoding="utf-8"?>
<ds:datastoreItem xmlns:ds="http://schemas.openxmlformats.org/officeDocument/2006/customXml" ds:itemID="{7B5DAFC2-6820-49E8-991E-8AB985B8B9B9}"/>
</file>

<file path=docProps/app.xml><?xml version="1.0" encoding="utf-8"?>
<Properties xmlns="http://schemas.openxmlformats.org/officeDocument/2006/extended-properties" xmlns:vt="http://schemas.openxmlformats.org/officeDocument/2006/docPropsVTypes">
  <Template>Normal</Template>
  <TotalTime>44</TotalTime>
  <Pages>5</Pages>
  <Words>8443</Words>
  <Characters>4813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f2c93f4c-250f-4ef7-b3fb-db42d14ee145</vt:lpstr>
      <vt:lpstr>Eilės Nr</vt:lpstr>
    </vt:vector>
  </TitlesOfParts>
  <Company>Ukio ministerija</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968fb7be-9a8b-472d-8886-463f84be91c6</dc:title>
  <dc:subject/>
  <dc:creator>Arūnas Alekna</dc:creator>
  <cp:keywords/>
  <cp:lastModifiedBy>Radėnienė Eglė</cp:lastModifiedBy>
  <cp:revision>33</cp:revision>
  <cp:lastPrinted>2019-01-23T09:38:00Z</cp:lastPrinted>
  <dcterms:created xsi:type="dcterms:W3CDTF">2019-01-17T15:18:00Z</dcterms:created>
  <dcterms:modified xsi:type="dcterms:W3CDTF">2019-01-23T10:02:00Z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