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F110C" w14:textId="77777777" w:rsidR="00D51A0A" w:rsidRPr="009372F3" w:rsidRDefault="00D51A0A" w:rsidP="00E662D6">
      <w:pPr>
        <w:pStyle w:val="Pavadinimas"/>
        <w:spacing w:line="240" w:lineRule="auto"/>
        <w:ind w:right="0"/>
      </w:pPr>
    </w:p>
    <w:p w14:paraId="296DEA21" w14:textId="77777777" w:rsidR="005A0AF4" w:rsidRPr="009372F3" w:rsidRDefault="005A0AF4" w:rsidP="00E662D6">
      <w:pPr>
        <w:pStyle w:val="Pavadinimas"/>
        <w:spacing w:line="240" w:lineRule="auto"/>
        <w:ind w:right="0"/>
      </w:pPr>
      <w:r w:rsidRPr="009372F3">
        <w:t>PAŽYMA</w:t>
      </w:r>
    </w:p>
    <w:p w14:paraId="78BBB5B2" w14:textId="77777777" w:rsidR="00D72B5F" w:rsidRPr="009372F3" w:rsidRDefault="00D72B5F" w:rsidP="00E662D6">
      <w:pPr>
        <w:pStyle w:val="Pavadinimas"/>
        <w:spacing w:line="240" w:lineRule="auto"/>
        <w:ind w:right="0"/>
      </w:pPr>
      <w:r w:rsidRPr="009372F3">
        <w:t xml:space="preserve">lIETUVOS rESPUBLIKOS POZICIJOS DĖL KLAUSIMŲ, SVARSTOMŲ </w:t>
      </w:r>
    </w:p>
    <w:p w14:paraId="54367954" w14:textId="0979393D" w:rsidR="00D72B5F" w:rsidRPr="009372F3" w:rsidRDefault="00D72B5F" w:rsidP="005A0AF4">
      <w:pPr>
        <w:pStyle w:val="Pavadinimas"/>
        <w:spacing w:line="240" w:lineRule="auto"/>
        <w:ind w:right="0"/>
        <w:rPr>
          <w:b w:val="0"/>
          <w:bCs w:val="0"/>
          <w:caps w:val="0"/>
        </w:rPr>
      </w:pPr>
      <w:r w:rsidRPr="009372F3">
        <w:t>201</w:t>
      </w:r>
      <w:r w:rsidR="005A0AF4" w:rsidRPr="009372F3">
        <w:t>9</w:t>
      </w:r>
      <w:r w:rsidRPr="009372F3">
        <w:t xml:space="preserve"> m. </w:t>
      </w:r>
      <w:r w:rsidR="00521BBF">
        <w:rPr>
          <w:lang w:eastAsia="lt-LT"/>
        </w:rPr>
        <w:t>gruodžio</w:t>
      </w:r>
      <w:r w:rsidR="001D0844">
        <w:rPr>
          <w:lang w:eastAsia="lt-LT"/>
        </w:rPr>
        <w:t xml:space="preserve"> </w:t>
      </w:r>
      <w:r w:rsidR="005A0AF4" w:rsidRPr="009372F3">
        <w:rPr>
          <w:lang w:eastAsia="lt-LT"/>
        </w:rPr>
        <w:t>1</w:t>
      </w:r>
      <w:r w:rsidR="00521BBF">
        <w:rPr>
          <w:lang w:eastAsia="lt-LT"/>
        </w:rPr>
        <w:t>6</w:t>
      </w:r>
      <w:r w:rsidR="00347A60">
        <w:rPr>
          <w:lang w:eastAsia="lt-LT"/>
        </w:rPr>
        <w:t>–</w:t>
      </w:r>
      <w:r w:rsidR="00521BBF">
        <w:rPr>
          <w:lang w:eastAsia="lt-LT"/>
        </w:rPr>
        <w:t>17</w:t>
      </w:r>
      <w:r w:rsidRPr="009372F3">
        <w:rPr>
          <w:lang w:eastAsia="lt-LT"/>
        </w:rPr>
        <w:t xml:space="preserve"> D. </w:t>
      </w:r>
      <w:r w:rsidRPr="009372F3">
        <w:t>ES TARYBOS</w:t>
      </w:r>
      <w:r w:rsidR="005A0AF4" w:rsidRPr="009372F3">
        <w:t xml:space="preserve"> </w:t>
      </w:r>
      <w:r w:rsidRPr="009372F3">
        <w:t>(ŽEMĖS ŪKIs IR ŽUVININKYSTĖ) POSĖDYJE</w:t>
      </w:r>
    </w:p>
    <w:p w14:paraId="48D97B89" w14:textId="77777777" w:rsidR="00D72B5F" w:rsidRPr="009372F3" w:rsidRDefault="00D72B5F" w:rsidP="00D72B5F">
      <w:pPr>
        <w:spacing w:line="120" w:lineRule="auto"/>
        <w:jc w:val="center"/>
      </w:pPr>
    </w:p>
    <w:p w14:paraId="5A64FF73" w14:textId="77777777" w:rsidR="00D72B5F" w:rsidRPr="009372F3" w:rsidRDefault="00D72B5F" w:rsidP="00D72B5F">
      <w:pPr>
        <w:ind w:firstLine="720"/>
        <w:jc w:val="both"/>
      </w:pPr>
    </w:p>
    <w:p w14:paraId="6FA8BFF5" w14:textId="77777777" w:rsidR="00D72B5F" w:rsidRDefault="00D72B5F" w:rsidP="00D72B5F">
      <w:pPr>
        <w:pStyle w:val="Default"/>
      </w:pPr>
    </w:p>
    <w:p w14:paraId="37D90A66" w14:textId="0A959B1A" w:rsidR="007046E6" w:rsidRDefault="007046E6" w:rsidP="00A3698B">
      <w:pPr>
        <w:pStyle w:val="Default"/>
        <w:ind w:firstLine="426"/>
      </w:pPr>
      <w:r>
        <w:t>Š</w:t>
      </w:r>
      <w:r w:rsidRPr="007046E6">
        <w:t xml:space="preserve">. m. </w:t>
      </w:r>
      <w:r w:rsidR="00521BBF">
        <w:t>gruodžio</w:t>
      </w:r>
      <w:r w:rsidRPr="007046E6">
        <w:t xml:space="preserve"> 1</w:t>
      </w:r>
      <w:r w:rsidR="00521BBF">
        <w:t>6</w:t>
      </w:r>
      <w:r w:rsidR="00347A60">
        <w:t>–</w:t>
      </w:r>
      <w:r w:rsidR="00521BBF">
        <w:t>17</w:t>
      </w:r>
      <w:r w:rsidRPr="007046E6">
        <w:t xml:space="preserve"> d. vyksiančio ES Tarybos (žemės ūkis ir žuvininkystė) posėdžio (toliau – ES Tarybos posėdis) preliminarioje darbotvarkėje numatyta svarstyti šiuos klausimus:</w:t>
      </w:r>
    </w:p>
    <w:p w14:paraId="1C70B037" w14:textId="77777777" w:rsidR="007046E6" w:rsidRPr="009372F3" w:rsidRDefault="007046E6" w:rsidP="00D72B5F">
      <w:pPr>
        <w:pStyle w:val="Default"/>
      </w:pPr>
    </w:p>
    <w:p w14:paraId="2A24FA8F" w14:textId="77777777" w:rsidR="00D72B5F" w:rsidRPr="009372F3" w:rsidRDefault="00D72B5F" w:rsidP="00D72B5F">
      <w:pPr>
        <w:pStyle w:val="Default"/>
        <w:rPr>
          <w:b/>
          <w:u w:val="single"/>
        </w:rPr>
      </w:pPr>
      <w:r w:rsidRPr="009372F3">
        <w:rPr>
          <w:b/>
          <w:u w:val="single"/>
        </w:rPr>
        <w:t xml:space="preserve">ŽEMĖS ŪKIS </w:t>
      </w:r>
    </w:p>
    <w:p w14:paraId="67AD0BD9" w14:textId="77777777" w:rsidR="00D72B5F" w:rsidRPr="009372F3" w:rsidRDefault="00D72B5F" w:rsidP="00D72B5F">
      <w:pPr>
        <w:pStyle w:val="Default"/>
        <w:rPr>
          <w:u w:val="single"/>
        </w:rPr>
      </w:pPr>
    </w:p>
    <w:p w14:paraId="74AC841B" w14:textId="764A0235" w:rsidR="00D72B5F" w:rsidRDefault="00C05A9C" w:rsidP="00C05A9C">
      <w:pPr>
        <w:pStyle w:val="Default"/>
        <w:rPr>
          <w:bCs/>
        </w:rPr>
      </w:pPr>
      <w:r w:rsidRPr="00C05A9C">
        <w:rPr>
          <w:bCs/>
        </w:rPr>
        <w:t>1.</w:t>
      </w:r>
      <w:r>
        <w:rPr>
          <w:bCs/>
        </w:rPr>
        <w:t xml:space="preserve"> </w:t>
      </w:r>
      <w:r w:rsidRPr="00C05A9C">
        <w:rPr>
          <w:bCs/>
        </w:rPr>
        <w:t>BŽŪP reforma po 2020 m.</w:t>
      </w:r>
    </w:p>
    <w:p w14:paraId="1487F87B" w14:textId="60C9D7E0" w:rsidR="00216E58" w:rsidRPr="00216E58" w:rsidRDefault="00216E58" w:rsidP="00216E58">
      <w:pPr>
        <w:pStyle w:val="Default"/>
        <w:rPr>
          <w:bCs/>
        </w:rPr>
      </w:pPr>
      <w:r w:rsidRPr="00216E58">
        <w:rPr>
          <w:bCs/>
        </w:rPr>
        <w:t>a)</w:t>
      </w:r>
      <w:r>
        <w:rPr>
          <w:bCs/>
        </w:rPr>
        <w:t xml:space="preserve"> </w:t>
      </w:r>
      <w:r w:rsidRPr="00216E58">
        <w:rPr>
          <w:bCs/>
        </w:rPr>
        <w:t>Reglamentas dėl BŽŪP strateginių planų</w:t>
      </w:r>
    </w:p>
    <w:p w14:paraId="3F544C71" w14:textId="4B61AE22" w:rsidR="00216E58" w:rsidRPr="00216E58" w:rsidRDefault="00216E58" w:rsidP="00216E58">
      <w:pPr>
        <w:pStyle w:val="Default"/>
        <w:rPr>
          <w:bCs/>
        </w:rPr>
      </w:pPr>
      <w:r w:rsidRPr="00216E58">
        <w:rPr>
          <w:bCs/>
        </w:rPr>
        <w:t>b)</w:t>
      </w:r>
      <w:r>
        <w:rPr>
          <w:bCs/>
        </w:rPr>
        <w:t xml:space="preserve"> </w:t>
      </w:r>
      <w:r w:rsidRPr="00216E58">
        <w:rPr>
          <w:bCs/>
        </w:rPr>
        <w:t>Reglamentas dėl BŽŪP finansavimo, valdymo ir stebėsenos</w:t>
      </w:r>
    </w:p>
    <w:p w14:paraId="1043AE02" w14:textId="6085DDA8" w:rsidR="00216E58" w:rsidRDefault="00216E58" w:rsidP="00216E58">
      <w:pPr>
        <w:pStyle w:val="Default"/>
        <w:rPr>
          <w:bCs/>
        </w:rPr>
      </w:pPr>
      <w:r w:rsidRPr="00216E58">
        <w:rPr>
          <w:bCs/>
        </w:rPr>
        <w:t>c)</w:t>
      </w:r>
      <w:r>
        <w:rPr>
          <w:bCs/>
        </w:rPr>
        <w:t xml:space="preserve"> </w:t>
      </w:r>
      <w:r w:rsidRPr="00216E58">
        <w:rPr>
          <w:bCs/>
        </w:rPr>
        <w:t>Reglamentas dėl bendro žemės ūkio produktų rinkos organizavimo (BRO</w:t>
      </w:r>
      <w:r w:rsidR="004F70E5">
        <w:rPr>
          <w:bCs/>
        </w:rPr>
        <w:t>)</w:t>
      </w:r>
    </w:p>
    <w:p w14:paraId="7C1F1C42" w14:textId="508C0D1B" w:rsidR="002B4729" w:rsidRDefault="002B4729" w:rsidP="00C05A9C">
      <w:pPr>
        <w:pStyle w:val="Default"/>
        <w:rPr>
          <w:bCs/>
        </w:rPr>
      </w:pPr>
    </w:p>
    <w:p w14:paraId="27DFABD6" w14:textId="44FDCAA0" w:rsidR="002B4729" w:rsidRPr="002B4729" w:rsidRDefault="002B4729" w:rsidP="00C05A9C">
      <w:pPr>
        <w:pStyle w:val="Default"/>
        <w:rPr>
          <w:b/>
          <w:bCs/>
          <w:u w:val="single"/>
        </w:rPr>
      </w:pPr>
      <w:r w:rsidRPr="002B4729">
        <w:rPr>
          <w:b/>
          <w:bCs/>
          <w:u w:val="single"/>
        </w:rPr>
        <w:t>ŽUVININKYSTĖ</w:t>
      </w:r>
    </w:p>
    <w:p w14:paraId="6CC046E7" w14:textId="77777777" w:rsidR="00215DAC" w:rsidRPr="009372F3" w:rsidRDefault="00215DAC" w:rsidP="00C05A9C">
      <w:pPr>
        <w:pStyle w:val="Default"/>
        <w:rPr>
          <w:b/>
        </w:rPr>
      </w:pPr>
    </w:p>
    <w:p w14:paraId="276D07DA" w14:textId="6CF6DA9C" w:rsidR="00147E7C" w:rsidRDefault="00C05A9C" w:rsidP="00C05A9C">
      <w:pPr>
        <w:pStyle w:val="Default"/>
      </w:pPr>
      <w:r w:rsidRPr="00C05A9C">
        <w:t xml:space="preserve">2. </w:t>
      </w:r>
      <w:r w:rsidR="0082481F" w:rsidRPr="0082481F">
        <w:t>(</w:t>
      </w:r>
      <w:r w:rsidR="0082481F">
        <w:t>G</w:t>
      </w:r>
      <w:r w:rsidR="0082481F" w:rsidRPr="0082481F">
        <w:t>alimas) Reglamentas, kuriuo dėl Baltijos jūros rytinių menkių keičiami Reglamentas (ES) Nr. 2016/1139 ir Reglamentas (ES) Nr. 508/2014</w:t>
      </w:r>
    </w:p>
    <w:p w14:paraId="37448EB2" w14:textId="77777777" w:rsidR="004F70E5" w:rsidRDefault="004F70E5" w:rsidP="00C05A9C">
      <w:pPr>
        <w:pStyle w:val="Default"/>
      </w:pPr>
    </w:p>
    <w:p w14:paraId="163B108C" w14:textId="64057B36" w:rsidR="004F70E5" w:rsidRDefault="004F70E5" w:rsidP="00C05A9C">
      <w:pPr>
        <w:pStyle w:val="Default"/>
      </w:pPr>
      <w:r>
        <w:t>3.</w:t>
      </w:r>
      <w:r w:rsidR="0082481F" w:rsidRPr="0082481F">
        <w:t xml:space="preserve"> Tarybos reglamentas dėl Atlanto ir Šiaurės jūros bendrų leidžiamų sugauti kiekių (BLSK) ir kvotų 2020 m.</w:t>
      </w:r>
    </w:p>
    <w:p w14:paraId="49AD56AC" w14:textId="77777777" w:rsidR="004F70E5" w:rsidRDefault="004F70E5" w:rsidP="00C05A9C">
      <w:pPr>
        <w:pStyle w:val="Default"/>
      </w:pPr>
    </w:p>
    <w:p w14:paraId="388608B4" w14:textId="737D8548" w:rsidR="004F70E5" w:rsidRDefault="004F70E5" w:rsidP="00C05A9C">
      <w:pPr>
        <w:pStyle w:val="Default"/>
      </w:pPr>
      <w:r>
        <w:t>4.</w:t>
      </w:r>
      <w:r w:rsidR="0082481F" w:rsidRPr="0082481F">
        <w:t xml:space="preserve"> Tarybos reglamentas, nustatantis 2020 m. žvejybos galimybes Viduržemio ir Juodojoje jūrose</w:t>
      </w:r>
    </w:p>
    <w:p w14:paraId="36418222" w14:textId="0A2A32B7" w:rsidR="00216E58" w:rsidRDefault="00216E58" w:rsidP="00C05A9C">
      <w:pPr>
        <w:pStyle w:val="Default"/>
      </w:pPr>
    </w:p>
    <w:p w14:paraId="0FE83A39" w14:textId="24615323" w:rsidR="00216E58" w:rsidRPr="00CF6336" w:rsidRDefault="00216E58" w:rsidP="00C05A9C">
      <w:pPr>
        <w:pStyle w:val="Default"/>
        <w:rPr>
          <w:u w:val="single"/>
        </w:rPr>
      </w:pPr>
      <w:r w:rsidRPr="00CF6336">
        <w:rPr>
          <w:u w:val="single"/>
        </w:rPr>
        <w:t>Kiti klausimai</w:t>
      </w:r>
    </w:p>
    <w:p w14:paraId="44BF2016" w14:textId="77777777" w:rsidR="004F70E5" w:rsidRPr="00C05A9C" w:rsidRDefault="004F70E5" w:rsidP="00C05A9C">
      <w:pPr>
        <w:pStyle w:val="Default"/>
        <w:rPr>
          <w:i/>
          <w:iCs/>
        </w:rPr>
      </w:pPr>
    </w:p>
    <w:p w14:paraId="1CD2FA75" w14:textId="4E6D11AF" w:rsidR="004D1BD6" w:rsidRPr="004F70E5" w:rsidRDefault="004F70E5" w:rsidP="00345667">
      <w:pPr>
        <w:rPr>
          <w:bCs/>
        </w:rPr>
      </w:pPr>
      <w:r w:rsidRPr="004F70E5">
        <w:rPr>
          <w:bCs/>
        </w:rPr>
        <w:t>5.</w:t>
      </w:r>
      <w:r w:rsidRPr="004F70E5">
        <w:t xml:space="preserve"> </w:t>
      </w:r>
      <w:r w:rsidRPr="004F70E5">
        <w:rPr>
          <w:bCs/>
        </w:rPr>
        <w:t xml:space="preserve">Išvados dėl atnaujintos ES </w:t>
      </w:r>
      <w:proofErr w:type="spellStart"/>
      <w:r w:rsidR="00A91C43">
        <w:rPr>
          <w:bCs/>
        </w:rPr>
        <w:t>B</w:t>
      </w:r>
      <w:r w:rsidRPr="004F70E5">
        <w:rPr>
          <w:bCs/>
        </w:rPr>
        <w:t>ioekonomikos</w:t>
      </w:r>
      <w:proofErr w:type="spellEnd"/>
      <w:r w:rsidRPr="004F70E5">
        <w:rPr>
          <w:bCs/>
        </w:rPr>
        <w:t xml:space="preserve"> strategijos</w:t>
      </w:r>
    </w:p>
    <w:p w14:paraId="0A4E3B6A" w14:textId="77777777" w:rsidR="00216E58" w:rsidRPr="009372F3" w:rsidRDefault="00216E58" w:rsidP="00345667">
      <w:pPr>
        <w:rPr>
          <w:b/>
          <w:bCs/>
          <w:sz w:val="28"/>
          <w:szCs w:val="28"/>
        </w:rPr>
      </w:pPr>
    </w:p>
    <w:p w14:paraId="64DF202F" w14:textId="77777777" w:rsidR="006D5593" w:rsidRDefault="007046E6" w:rsidP="007046E6">
      <w:pPr>
        <w:spacing w:line="360" w:lineRule="auto"/>
      </w:pPr>
      <w:r w:rsidRPr="007046E6">
        <w:t>Teikiame preliminarias Lietuvos Respublikos pozicijas ES Tarybos posėdžiui:</w:t>
      </w:r>
    </w:p>
    <w:p w14:paraId="59D81E93" w14:textId="5A08AB2E" w:rsidR="00504910" w:rsidRPr="00573E6A" w:rsidRDefault="004821A0" w:rsidP="00504910">
      <w:pPr>
        <w:spacing w:before="120"/>
        <w:rPr>
          <w:b/>
          <w:bCs/>
        </w:rPr>
      </w:pPr>
      <w:r w:rsidRPr="004821A0">
        <w:rPr>
          <w:b/>
        </w:rPr>
        <w:t xml:space="preserve">1. </w:t>
      </w:r>
      <w:r w:rsidR="00504910" w:rsidRPr="00573E6A">
        <w:rPr>
          <w:b/>
          <w:bCs/>
        </w:rPr>
        <w:t>Dokumentų dėl BŽŪP reformos po 2020 m. rinkinys</w:t>
      </w:r>
    </w:p>
    <w:p w14:paraId="5319D268" w14:textId="77777777" w:rsidR="00504910" w:rsidRPr="00573E6A" w:rsidRDefault="00504910" w:rsidP="00504910">
      <w:pPr>
        <w:tabs>
          <w:tab w:val="left" w:pos="284"/>
        </w:tabs>
        <w:rPr>
          <w:b/>
          <w:bCs/>
        </w:rPr>
      </w:pPr>
      <w:r w:rsidRPr="00573E6A">
        <w:rPr>
          <w:b/>
        </w:rPr>
        <w:t>a</w:t>
      </w:r>
      <w:r w:rsidRPr="00573E6A">
        <w:rPr>
          <w:b/>
          <w:bCs/>
        </w:rPr>
        <w:t>)</w:t>
      </w:r>
      <w:r w:rsidRPr="00573E6A">
        <w:rPr>
          <w:b/>
          <w:bCs/>
        </w:rPr>
        <w:tab/>
        <w:t>Reglamentas dėl BŽŪP strateginių planų</w:t>
      </w:r>
    </w:p>
    <w:p w14:paraId="20A9B3EE" w14:textId="77777777" w:rsidR="00504910" w:rsidRPr="00573E6A" w:rsidRDefault="00504910" w:rsidP="00504910">
      <w:pPr>
        <w:tabs>
          <w:tab w:val="left" w:pos="284"/>
        </w:tabs>
        <w:ind w:left="567" w:hanging="567"/>
        <w:rPr>
          <w:b/>
          <w:bCs/>
        </w:rPr>
      </w:pPr>
      <w:r w:rsidRPr="00573E6A">
        <w:rPr>
          <w:b/>
          <w:bCs/>
        </w:rPr>
        <w:t>b)</w:t>
      </w:r>
      <w:r w:rsidRPr="00573E6A">
        <w:rPr>
          <w:b/>
          <w:bCs/>
        </w:rPr>
        <w:tab/>
        <w:t>Reglamentas dėl BŽŪP finansavimo, valdymo ir stebėsenos</w:t>
      </w:r>
    </w:p>
    <w:p w14:paraId="29686444" w14:textId="0DF66039" w:rsidR="00504910" w:rsidRPr="00573E6A" w:rsidRDefault="00504910" w:rsidP="00504910">
      <w:pPr>
        <w:tabs>
          <w:tab w:val="left" w:pos="284"/>
        </w:tabs>
        <w:ind w:left="567" w:hanging="567"/>
        <w:rPr>
          <w:b/>
          <w:bCs/>
        </w:rPr>
      </w:pPr>
      <w:r w:rsidRPr="00573E6A">
        <w:rPr>
          <w:b/>
          <w:bCs/>
        </w:rPr>
        <w:t>c)</w:t>
      </w:r>
      <w:r w:rsidRPr="00573E6A">
        <w:rPr>
          <w:b/>
          <w:bCs/>
        </w:rPr>
        <w:tab/>
        <w:t xml:space="preserve">Reglamentas dėl žemės ūkio produktų bendro rinkos organizavimo </w:t>
      </w:r>
    </w:p>
    <w:p w14:paraId="24DB3E06" w14:textId="77777777" w:rsidR="00504910" w:rsidRDefault="00504910" w:rsidP="00504910">
      <w:pPr>
        <w:ind w:firstLine="426"/>
        <w:rPr>
          <w:bCs/>
          <w:i/>
          <w:iCs/>
        </w:rPr>
      </w:pPr>
      <w:r w:rsidRPr="004F1E3C">
        <w:rPr>
          <w:bCs/>
          <w:i/>
          <w:iCs/>
        </w:rPr>
        <w:t>- Pažangos ataskaita</w:t>
      </w:r>
    </w:p>
    <w:p w14:paraId="09E7444D" w14:textId="199BED96" w:rsidR="00504910" w:rsidRPr="004F1E3C" w:rsidRDefault="00504910" w:rsidP="00504910">
      <w:pPr>
        <w:ind w:firstLine="426"/>
        <w:rPr>
          <w:bCs/>
        </w:rPr>
      </w:pPr>
      <w:r>
        <w:rPr>
          <w:bCs/>
          <w:i/>
          <w:iCs/>
        </w:rPr>
        <w:t>- Pasikeitimas nuomonėmis</w:t>
      </w:r>
    </w:p>
    <w:p w14:paraId="489B2448" w14:textId="605FE4C4" w:rsidR="004821A0" w:rsidRPr="004821A0" w:rsidRDefault="004821A0" w:rsidP="004821A0">
      <w:pPr>
        <w:spacing w:line="360" w:lineRule="auto"/>
        <w:rPr>
          <w:i/>
        </w:rPr>
      </w:pPr>
    </w:p>
    <w:p w14:paraId="07ABBFFC" w14:textId="77777777" w:rsidR="0082481F" w:rsidRPr="00385D92" w:rsidRDefault="0082481F" w:rsidP="0082481F">
      <w:pPr>
        <w:spacing w:line="360" w:lineRule="auto"/>
        <w:ind w:firstLine="425"/>
        <w:contextualSpacing/>
        <w:jc w:val="both"/>
      </w:pPr>
      <w:r w:rsidRPr="00385D92">
        <w:t>2018 m. birželio 1 d. Europos Komisija (EK) paskelbė teisės aktų pasiūlymų dėl Bendrosios žemės ūkio politikos (BŽŪP) po 2020 m. rinkinį, kurį sudaro šie pagrindiniai reglamentai:</w:t>
      </w:r>
    </w:p>
    <w:p w14:paraId="62F0E509" w14:textId="77777777" w:rsidR="0082481F" w:rsidRPr="00385D92" w:rsidRDefault="0082481F" w:rsidP="0082481F">
      <w:pPr>
        <w:numPr>
          <w:ilvl w:val="0"/>
          <w:numId w:val="10"/>
        </w:numPr>
        <w:tabs>
          <w:tab w:val="left" w:pos="567"/>
        </w:tabs>
        <w:spacing w:line="360" w:lineRule="auto"/>
        <w:ind w:left="0" w:firstLine="425"/>
        <w:contextualSpacing/>
        <w:jc w:val="both"/>
      </w:pPr>
      <w:bookmarkStart w:id="0" w:name="_Hlk20989895"/>
      <w:r w:rsidRPr="00385D92">
        <w:t xml:space="preserve">Reglamentas dėl BŽŪP strateginių planų </w:t>
      </w:r>
      <w:bookmarkEnd w:id="0"/>
      <w:r w:rsidRPr="00385D92">
        <w:t>(apima tiesiogines išmokas, kaimo plėtrą ir sektorines programas);</w:t>
      </w:r>
    </w:p>
    <w:p w14:paraId="4E8F76D7" w14:textId="77777777" w:rsidR="0082481F" w:rsidRPr="00385D92" w:rsidRDefault="0082481F" w:rsidP="0082481F">
      <w:pPr>
        <w:numPr>
          <w:ilvl w:val="0"/>
          <w:numId w:val="10"/>
        </w:numPr>
        <w:tabs>
          <w:tab w:val="left" w:pos="567"/>
        </w:tabs>
        <w:spacing w:line="360" w:lineRule="auto"/>
        <w:ind w:left="0" w:firstLine="425"/>
        <w:contextualSpacing/>
        <w:jc w:val="both"/>
      </w:pPr>
      <w:r w:rsidRPr="00385D92">
        <w:t>Reglamentas dėl BŽŪP finansavimo, valdymo ir stebėsenos (Horizontalus reglamentas);</w:t>
      </w:r>
    </w:p>
    <w:p w14:paraId="70CEF782" w14:textId="77777777" w:rsidR="0082481F" w:rsidRPr="00385D92" w:rsidRDefault="0082481F" w:rsidP="0082481F">
      <w:pPr>
        <w:numPr>
          <w:ilvl w:val="0"/>
          <w:numId w:val="10"/>
        </w:numPr>
        <w:tabs>
          <w:tab w:val="left" w:pos="567"/>
        </w:tabs>
        <w:spacing w:line="360" w:lineRule="auto"/>
        <w:ind w:left="0" w:firstLine="425"/>
        <w:contextualSpacing/>
        <w:jc w:val="both"/>
      </w:pPr>
      <w:r w:rsidRPr="00385D92">
        <w:t>Bendrosios rinkos organizavimo reglamentas (dabartinio BRO reglamento Nr. 1308/2013 ir kitų reglamentų keitimas).</w:t>
      </w:r>
    </w:p>
    <w:p w14:paraId="4EFA3B86" w14:textId="77777777" w:rsidR="0082481F" w:rsidRPr="00385D92" w:rsidRDefault="0082481F" w:rsidP="0082481F">
      <w:pPr>
        <w:spacing w:line="360" w:lineRule="auto"/>
        <w:ind w:firstLine="425"/>
        <w:contextualSpacing/>
        <w:jc w:val="both"/>
      </w:pPr>
      <w:r w:rsidRPr="00385D92">
        <w:rPr>
          <w:lang w:bidi="lt-LT"/>
        </w:rPr>
        <w:t>BŽŪP po 2020 m</w:t>
      </w:r>
      <w:bookmarkStart w:id="1" w:name="_Hlk15567609"/>
      <w:r w:rsidRPr="00385D92">
        <w:rPr>
          <w:lang w:bidi="lt-LT"/>
        </w:rPr>
        <w:t xml:space="preserve">. </w:t>
      </w:r>
      <w:r w:rsidRPr="00385D92">
        <w:t xml:space="preserve"> reglamentų pasiūlymų detalus nagrinėjimas, taip pat </w:t>
      </w:r>
      <w:bookmarkEnd w:id="1"/>
      <w:r w:rsidRPr="00385D92">
        <w:t xml:space="preserve">politinės diskusijos dėl esminių naujosios BŽŪP elementų ir nuostatų vyko </w:t>
      </w:r>
      <w:r w:rsidRPr="00385D92">
        <w:rPr>
          <w:lang w:bidi="lt-LT"/>
        </w:rPr>
        <w:t xml:space="preserve">2018 m. II pusmetį pirmininkaujant Austrijai, </w:t>
      </w:r>
      <w:r w:rsidRPr="00385D92">
        <w:t>2019 m. I pusmetį</w:t>
      </w:r>
      <w:r w:rsidRPr="00385D92">
        <w:rPr>
          <w:lang w:bidi="lt-LT"/>
        </w:rPr>
        <w:t xml:space="preserve"> pirmininkaujant</w:t>
      </w:r>
      <w:r w:rsidRPr="00385D92">
        <w:t xml:space="preserve"> Rumunijai ir toliau buvo tęsiamos 2019 m. II  pusmetį pirmininkaujant Suomijai. </w:t>
      </w:r>
    </w:p>
    <w:p w14:paraId="70CA62E9" w14:textId="69C5BE9E" w:rsidR="0082481F" w:rsidRPr="00385D92" w:rsidRDefault="0082481F" w:rsidP="0082481F">
      <w:pPr>
        <w:pStyle w:val="Betarp"/>
        <w:spacing w:line="360" w:lineRule="auto"/>
        <w:ind w:firstLine="426"/>
        <w:rPr>
          <w:i/>
          <w:szCs w:val="24"/>
          <w:u w:val="single"/>
        </w:rPr>
      </w:pPr>
      <w:r w:rsidRPr="00385D92">
        <w:rPr>
          <w:szCs w:val="24"/>
        </w:rPr>
        <w:lastRenderedPageBreak/>
        <w:t xml:space="preserve">Suomijos pirmininkavimo metu pagrindinės diskusijos vyko dėl </w:t>
      </w:r>
      <w:bookmarkStart w:id="2" w:name="_Hlk20992506"/>
      <w:r w:rsidRPr="00385D92">
        <w:rPr>
          <w:szCs w:val="24"/>
        </w:rPr>
        <w:t xml:space="preserve">su aplinkosauga ir klimato kaita susijusių aspektų, finansinio </w:t>
      </w:r>
      <w:r>
        <w:rPr>
          <w:szCs w:val="24"/>
        </w:rPr>
        <w:t xml:space="preserve">planavimo </w:t>
      </w:r>
      <w:r w:rsidRPr="00385D92">
        <w:rPr>
          <w:szCs w:val="24"/>
        </w:rPr>
        <w:t>lankstumo taik</w:t>
      </w:r>
      <w:r>
        <w:rPr>
          <w:szCs w:val="24"/>
        </w:rPr>
        <w:t>ymo galimybių</w:t>
      </w:r>
      <w:r w:rsidR="00831133">
        <w:rPr>
          <w:szCs w:val="24"/>
        </w:rPr>
        <w:t>,</w:t>
      </w:r>
      <w:r>
        <w:rPr>
          <w:szCs w:val="24"/>
        </w:rPr>
        <w:t xml:space="preserve"> siekiant išvengti nepanaudotų lėšų</w:t>
      </w:r>
      <w:r w:rsidRPr="00385D92">
        <w:rPr>
          <w:szCs w:val="24"/>
        </w:rPr>
        <w:t xml:space="preserve">, </w:t>
      </w:r>
      <w:r>
        <w:rPr>
          <w:szCs w:val="24"/>
        </w:rPr>
        <w:t xml:space="preserve">dėl </w:t>
      </w:r>
      <w:r w:rsidRPr="00385D92">
        <w:rPr>
          <w:bCs/>
          <w:szCs w:val="24"/>
        </w:rPr>
        <w:t xml:space="preserve">būtinųjų sąlygų paramai gauti bei su tuo susijusios </w:t>
      </w:r>
      <w:r w:rsidRPr="00385D92">
        <w:rPr>
          <w:szCs w:val="24"/>
        </w:rPr>
        <w:t xml:space="preserve"> kontrolės ir sankcijų sistemos, kaimo plėtros bei sektorinių intervencinių priemonių, naujojo BŽŪP įgyvendinimo modelio funkcionavimo mechanizmo</w:t>
      </w:r>
      <w:r w:rsidR="00831133">
        <w:rPr>
          <w:szCs w:val="24"/>
        </w:rPr>
        <w:t>,</w:t>
      </w:r>
      <w:r w:rsidRPr="00385D92">
        <w:rPr>
          <w:szCs w:val="24"/>
        </w:rPr>
        <w:t xml:space="preserve"> pereinant prie rezultatais grindžiamos politikos.</w:t>
      </w:r>
    </w:p>
    <w:bookmarkEnd w:id="2"/>
    <w:p w14:paraId="1F417FAE" w14:textId="1D2412FE" w:rsidR="0082481F" w:rsidRDefault="0082481F" w:rsidP="0082481F">
      <w:pPr>
        <w:spacing w:line="360" w:lineRule="auto"/>
        <w:ind w:firstLine="426"/>
        <w:contextualSpacing/>
        <w:jc w:val="both"/>
        <w:rPr>
          <w:bCs/>
        </w:rPr>
      </w:pPr>
      <w:r w:rsidRPr="00385D92">
        <w:rPr>
          <w:bCs/>
        </w:rPr>
        <w:t xml:space="preserve">ES Tarybos posėdyje </w:t>
      </w:r>
      <w:r w:rsidR="00347A60">
        <w:rPr>
          <w:bCs/>
        </w:rPr>
        <w:t>p</w:t>
      </w:r>
      <w:r w:rsidRPr="00385D92">
        <w:rPr>
          <w:bCs/>
        </w:rPr>
        <w:t>irmininkaujan</w:t>
      </w:r>
      <w:r w:rsidR="007A087C">
        <w:rPr>
          <w:bCs/>
        </w:rPr>
        <w:t>čioji</w:t>
      </w:r>
      <w:r w:rsidRPr="00385D92">
        <w:rPr>
          <w:bCs/>
        </w:rPr>
        <w:t xml:space="preserve"> Suomija ketina pateikti ataskaitą apie  savo nuveiktus darbus ir pasiektą pažangą diskusijose dėl BŽŪP reformos dokumentų rinkinio</w:t>
      </w:r>
      <w:r w:rsidR="009D1811">
        <w:rPr>
          <w:bCs/>
        </w:rPr>
        <w:t>, b</w:t>
      </w:r>
      <w:r w:rsidRPr="00385D92">
        <w:rPr>
          <w:bCs/>
        </w:rPr>
        <w:t xml:space="preserve">e to, </w:t>
      </w:r>
      <w:r w:rsidR="00347A60">
        <w:rPr>
          <w:bCs/>
        </w:rPr>
        <w:t>p</w:t>
      </w:r>
      <w:r w:rsidRPr="00385D92">
        <w:rPr>
          <w:bCs/>
        </w:rPr>
        <w:t>irmininkaujan</w:t>
      </w:r>
      <w:r w:rsidR="007A087C">
        <w:rPr>
          <w:bCs/>
        </w:rPr>
        <w:t>čioji</w:t>
      </w:r>
      <w:r w:rsidRPr="00385D92">
        <w:rPr>
          <w:bCs/>
        </w:rPr>
        <w:t xml:space="preserve"> valstybė</w:t>
      </w:r>
      <w:r w:rsidR="009D1811">
        <w:rPr>
          <w:bCs/>
        </w:rPr>
        <w:t xml:space="preserve"> narė</w:t>
      </w:r>
      <w:r w:rsidRPr="00385D92">
        <w:rPr>
          <w:bCs/>
        </w:rPr>
        <w:t xml:space="preserve">, atsižvelgdama į pasiektą pažangą, numato pateikti atnaujintus </w:t>
      </w:r>
      <w:r>
        <w:rPr>
          <w:bCs/>
        </w:rPr>
        <w:t xml:space="preserve">konsoliduotus </w:t>
      </w:r>
      <w:r w:rsidRPr="00385D92">
        <w:rPr>
          <w:bCs/>
        </w:rPr>
        <w:t>pasiūlymus dėl visų trijų BŽŪP teisės aktų projektų</w:t>
      </w:r>
      <w:r>
        <w:rPr>
          <w:bCs/>
        </w:rPr>
        <w:t>.</w:t>
      </w:r>
      <w:r w:rsidRPr="00385D92">
        <w:rPr>
          <w:bCs/>
        </w:rPr>
        <w:t xml:space="preserve"> </w:t>
      </w:r>
    </w:p>
    <w:p w14:paraId="2F667E47" w14:textId="77777777" w:rsidR="009D1811" w:rsidRDefault="0082481F" w:rsidP="0082481F">
      <w:pPr>
        <w:spacing w:line="360" w:lineRule="auto"/>
        <w:ind w:firstLine="426"/>
        <w:contextualSpacing/>
        <w:jc w:val="both"/>
      </w:pPr>
      <w:r w:rsidRPr="002178C8">
        <w:t xml:space="preserve">Tikėtina, kad valstybių narių bus prašoma pasikeisti nuomonėmis dėl pasiektos pažangos  dėl esminių BŽŪP reformos dokumentų rinkinio elementų. </w:t>
      </w:r>
    </w:p>
    <w:p w14:paraId="2ECBF394" w14:textId="1A4E5884" w:rsidR="0082481F" w:rsidRPr="00385D92" w:rsidRDefault="0082481F" w:rsidP="0082481F">
      <w:pPr>
        <w:spacing w:line="360" w:lineRule="auto"/>
        <w:ind w:firstLine="426"/>
        <w:contextualSpacing/>
        <w:jc w:val="both"/>
        <w:rPr>
          <w:b/>
          <w:color w:val="FF0000"/>
          <w:u w:val="single"/>
        </w:rPr>
      </w:pPr>
      <w:r w:rsidRPr="002178C8">
        <w:t>ES Taryb</w:t>
      </w:r>
      <w:r w:rsidR="009D1811">
        <w:t>os posėdžiui</w:t>
      </w:r>
      <w:r w:rsidRPr="002178C8">
        <w:t xml:space="preserve"> skirtas dokumentas </w:t>
      </w:r>
      <w:r w:rsidR="009D1811">
        <w:t xml:space="preserve">dar </w:t>
      </w:r>
      <w:r w:rsidRPr="002178C8">
        <w:t>negautas.</w:t>
      </w:r>
    </w:p>
    <w:p w14:paraId="783478DE" w14:textId="77777777" w:rsidR="0082481F" w:rsidRDefault="0082481F" w:rsidP="0082481F">
      <w:pPr>
        <w:spacing w:line="360" w:lineRule="auto"/>
        <w:jc w:val="both"/>
        <w:rPr>
          <w:b/>
          <w:u w:val="single"/>
        </w:rPr>
      </w:pPr>
    </w:p>
    <w:p w14:paraId="6490393F" w14:textId="60A6C084" w:rsidR="0082481F" w:rsidRPr="00AF4F9D" w:rsidRDefault="0082481F" w:rsidP="00B370E0">
      <w:pPr>
        <w:spacing w:line="360" w:lineRule="auto"/>
        <w:ind w:firstLine="426"/>
        <w:jc w:val="both"/>
        <w:rPr>
          <w:b/>
          <w:u w:val="single"/>
        </w:rPr>
      </w:pPr>
      <w:r w:rsidRPr="00AF4F9D">
        <w:rPr>
          <w:b/>
          <w:u w:val="single"/>
        </w:rPr>
        <w:t>Lietuvos pozicija</w:t>
      </w:r>
    </w:p>
    <w:p w14:paraId="3869CA6A" w14:textId="0BF94CDB" w:rsidR="0082481F" w:rsidRDefault="0082481F" w:rsidP="0082481F">
      <w:pPr>
        <w:spacing w:line="360" w:lineRule="auto"/>
        <w:ind w:firstLine="426"/>
        <w:contextualSpacing/>
        <w:jc w:val="both"/>
        <w:rPr>
          <w:bCs/>
        </w:rPr>
      </w:pPr>
      <w:r w:rsidRPr="00385D92">
        <w:rPr>
          <w:color w:val="000000"/>
        </w:rPr>
        <w:t>Lietuva</w:t>
      </w:r>
      <w:r>
        <w:rPr>
          <w:color w:val="000000"/>
        </w:rPr>
        <w:t xml:space="preserve"> </w:t>
      </w:r>
      <w:r w:rsidRPr="00385D92">
        <w:rPr>
          <w:color w:val="000000"/>
        </w:rPr>
        <w:t xml:space="preserve"> iš esmės p</w:t>
      </w:r>
      <w:r w:rsidRPr="00385D92">
        <w:rPr>
          <w:iCs/>
          <w:color w:val="000000"/>
          <w:lang w:bidi="lt-LT"/>
        </w:rPr>
        <w:t>alankiai vertin</w:t>
      </w:r>
      <w:r>
        <w:rPr>
          <w:iCs/>
          <w:color w:val="000000"/>
          <w:lang w:bidi="lt-LT"/>
        </w:rPr>
        <w:t>a</w:t>
      </w:r>
      <w:r w:rsidRPr="00385D92">
        <w:rPr>
          <w:iCs/>
          <w:color w:val="000000"/>
          <w:lang w:bidi="lt-LT"/>
        </w:rPr>
        <w:t xml:space="preserve"> </w:t>
      </w:r>
      <w:r w:rsidR="00347A60">
        <w:rPr>
          <w:iCs/>
          <w:color w:val="000000"/>
          <w:lang w:bidi="lt-LT"/>
        </w:rPr>
        <w:t>p</w:t>
      </w:r>
      <w:r w:rsidRPr="00385D92">
        <w:rPr>
          <w:iCs/>
          <w:color w:val="000000"/>
          <w:lang w:bidi="lt-LT"/>
        </w:rPr>
        <w:t>irmininkaujančios</w:t>
      </w:r>
      <w:r w:rsidR="007A087C">
        <w:rPr>
          <w:iCs/>
          <w:color w:val="000000"/>
          <w:lang w:bidi="lt-LT"/>
        </w:rPr>
        <w:t>ios</w:t>
      </w:r>
      <w:r w:rsidRPr="00385D92">
        <w:rPr>
          <w:iCs/>
          <w:color w:val="000000"/>
          <w:lang w:bidi="lt-LT"/>
        </w:rPr>
        <w:t xml:space="preserve"> Suomijos pastangas siekiant pažangos diskusijose dėl BŽŪP po 2020 metų</w:t>
      </w:r>
      <w:r>
        <w:rPr>
          <w:iCs/>
          <w:color w:val="000000"/>
          <w:lang w:bidi="lt-LT"/>
        </w:rPr>
        <w:t xml:space="preserve">, </w:t>
      </w:r>
      <w:r>
        <w:rPr>
          <w:bCs/>
        </w:rPr>
        <w:t xml:space="preserve">kiek ji buvo įmanoma, </w:t>
      </w:r>
      <w:r>
        <w:rPr>
          <w:iCs/>
          <w:color w:val="000000"/>
          <w:lang w:bidi="lt-LT"/>
        </w:rPr>
        <w:t xml:space="preserve">ypač </w:t>
      </w:r>
      <w:r w:rsidRPr="00385D92">
        <w:rPr>
          <w:bCs/>
        </w:rPr>
        <w:t>įvertin</w:t>
      </w:r>
      <w:r>
        <w:rPr>
          <w:bCs/>
        </w:rPr>
        <w:t>us</w:t>
      </w:r>
      <w:r w:rsidRPr="00385D92">
        <w:rPr>
          <w:bCs/>
        </w:rPr>
        <w:t xml:space="preserve"> vis dar tebeliekantį neapibrėžtumą dėl daugiametės finansinės programos (DFP) po 2020 m. derybų galimų rezultatų.</w:t>
      </w:r>
      <w:r>
        <w:rPr>
          <w:bCs/>
        </w:rPr>
        <w:t xml:space="preserve"> </w:t>
      </w:r>
    </w:p>
    <w:p w14:paraId="4D87179A" w14:textId="760611F9" w:rsidR="0082481F" w:rsidRDefault="0082481F" w:rsidP="0082481F">
      <w:pPr>
        <w:spacing w:line="360" w:lineRule="auto"/>
        <w:ind w:firstLine="426"/>
        <w:contextualSpacing/>
        <w:jc w:val="both"/>
        <w:rPr>
          <w:color w:val="000000"/>
        </w:rPr>
      </w:pPr>
      <w:r>
        <w:t>I</w:t>
      </w:r>
      <w:r w:rsidRPr="00385D92">
        <w:t>š esmės palankiai vertin</w:t>
      </w:r>
      <w:r>
        <w:t>ame</w:t>
      </w:r>
      <w:r w:rsidRPr="00385D92">
        <w:t xml:space="preserve"> </w:t>
      </w:r>
      <w:r w:rsidR="00347A60">
        <w:t>p</w:t>
      </w:r>
      <w:r w:rsidRPr="00385D92">
        <w:t>irm</w:t>
      </w:r>
      <w:r>
        <w:t>ininkaujančios</w:t>
      </w:r>
      <w:r w:rsidR="007A087C">
        <w:t>ios</w:t>
      </w:r>
      <w:r>
        <w:t xml:space="preserve"> Suomijos</w:t>
      </w:r>
      <w:r w:rsidRPr="00385D92">
        <w:t xml:space="preserve"> </w:t>
      </w:r>
      <w:r>
        <w:t>pasiūlymus</w:t>
      </w:r>
      <w:r w:rsidRPr="00385D92">
        <w:rPr>
          <w:color w:val="000000"/>
        </w:rPr>
        <w:t xml:space="preserve"> dėl finansinio</w:t>
      </w:r>
      <w:r>
        <w:rPr>
          <w:color w:val="000000"/>
        </w:rPr>
        <w:t xml:space="preserve"> planavimo </w:t>
      </w:r>
      <w:r w:rsidRPr="00385D92">
        <w:rPr>
          <w:color w:val="000000"/>
        </w:rPr>
        <w:t xml:space="preserve">lankstumo </w:t>
      </w:r>
      <w:r>
        <w:rPr>
          <w:color w:val="000000"/>
        </w:rPr>
        <w:t>taikymo galimybių</w:t>
      </w:r>
      <w:r w:rsidR="0045208C">
        <w:rPr>
          <w:color w:val="000000"/>
        </w:rPr>
        <w:t>,</w:t>
      </w:r>
      <w:r>
        <w:rPr>
          <w:color w:val="000000"/>
        </w:rPr>
        <w:t xml:space="preserve"> siekiant apriboti rizikas dėl galimo lėšų nepanaudojimo. </w:t>
      </w:r>
    </w:p>
    <w:p w14:paraId="52A159A4" w14:textId="4475FDFE" w:rsidR="0082481F" w:rsidRDefault="0082481F" w:rsidP="0082481F">
      <w:pPr>
        <w:spacing w:line="360" w:lineRule="auto"/>
        <w:ind w:firstLine="426"/>
        <w:contextualSpacing/>
        <w:jc w:val="both"/>
        <w:rPr>
          <w:color w:val="000000"/>
        </w:rPr>
      </w:pPr>
      <w:r>
        <w:rPr>
          <w:color w:val="000000"/>
        </w:rPr>
        <w:t>D</w:t>
      </w:r>
      <w:r w:rsidRPr="00400B43">
        <w:rPr>
          <w:color w:val="000000"/>
        </w:rPr>
        <w:t xml:space="preserve">ėl naujojo BŽŪP įgyvendinimo modelio </w:t>
      </w:r>
      <w:r>
        <w:rPr>
          <w:color w:val="000000"/>
        </w:rPr>
        <w:t>visuomet akcentuojame būtinybę</w:t>
      </w:r>
      <w:r w:rsidRPr="00400B43">
        <w:rPr>
          <w:color w:val="000000"/>
        </w:rPr>
        <w:t xml:space="preserve"> išlaikyt</w:t>
      </w:r>
      <w:r>
        <w:rPr>
          <w:color w:val="000000"/>
        </w:rPr>
        <w:t>i</w:t>
      </w:r>
      <w:r w:rsidRPr="00400B43">
        <w:rPr>
          <w:color w:val="000000"/>
        </w:rPr>
        <w:t xml:space="preserve"> pusiausvyrą tarp </w:t>
      </w:r>
      <w:r>
        <w:rPr>
          <w:color w:val="000000"/>
        </w:rPr>
        <w:t>žemės ūkio politikos</w:t>
      </w:r>
      <w:r w:rsidRPr="00400B43">
        <w:rPr>
          <w:color w:val="000000"/>
        </w:rPr>
        <w:t xml:space="preserve"> bendrumo išsaugojimo ir valstybėms narėms suteikiamo lankstumo atsižvelgti į savo vietinius poreikius ir specifiką. </w:t>
      </w:r>
      <w:r>
        <w:rPr>
          <w:color w:val="000000"/>
        </w:rPr>
        <w:t xml:space="preserve">Reikšmingas yra </w:t>
      </w:r>
      <w:r w:rsidRPr="00400B43">
        <w:rPr>
          <w:color w:val="000000"/>
        </w:rPr>
        <w:t>ir supaprastinimo aspekt</w:t>
      </w:r>
      <w:r>
        <w:rPr>
          <w:color w:val="000000"/>
        </w:rPr>
        <w:t xml:space="preserve">as </w:t>
      </w:r>
      <w:r w:rsidR="00347A60">
        <w:rPr>
          <w:color w:val="000000"/>
        </w:rPr>
        <w:t>–</w:t>
      </w:r>
      <w:r>
        <w:rPr>
          <w:color w:val="000000"/>
        </w:rPr>
        <w:t xml:space="preserve"> </w:t>
      </w:r>
      <w:r w:rsidRPr="00400B43">
        <w:rPr>
          <w:color w:val="000000"/>
        </w:rPr>
        <w:t xml:space="preserve"> s</w:t>
      </w:r>
      <w:r w:rsidRPr="00400B43">
        <w:rPr>
          <w:iCs/>
          <w:color w:val="000000"/>
          <w:lang w:bidi="lt-LT"/>
        </w:rPr>
        <w:t xml:space="preserve">varbu užtikrinti paprastą ir sklandų naujojo BŽŪP modelio įgyvendinimą </w:t>
      </w:r>
      <w:r w:rsidRPr="00400B43">
        <w:rPr>
          <w:color w:val="000000"/>
          <w:lang w:bidi="lt-LT"/>
        </w:rPr>
        <w:t>pradedant nuo planavimo proceso ir baigiant atsiskaitymu už pasiektus rezultatus</w:t>
      </w:r>
      <w:r w:rsidRPr="00400B43">
        <w:rPr>
          <w:iCs/>
          <w:color w:val="000000"/>
          <w:lang w:bidi="lt-LT"/>
        </w:rPr>
        <w:t>. Todėl v</w:t>
      </w:r>
      <w:r w:rsidRPr="00400B43">
        <w:rPr>
          <w:color w:val="000000"/>
        </w:rPr>
        <w:t xml:space="preserve">ertiname </w:t>
      </w:r>
      <w:r w:rsidR="00347A60">
        <w:rPr>
          <w:color w:val="000000"/>
        </w:rPr>
        <w:t>p</w:t>
      </w:r>
      <w:r>
        <w:rPr>
          <w:color w:val="000000"/>
        </w:rPr>
        <w:t>irmininkaujančios</w:t>
      </w:r>
      <w:r w:rsidR="007A087C">
        <w:rPr>
          <w:color w:val="000000"/>
        </w:rPr>
        <w:t>ios</w:t>
      </w:r>
      <w:r>
        <w:rPr>
          <w:color w:val="000000"/>
        </w:rPr>
        <w:t xml:space="preserve"> valstybės narės</w:t>
      </w:r>
      <w:r w:rsidRPr="00400B43">
        <w:rPr>
          <w:color w:val="000000"/>
        </w:rPr>
        <w:t xml:space="preserve"> pateiktus pasiūlymus</w:t>
      </w:r>
      <w:r>
        <w:rPr>
          <w:color w:val="000000"/>
        </w:rPr>
        <w:t xml:space="preserve"> ir siekius </w:t>
      </w:r>
      <w:r w:rsidRPr="00400B43">
        <w:rPr>
          <w:color w:val="000000"/>
        </w:rPr>
        <w:t>naująjį BŽŪP įgyvendinimo modelį padaryti labiau praktiškai pritaikomą ir lengviau įgyvendinamą valstybėse narėse</w:t>
      </w:r>
      <w:r>
        <w:rPr>
          <w:color w:val="000000"/>
        </w:rPr>
        <w:t>.</w:t>
      </w:r>
    </w:p>
    <w:p w14:paraId="12F8DB99" w14:textId="77777777" w:rsidR="0082481F" w:rsidRDefault="0082481F" w:rsidP="0082481F">
      <w:pPr>
        <w:spacing w:line="360" w:lineRule="auto"/>
        <w:ind w:firstLine="426"/>
        <w:contextualSpacing/>
        <w:jc w:val="both"/>
        <w:rPr>
          <w:color w:val="000000"/>
        </w:rPr>
      </w:pPr>
      <w:r w:rsidRPr="00DF26B1">
        <w:t>Vertu tolesnio svarstymo laikome</w:t>
      </w:r>
      <w:r>
        <w:t xml:space="preserve"> ir </w:t>
      </w:r>
      <w:r w:rsidRPr="00385D92">
        <w:t>pasiūlyt</w:t>
      </w:r>
      <w:r>
        <w:t>ą</w:t>
      </w:r>
      <w:r w:rsidRPr="00385D92">
        <w:t xml:space="preserve">  </w:t>
      </w:r>
      <w:r>
        <w:t xml:space="preserve">principą </w:t>
      </w:r>
      <w:r w:rsidRPr="00385D92">
        <w:t>dėl vienos bendros BŽŪP finansavimo dalies, skirtos su aplinka ir klimatu susijusiems tikslams pasiekti</w:t>
      </w:r>
      <w:r>
        <w:t xml:space="preserve">. Tačiau čia turime </w:t>
      </w:r>
      <w:r w:rsidRPr="00385D92">
        <w:rPr>
          <w:color w:val="000000"/>
        </w:rPr>
        <w:t xml:space="preserve">atvirų klausimų, ypač dėl būsimo BŽŪP biudžeto, taip pat ir dėl to, kas bus traktuojama kaip prie aplinkos ir klimato tikslų prisidedantys elementai. </w:t>
      </w:r>
    </w:p>
    <w:p w14:paraId="700D2916" w14:textId="272905CF" w:rsidR="0082481F" w:rsidRPr="00385D92" w:rsidRDefault="0082481F" w:rsidP="0082481F">
      <w:pPr>
        <w:spacing w:line="360" w:lineRule="auto"/>
        <w:ind w:firstLine="426"/>
        <w:contextualSpacing/>
        <w:jc w:val="both"/>
      </w:pPr>
      <w:r w:rsidRPr="00385D92">
        <w:t xml:space="preserve">Ne kartą esame akcentavę  </w:t>
      </w:r>
      <w:r w:rsidRPr="00DF26B1">
        <w:t>tiesioginę sąsają</w:t>
      </w:r>
      <w:r w:rsidRPr="00385D92">
        <w:t xml:space="preserve"> tarp aukštesnės aplinkosauginės ir klimato ambicijos ir pakankamo finansavimo užtikrinimo šiems ambicingiems tikslams siekti.</w:t>
      </w:r>
      <w:r>
        <w:t xml:space="preserve"> Manome, kad n</w:t>
      </w:r>
      <w:r w:rsidRPr="00385D92">
        <w:t xml:space="preserve">eišspręsti klausimai dėl </w:t>
      </w:r>
      <w:r w:rsidRPr="00385D92">
        <w:rPr>
          <w:iCs/>
          <w:lang w:bidi="lt-LT"/>
        </w:rPr>
        <w:t>būsimo BŽŪP finansavimo</w:t>
      </w:r>
      <w:r w:rsidRPr="00385D92">
        <w:t xml:space="preserve"> </w:t>
      </w:r>
      <w:r>
        <w:t xml:space="preserve">derybų dėl </w:t>
      </w:r>
      <w:r w:rsidRPr="00385D92">
        <w:t xml:space="preserve">DFP </w:t>
      </w:r>
      <w:r>
        <w:t xml:space="preserve">kontekste </w:t>
      </w:r>
      <w:r w:rsidRPr="00385D92">
        <w:t xml:space="preserve">riboja </w:t>
      </w:r>
      <w:bookmarkStart w:id="3" w:name="_Hlk25753990"/>
      <w:r>
        <w:t xml:space="preserve">ir esminių </w:t>
      </w:r>
      <w:r w:rsidRPr="00385D92">
        <w:t xml:space="preserve">sprendimų priėmimą </w:t>
      </w:r>
      <w:bookmarkEnd w:id="3"/>
      <w:r w:rsidRPr="00385D92">
        <w:t xml:space="preserve">dėl </w:t>
      </w:r>
      <w:r>
        <w:t xml:space="preserve">klausimų, susijusių su </w:t>
      </w:r>
      <w:r w:rsidRPr="00385D92">
        <w:t>BŽŪP reforma</w:t>
      </w:r>
      <w:r>
        <w:t>.</w:t>
      </w:r>
      <w:r w:rsidRPr="00385D92">
        <w:t xml:space="preserve"> </w:t>
      </w:r>
      <w:r>
        <w:t xml:space="preserve">Todėl neturėdami </w:t>
      </w:r>
      <w:r w:rsidRPr="00385D92">
        <w:t xml:space="preserve">aiškumo dėl </w:t>
      </w:r>
      <w:r>
        <w:t>DFP</w:t>
      </w:r>
      <w:r w:rsidRPr="00385D92">
        <w:t xml:space="preserve">, </w:t>
      </w:r>
      <w:r>
        <w:t xml:space="preserve"> negalime tikėtis </w:t>
      </w:r>
      <w:r w:rsidRPr="00385D92">
        <w:t xml:space="preserve">realaus proveržio </w:t>
      </w:r>
      <w:r>
        <w:t xml:space="preserve">siekiant susitarimo ir dėl BŽŪP reformos. Manome, kad visas BŽŪP reformos po 2020 m. dokumentų rinkinys turi būti traktuojamas kaip vieninga visuma, t. y. </w:t>
      </w:r>
      <w:r w:rsidRPr="00385D92">
        <w:t xml:space="preserve">nė vienas </w:t>
      </w:r>
      <w:r w:rsidRPr="00385D92">
        <w:lastRenderedPageBreak/>
        <w:t xml:space="preserve">BŽŪP reformos reglamentas neturi būti </w:t>
      </w:r>
      <w:r>
        <w:t>vertinamas kaip</w:t>
      </w:r>
      <w:r w:rsidRPr="00385D92">
        <w:t xml:space="preserve"> uždaryt</w:t>
      </w:r>
      <w:r>
        <w:t>as</w:t>
      </w:r>
      <w:r w:rsidRPr="00385D92">
        <w:t xml:space="preserve"> ir stabil</w:t>
      </w:r>
      <w:r>
        <w:t>us</w:t>
      </w:r>
      <w:r w:rsidRPr="00385D92">
        <w:t xml:space="preserve">, kol nesutarta dėl </w:t>
      </w:r>
      <w:r>
        <w:t>viso paketo.</w:t>
      </w:r>
      <w:r w:rsidRPr="00385D92">
        <w:t xml:space="preserve"> </w:t>
      </w:r>
    </w:p>
    <w:p w14:paraId="50F1C9D6" w14:textId="77777777" w:rsidR="00C26086" w:rsidRDefault="00C26086" w:rsidP="00C26086">
      <w:pPr>
        <w:spacing w:line="360" w:lineRule="auto"/>
        <w:jc w:val="both"/>
        <w:rPr>
          <w:color w:val="000000"/>
        </w:rPr>
      </w:pPr>
    </w:p>
    <w:p w14:paraId="768D2E54" w14:textId="648E89D8" w:rsidR="00482F90" w:rsidRPr="00482F90" w:rsidRDefault="004B4CBD" w:rsidP="00482F90">
      <w:pPr>
        <w:jc w:val="both"/>
        <w:rPr>
          <w:rFonts w:eastAsia="Calibri"/>
          <w:b/>
          <w:bCs/>
        </w:rPr>
      </w:pPr>
      <w:r>
        <w:rPr>
          <w:b/>
        </w:rPr>
        <w:t xml:space="preserve">2. </w:t>
      </w:r>
      <w:r w:rsidR="00C26086" w:rsidRPr="00C26086">
        <w:rPr>
          <w:b/>
        </w:rPr>
        <w:t>(</w:t>
      </w:r>
      <w:r w:rsidR="00C26086" w:rsidRPr="00C26086">
        <w:rPr>
          <w:b/>
          <w:i/>
        </w:rPr>
        <w:t>galimas</w:t>
      </w:r>
      <w:r w:rsidR="00C26086" w:rsidRPr="00C26086">
        <w:rPr>
          <w:b/>
        </w:rPr>
        <w:t>)</w:t>
      </w:r>
      <w:r w:rsidR="00482F90" w:rsidRPr="00482F90">
        <w:rPr>
          <w:rFonts w:eastAsia="Calibri"/>
          <w:b/>
          <w:bCs/>
        </w:rPr>
        <w:t xml:space="preserve"> Reglamentas, kuriuo </w:t>
      </w:r>
      <w:r w:rsidR="00482F90" w:rsidRPr="00482F90">
        <w:rPr>
          <w:rFonts w:eastAsia="Calibri" w:cs="Arial"/>
          <w:b/>
          <w:bCs/>
          <w:sz w:val="22"/>
          <w:szCs w:val="22"/>
        </w:rPr>
        <w:t xml:space="preserve">dėl Baltijos jūros rytinių menkių keičiami Reglamentas </w:t>
      </w:r>
      <w:r w:rsidR="00482F90" w:rsidRPr="00482F90">
        <w:rPr>
          <w:rFonts w:eastAsia="Calibri"/>
          <w:b/>
          <w:bCs/>
        </w:rPr>
        <w:t xml:space="preserve">(ES) Nr. 2016/1139 ir Reglamentas (ES) Nr. 508/2014 </w:t>
      </w:r>
    </w:p>
    <w:p w14:paraId="2137357E" w14:textId="77777777" w:rsidR="00482F90" w:rsidRPr="00482F90" w:rsidRDefault="00482F90" w:rsidP="00482F90">
      <w:pPr>
        <w:ind w:firstLine="284"/>
        <w:rPr>
          <w:rFonts w:eastAsia="Calibri"/>
          <w:i/>
          <w:iCs/>
        </w:rPr>
      </w:pPr>
      <w:r w:rsidRPr="00482F90">
        <w:rPr>
          <w:rFonts w:eastAsia="Calibri"/>
          <w:i/>
          <w:iCs/>
        </w:rPr>
        <w:t>– Bendrasis požiūris</w:t>
      </w:r>
    </w:p>
    <w:p w14:paraId="5E0BE8AE" w14:textId="77777777" w:rsidR="00482F90" w:rsidRPr="00482F90" w:rsidRDefault="00482F90" w:rsidP="00482F90">
      <w:pPr>
        <w:rPr>
          <w:rFonts w:eastAsia="Calibri"/>
        </w:rPr>
      </w:pPr>
    </w:p>
    <w:p w14:paraId="09EA471C" w14:textId="66496A51" w:rsidR="00482F90" w:rsidRPr="00482F90" w:rsidRDefault="00482F90" w:rsidP="00482F90">
      <w:pPr>
        <w:spacing w:line="360" w:lineRule="auto"/>
        <w:ind w:firstLine="426"/>
        <w:jc w:val="both"/>
        <w:rPr>
          <w:rFonts w:eastAsia="Calibri"/>
        </w:rPr>
      </w:pPr>
      <w:r w:rsidRPr="00482F90">
        <w:rPr>
          <w:rFonts w:eastAsia="Calibri"/>
        </w:rPr>
        <w:t xml:space="preserve">Atsižvelgdama į mokslininkų rekomendacijas dėl žuvų išteklių būklės ir Komisijos pasiūlymą, 2019 m. spalio 14 d. ES Taryba nusprendė įvesti būtinus itin </w:t>
      </w:r>
      <w:r w:rsidR="00347A60">
        <w:rPr>
          <w:rFonts w:eastAsia="Calibri"/>
        </w:rPr>
        <w:t>didelius</w:t>
      </w:r>
      <w:r w:rsidRPr="00482F90">
        <w:rPr>
          <w:rFonts w:eastAsia="Calibri"/>
        </w:rPr>
        <w:t xml:space="preserve"> žvejybos Baltijos jūroje 2020 m. apribojimus: visiškai uždrausti rytinių menkių tikslinę verslinę ir mėgėjų žvejybą, 60 </w:t>
      </w:r>
      <w:r w:rsidR="00347A60">
        <w:rPr>
          <w:rFonts w:eastAsia="Calibri"/>
        </w:rPr>
        <w:t xml:space="preserve"> proc.</w:t>
      </w:r>
      <w:r w:rsidRPr="00482F90">
        <w:rPr>
          <w:rFonts w:eastAsia="Calibri"/>
        </w:rPr>
        <w:t xml:space="preserve"> sumažinti vakarinių menkių ir 65 </w:t>
      </w:r>
      <w:r w:rsidR="00347A60">
        <w:rPr>
          <w:rFonts w:eastAsia="Calibri"/>
        </w:rPr>
        <w:t xml:space="preserve"> proc.</w:t>
      </w:r>
      <w:r w:rsidRPr="00482F90">
        <w:rPr>
          <w:rFonts w:eastAsia="Calibri"/>
        </w:rPr>
        <w:t xml:space="preserve"> vakarinių strim</w:t>
      </w:r>
      <w:r w:rsidR="00347A60">
        <w:rPr>
          <w:rFonts w:eastAsia="Calibri"/>
        </w:rPr>
        <w:t>e</w:t>
      </w:r>
      <w:r w:rsidRPr="00482F90">
        <w:rPr>
          <w:rFonts w:eastAsia="Calibri"/>
        </w:rPr>
        <w:t xml:space="preserve">lių žvejybos galimybes. </w:t>
      </w:r>
    </w:p>
    <w:p w14:paraId="7BB6C639" w14:textId="3EAA371B" w:rsidR="00482F90" w:rsidRPr="00482F90" w:rsidRDefault="00482F90" w:rsidP="00482F90">
      <w:pPr>
        <w:spacing w:line="360" w:lineRule="auto"/>
        <w:ind w:firstLine="426"/>
        <w:jc w:val="both"/>
        <w:rPr>
          <w:rFonts w:eastAsia="Calibri"/>
        </w:rPr>
      </w:pPr>
      <w:r w:rsidRPr="00482F90">
        <w:rPr>
          <w:rFonts w:eastAsia="Calibri"/>
        </w:rPr>
        <w:t>ES Tarybos metu visos Baltijos jūros regiono valstybės narės ir</w:t>
      </w:r>
      <w:r w:rsidR="00F34BBF">
        <w:rPr>
          <w:rFonts w:eastAsia="Calibri"/>
        </w:rPr>
        <w:t xml:space="preserve"> Europos</w:t>
      </w:r>
      <w:r w:rsidRPr="00482F90">
        <w:rPr>
          <w:rFonts w:eastAsia="Calibri"/>
        </w:rPr>
        <w:t xml:space="preserve"> Komisija pateikė pareiškimą dėl krizės keliamo socialinio ir ekonominio poveikio žvejybai Baltijos jūroje švelninimo, kuriame pabrėžė, kad dėl priimtų beprecedenčių žvejybos apribojimų atsiras perteklinių žvejybos laivyno pajėgumų ir neigiamų socialinių ir ekonominių padarinių žvejybos įmonėms ir pakrančių bendruomenėms. Baltijos jūros regiono valstybės narės paragino Komisiją skubiai pateikti pasiūlymą iš dalies pakeisti Reglamentą (ES) Nr. 508/2014 dėl Europos jūrų reikalų ir žuvininkystės fondo (toliau – EJRŽF), kad būtų galima teikti finansinę paramą visiškam ar laikinam žvejybos laivų veiklos nutraukimui.</w:t>
      </w:r>
    </w:p>
    <w:p w14:paraId="2DDF7CBB" w14:textId="77777777" w:rsidR="00482F90" w:rsidRPr="00482F90" w:rsidRDefault="00482F90" w:rsidP="00482F90">
      <w:pPr>
        <w:spacing w:line="360" w:lineRule="auto"/>
        <w:ind w:firstLine="426"/>
        <w:jc w:val="both"/>
        <w:rPr>
          <w:rFonts w:eastAsia="Calibri"/>
        </w:rPr>
      </w:pPr>
      <w:r w:rsidRPr="00482F90">
        <w:rPr>
          <w:rFonts w:eastAsia="Calibri"/>
        </w:rPr>
        <w:t>Komisijos vertinimu, labiausiai nuo rytinių menkių žvejybos priklausomus laivyno segmentus sudaro daugiau kaip 300 laivų – daugiausia Lietuvos, Latvijos, Lenkijos (ir keli Danijos) traleriai ir tinklais žvejojantys laivai.</w:t>
      </w:r>
    </w:p>
    <w:p w14:paraId="71C0EDDE" w14:textId="77777777" w:rsidR="00482F90" w:rsidRPr="00482F90" w:rsidRDefault="00482F90" w:rsidP="00482F90">
      <w:pPr>
        <w:spacing w:line="360" w:lineRule="auto"/>
        <w:ind w:firstLine="426"/>
        <w:jc w:val="both"/>
        <w:rPr>
          <w:rFonts w:eastAsia="Calibri"/>
        </w:rPr>
      </w:pPr>
      <w:r w:rsidRPr="00482F90">
        <w:rPr>
          <w:rFonts w:eastAsia="Calibri"/>
        </w:rPr>
        <w:t xml:space="preserve">Komisija jau š. m. spalio 31 d. pateikė atitinkamą reglamento pasiūlymą, kuriuo numato pakeisti Europos jūrų reikalų ir žuvininkystės fondo ir daugiamečio Baltijos jūros žuvų išteklių valdymo ir tų išteklių žvejybos plano reglamentus.  </w:t>
      </w:r>
    </w:p>
    <w:p w14:paraId="117258FC" w14:textId="77777777" w:rsidR="00482F90" w:rsidRPr="00482F90" w:rsidRDefault="00482F90" w:rsidP="00482F90">
      <w:pPr>
        <w:spacing w:line="360" w:lineRule="auto"/>
        <w:ind w:firstLine="426"/>
        <w:jc w:val="both"/>
        <w:rPr>
          <w:rFonts w:eastAsia="Calibri"/>
        </w:rPr>
      </w:pPr>
      <w:r w:rsidRPr="00482F90">
        <w:rPr>
          <w:rFonts w:eastAsia="Calibri"/>
        </w:rPr>
        <w:t xml:space="preserve">Siūloma išskirtinės Baltijos jūros rytinių menkių padėties paveiktoms valstybėms narėms sudaryti galimybę iš EJRŽF skirti finansinę paramą laivynų pajėgumų ir žvejybos galimybių pusiausvyrai pasiekti nustatant, kad 2014–2020 m. laikotarpiu žvejybos veiklos nutraukimas visam laikui (laivus atiduodant į metalo laužą) yra vėl tinkamas finansuoti EJRŽF lėšomis (pagal galiojantį reglamentą šią paramą buvo galima teikti tik iki 2017 m. pabaigos). Taip pat siūloma papildoma lankstumo nuostata, pagal kurią atitinkamoms valstybėms narėms būtų leidžiama joms skirtas EJRŽF lėšas, numatytas paramai sandėliavimui ir integruotai jūrų politikai, panaudoti paramai už žvejybos veiklos nutraukimą. </w:t>
      </w:r>
    </w:p>
    <w:p w14:paraId="6ACC6E6C" w14:textId="77777777" w:rsidR="00482F90" w:rsidRPr="00482F90" w:rsidRDefault="00482F90" w:rsidP="00482F90">
      <w:pPr>
        <w:tabs>
          <w:tab w:val="left" w:pos="426"/>
        </w:tabs>
        <w:spacing w:line="360" w:lineRule="auto"/>
        <w:ind w:firstLine="426"/>
        <w:jc w:val="both"/>
        <w:rPr>
          <w:rFonts w:eastAsia="Calibri"/>
        </w:rPr>
      </w:pPr>
      <w:r w:rsidRPr="00482F90">
        <w:rPr>
          <w:rFonts w:eastAsia="Calibri"/>
        </w:rPr>
        <w:t xml:space="preserve">Daugiamečio Baltijos jūros žuvų išteklių valdymo ir tų išteklių žvejybos plano reglamento pakeitimais Komisija siūlo nustatyti papildomas griežtesnes rytinių menkių žvejybos kontrolės priemones, nustatyti minimalų procentą rytines menkes žvejojančių laivų, kuriuose turėtų būti moksliniai stebėtojai, ir įvesti viršutinę žvejybos laivyno pajėgumų ribą </w:t>
      </w:r>
      <w:r w:rsidRPr="00482F90">
        <w:rPr>
          <w:rFonts w:eastAsia="Calibri" w:cs="Arial"/>
          <w:noProof/>
        </w:rPr>
        <w:t>rytines menkes žvejojantiems valstybių narių laivynams, remiantis 2017 ir 2018 m. menkes žvejojusių laivų pajėgumais.</w:t>
      </w:r>
    </w:p>
    <w:p w14:paraId="3FB50BE3" w14:textId="7B4245B9" w:rsidR="00482F90" w:rsidRPr="00482F90" w:rsidRDefault="00482F90" w:rsidP="00482F90">
      <w:pPr>
        <w:spacing w:line="360" w:lineRule="auto"/>
        <w:ind w:firstLine="426"/>
        <w:jc w:val="both"/>
        <w:rPr>
          <w:rFonts w:eastAsia="Calibri"/>
        </w:rPr>
      </w:pPr>
      <w:r w:rsidRPr="00482F90">
        <w:rPr>
          <w:rFonts w:eastAsia="Calibri"/>
        </w:rPr>
        <w:lastRenderedPageBreak/>
        <w:t xml:space="preserve">Pateiktas pasiūlymas nėra priimtinas Baltijos jūros regiono valstybėms narėms, todėl </w:t>
      </w:r>
      <w:r w:rsidR="00757D1B">
        <w:rPr>
          <w:rFonts w:eastAsia="Calibri"/>
        </w:rPr>
        <w:t>p</w:t>
      </w:r>
      <w:r w:rsidRPr="00757D1B">
        <w:rPr>
          <w:rFonts w:eastAsia="Calibri"/>
        </w:rPr>
        <w:t>irm</w:t>
      </w:r>
      <w:r w:rsidR="00757D1B" w:rsidRPr="00757D1B">
        <w:rPr>
          <w:rFonts w:eastAsia="Calibri"/>
        </w:rPr>
        <w:t>ininkaujančioji</w:t>
      </w:r>
      <w:r w:rsidR="00757D1B">
        <w:rPr>
          <w:rFonts w:eastAsia="Calibri"/>
        </w:rPr>
        <w:t xml:space="preserve"> Suomija</w:t>
      </w:r>
      <w:r w:rsidRPr="00482F90">
        <w:rPr>
          <w:rFonts w:eastAsia="Calibri"/>
        </w:rPr>
        <w:t xml:space="preserve"> parengė kompromisinį tekstą, kuriame atsižvelgiant į valstybių narių pastabas yra atsisakoma rytinių menkių žvejybos laivyno pajėgumų ribojimo, papildomų kontrolės ir duomenų rinkimo reikalavimų. </w:t>
      </w:r>
      <w:r w:rsidR="00757D1B">
        <w:rPr>
          <w:rFonts w:eastAsia="Calibri"/>
        </w:rPr>
        <w:t>P</w:t>
      </w:r>
      <w:bookmarkStart w:id="4" w:name="_GoBack"/>
      <w:bookmarkEnd w:id="4"/>
      <w:r w:rsidRPr="00757D1B">
        <w:rPr>
          <w:rFonts w:eastAsia="Calibri"/>
        </w:rPr>
        <w:t>irm</w:t>
      </w:r>
      <w:r w:rsidR="00757D1B" w:rsidRPr="00757D1B">
        <w:rPr>
          <w:rFonts w:eastAsia="Calibri"/>
        </w:rPr>
        <w:t>ininkaujančios Suomijos</w:t>
      </w:r>
      <w:r w:rsidRPr="00482F90">
        <w:rPr>
          <w:rFonts w:eastAsia="Calibri"/>
        </w:rPr>
        <w:t xml:space="preserve"> kompromise EJRŽF paramos</w:t>
      </w:r>
      <w:r w:rsidR="00E267D6">
        <w:rPr>
          <w:rFonts w:eastAsia="Calibri"/>
        </w:rPr>
        <w:t>,</w:t>
      </w:r>
      <w:r w:rsidRPr="00482F90">
        <w:rPr>
          <w:rFonts w:eastAsia="Calibri"/>
        </w:rPr>
        <w:t xml:space="preserve"> nutraukiant žvejybos veiklą</w:t>
      </w:r>
      <w:r w:rsidR="00347A60">
        <w:rPr>
          <w:rFonts w:eastAsia="Calibri"/>
        </w:rPr>
        <w:t>,</w:t>
      </w:r>
      <w:r w:rsidRPr="00482F90">
        <w:rPr>
          <w:rFonts w:eastAsia="Calibri"/>
        </w:rPr>
        <w:t xml:space="preserve"> galimybė numatoma ne tik rytines menkes, bet ir vakarines menkes bei vakarines strim</w:t>
      </w:r>
      <w:r w:rsidR="00347A60">
        <w:rPr>
          <w:rFonts w:eastAsia="Calibri"/>
        </w:rPr>
        <w:t>e</w:t>
      </w:r>
      <w:r w:rsidRPr="00482F90">
        <w:rPr>
          <w:rFonts w:eastAsia="Calibri"/>
        </w:rPr>
        <w:t>les Baltijos jūroje žvejojantiems laivams. Taip pat numatoma, kad rytinių menkių atveju skaičiuojant žvejybos dienų jūroje skaičių (</w:t>
      </w:r>
      <w:r w:rsidRPr="00482F90">
        <w:rPr>
          <w:rFonts w:eastAsia="Calibri" w:cs="Arial"/>
        </w:rPr>
        <w:t xml:space="preserve">kuris yra būtina sąlyga paramai už </w:t>
      </w:r>
      <w:r w:rsidRPr="00482F90">
        <w:rPr>
          <w:rFonts w:eastAsia="Arial Unicode MS" w:cs="Arial"/>
          <w:bCs/>
          <w:shd w:val="clear" w:color="auto" w:fill="FFFFFF"/>
        </w:rPr>
        <w:t>žvejybos veiklos nutraukimą visam laikui</w:t>
      </w:r>
      <w:r w:rsidRPr="00482F90">
        <w:rPr>
          <w:rFonts w:eastAsia="Calibri" w:cs="Arial"/>
        </w:rPr>
        <w:t xml:space="preserve"> gauti) </w:t>
      </w:r>
      <w:r w:rsidRPr="00482F90">
        <w:rPr>
          <w:rFonts w:eastAsia="Calibri"/>
        </w:rPr>
        <w:t xml:space="preserve">bus taikomi ne dveji paskutiniai kalendoriniai metai, o 2017–2018 m. Šie </w:t>
      </w:r>
      <w:r w:rsidR="00757D1B">
        <w:rPr>
          <w:rFonts w:eastAsia="Calibri"/>
        </w:rPr>
        <w:t>p</w:t>
      </w:r>
      <w:r w:rsidRPr="00757D1B">
        <w:rPr>
          <w:rFonts w:eastAsia="Calibri"/>
        </w:rPr>
        <w:t>irm</w:t>
      </w:r>
      <w:r w:rsidR="00757D1B" w:rsidRPr="00757D1B">
        <w:rPr>
          <w:rFonts w:eastAsia="Calibri"/>
        </w:rPr>
        <w:t>ininkaujančios Suomijos</w:t>
      </w:r>
      <w:r w:rsidRPr="00482F90">
        <w:rPr>
          <w:rFonts w:eastAsia="Calibri"/>
        </w:rPr>
        <w:t xml:space="preserve"> atlikti pakeitimai nepriimtini Komisijai, todėl toliau bus ieškoma kompromiso siekiant kuo skubiau priimti reglamentą. </w:t>
      </w:r>
    </w:p>
    <w:p w14:paraId="1F95D79D" w14:textId="77777777" w:rsidR="00482F90" w:rsidRPr="00482F90" w:rsidRDefault="00482F90" w:rsidP="00482F90">
      <w:pPr>
        <w:spacing w:line="360" w:lineRule="auto"/>
        <w:ind w:firstLine="426"/>
        <w:rPr>
          <w:rFonts w:eastAsia="Calibri"/>
          <w:b/>
          <w:bCs/>
        </w:rPr>
      </w:pPr>
      <w:r w:rsidRPr="00482F90">
        <w:rPr>
          <w:rFonts w:eastAsia="Calibri"/>
          <w:b/>
          <w:bCs/>
        </w:rPr>
        <w:t>Lietuvos pozicija:</w:t>
      </w:r>
    </w:p>
    <w:p w14:paraId="527D54D6" w14:textId="77777777" w:rsidR="00482F90" w:rsidRPr="00482F90" w:rsidRDefault="00482F90" w:rsidP="00482F90">
      <w:pPr>
        <w:spacing w:line="360" w:lineRule="auto"/>
        <w:ind w:firstLine="426"/>
        <w:jc w:val="both"/>
        <w:rPr>
          <w:rFonts w:eastAsia="Calibri"/>
        </w:rPr>
      </w:pPr>
      <w:r w:rsidRPr="00482F90">
        <w:rPr>
          <w:rFonts w:eastAsia="Calibri"/>
        </w:rPr>
        <w:t xml:space="preserve">Lietuva teigiamai vertina, kad Komisija ilgai nedelsdama pateikė šį reglamento pasiūlymą, kuriuo siekiama padėti valstybėms narėms spręsti žvejybos krizės Baltijos jūroje sukeltas socialines ir ekonomines pasekmes. Tačiau šis Komisijos pasiūlymas neatitinka spalio mėnesį ES Taryboje pateikto Baltijos jūros regiono valstybių narių ir Komisijos pareiškimo. </w:t>
      </w:r>
    </w:p>
    <w:p w14:paraId="2D2C756D" w14:textId="77777777" w:rsidR="00482F90" w:rsidRPr="00482F90" w:rsidRDefault="00482F90" w:rsidP="00482F90">
      <w:pPr>
        <w:spacing w:line="360" w:lineRule="auto"/>
        <w:ind w:firstLine="426"/>
        <w:jc w:val="both"/>
        <w:rPr>
          <w:rFonts w:eastAsia="Calibri"/>
        </w:rPr>
      </w:pPr>
      <w:r w:rsidRPr="00482F90">
        <w:rPr>
          <w:rFonts w:eastAsia="Calibri"/>
        </w:rPr>
        <w:t xml:space="preserve">Nepritariame Baltijos jūros rytinių menkių žvejybos laivyno pajėgumų viršutinės ribos nustatymui ir tų pajėgumų mažinimui visam laikui, nes tokia priemonė nesuteiktų būtino lankstumo ateityje atsikūrus menkių ištekliams bei yra diskriminacinė lyginant su kitais ES jūrų baseinais. Mums nepriimtini Komisijos siūlomi reikalavimai dėl kontrolės ir mokslinių stebėtojų visiems laivams, nepriklausomai nuo jų ilgio ir sugaunamo menkių kiekio, nes jie yra visiškai neproporcingi ir praktiškai neįgyvendinami. </w:t>
      </w:r>
    </w:p>
    <w:p w14:paraId="1DA1AEB7" w14:textId="77777777" w:rsidR="00482F90" w:rsidRPr="00482F90" w:rsidRDefault="00482F90" w:rsidP="00482F90">
      <w:pPr>
        <w:spacing w:line="360" w:lineRule="auto"/>
        <w:ind w:firstLine="426"/>
        <w:jc w:val="both"/>
        <w:rPr>
          <w:rFonts w:eastAsia="Calibri" w:cs="Arial"/>
        </w:rPr>
      </w:pPr>
      <w:r w:rsidRPr="00482F90">
        <w:rPr>
          <w:rFonts w:eastAsia="Calibri"/>
        </w:rPr>
        <w:t xml:space="preserve">Pagrindinės Lietuvos </w:t>
      </w:r>
      <w:r w:rsidRPr="00482F90">
        <w:rPr>
          <w:rFonts w:eastAsia="Calibri" w:cs="Arial"/>
        </w:rPr>
        <w:t xml:space="preserve">pastabos dėl EJRŽF reglamento keitimo visų pirma yra susijusios su žvejybos dienų jūroje skaičiumi. Manome, kad atskaitiniais metais imant net ir 2017–2018 metus, įvertinus gamtines žvejybos Baltijos jūroje sąlygas ir pastarųjų metų žuvų išteklių būklę, Lietuvos žvejybos laivams objektyviai būtų sudėtinga atitikti šią sąlygą (t. y. būti žvejojus ne mažiau kaip 90 dienų per metus), todėl siūlome, kad reikalaujamas dienų jūroje skaičius būtų sumažintas iki 90 dienų per dvejus metus. </w:t>
      </w:r>
    </w:p>
    <w:p w14:paraId="5EB86D55" w14:textId="329CACD6" w:rsidR="00482F90" w:rsidRPr="00482F90" w:rsidRDefault="00482F90" w:rsidP="00482F90">
      <w:pPr>
        <w:spacing w:line="360" w:lineRule="auto"/>
        <w:ind w:firstLine="426"/>
        <w:jc w:val="both"/>
        <w:rPr>
          <w:rFonts w:eastAsia="Calibri" w:cs="Arial"/>
        </w:rPr>
      </w:pPr>
      <w:r w:rsidRPr="00482F90">
        <w:rPr>
          <w:rFonts w:eastAsia="Calibri" w:cs="Arial"/>
        </w:rPr>
        <w:t>Mūsų manymu turėtų būti pratęstas ir EJRŽF paramos už laikiną žvejybos veiklos nutraukimą teikimo laikotarpis</w:t>
      </w:r>
      <w:r w:rsidRPr="00482F90">
        <w:rPr>
          <w:rFonts w:eastAsia="Arial Unicode MS" w:cs="Arial"/>
          <w:bCs/>
          <w:shd w:val="clear" w:color="auto" w:fill="FFFFFF"/>
        </w:rPr>
        <w:t>, k</w:t>
      </w:r>
      <w:r w:rsidRPr="00482F90">
        <w:rPr>
          <w:rFonts w:eastAsia="Calibri" w:cs="Arial"/>
        </w:rPr>
        <w:t>ad būtiną paramą galėtų gauti ir tie rytinių menkių žvejai, kurie laukdami ištekli</w:t>
      </w:r>
      <w:r w:rsidR="00E267D6">
        <w:rPr>
          <w:rFonts w:eastAsia="Calibri" w:cs="Arial"/>
        </w:rPr>
        <w:t>ų</w:t>
      </w:r>
      <w:r w:rsidRPr="00482F90">
        <w:rPr>
          <w:rFonts w:eastAsia="Calibri" w:cs="Arial"/>
        </w:rPr>
        <w:t xml:space="preserve"> atsikūrimo nepasitrauks iš verslo visam laikui. Todėl siūlome, kad dabar galiojantis maksimalus tokios paramos teikimo laikotarpis – 6 mėnesiai per 2014–2020 m. laikotarpį – būtų pratęstas iki 12 mėnesių. </w:t>
      </w:r>
    </w:p>
    <w:p w14:paraId="4B7A4185" w14:textId="77777777" w:rsidR="004A5EC2" w:rsidRDefault="004A5EC2" w:rsidP="004A5EC2">
      <w:pPr>
        <w:jc w:val="both"/>
        <w:rPr>
          <w:rFonts w:eastAsia="Calibri"/>
          <w:b/>
          <w:bCs/>
        </w:rPr>
      </w:pPr>
    </w:p>
    <w:p w14:paraId="2921538D" w14:textId="2C30739E" w:rsidR="004A5EC2" w:rsidRPr="004A5EC2" w:rsidRDefault="004A5EC2" w:rsidP="004A5EC2">
      <w:pPr>
        <w:jc w:val="both"/>
        <w:rPr>
          <w:rFonts w:eastAsia="Calibri"/>
          <w:b/>
          <w:bCs/>
        </w:rPr>
      </w:pPr>
      <w:r>
        <w:rPr>
          <w:rFonts w:eastAsia="Calibri"/>
          <w:b/>
          <w:bCs/>
        </w:rPr>
        <w:t xml:space="preserve">3. </w:t>
      </w:r>
      <w:r w:rsidRPr="004A5EC2">
        <w:rPr>
          <w:rFonts w:eastAsia="Calibri"/>
          <w:b/>
          <w:bCs/>
        </w:rPr>
        <w:t>Tarybos reglamentas dėl Atlanto ir Šiaurės jūros bendrų leidžiamų sugauti kiekių (BLSK) ir kvotų 2020 m.</w:t>
      </w:r>
    </w:p>
    <w:p w14:paraId="7E8F1D6A" w14:textId="77777777" w:rsidR="004A5EC2" w:rsidRPr="004A5EC2" w:rsidRDefault="004A5EC2" w:rsidP="004A5EC2">
      <w:pPr>
        <w:ind w:firstLine="284"/>
        <w:rPr>
          <w:rFonts w:eastAsia="Calibri"/>
          <w:i/>
          <w:iCs/>
        </w:rPr>
      </w:pPr>
      <w:r w:rsidRPr="004A5EC2">
        <w:rPr>
          <w:rFonts w:eastAsia="Calibri"/>
          <w:i/>
          <w:iCs/>
        </w:rPr>
        <w:t>– Politinis susitarimas</w:t>
      </w:r>
    </w:p>
    <w:p w14:paraId="53685980" w14:textId="77777777" w:rsidR="004A5EC2" w:rsidRPr="004A5EC2" w:rsidRDefault="004A5EC2" w:rsidP="004A5EC2">
      <w:pPr>
        <w:ind w:firstLine="426"/>
        <w:rPr>
          <w:rFonts w:eastAsia="Calibri"/>
        </w:rPr>
      </w:pPr>
    </w:p>
    <w:p w14:paraId="653E7637" w14:textId="77777777" w:rsidR="004A5EC2" w:rsidRPr="004A5EC2" w:rsidRDefault="004A5EC2" w:rsidP="004A5EC2">
      <w:pPr>
        <w:spacing w:line="360" w:lineRule="auto"/>
        <w:ind w:firstLine="426"/>
        <w:jc w:val="both"/>
        <w:rPr>
          <w:rFonts w:eastAsia="Calibri"/>
        </w:rPr>
      </w:pPr>
      <w:r w:rsidRPr="004A5EC2">
        <w:rPr>
          <w:rFonts w:eastAsia="Calibri"/>
        </w:rPr>
        <w:t xml:space="preserve">Šiuo pasiūlymu numatoma, remiantis mokslinėmis rekomendacijomis bei ES bendros žuvininkystės politikos (BŽP) tikslais, nustatyti 2020 m. svarbiausių verslinių žuvų rūšių žvejybos </w:t>
      </w:r>
      <w:r w:rsidRPr="004A5EC2">
        <w:rPr>
          <w:rFonts w:eastAsia="Calibri"/>
        </w:rPr>
        <w:lastRenderedPageBreak/>
        <w:t>galimybes ES vandenyse (Atlanto vandenyne ir Šiaurės jūroje), taip pat ES laivams tenkančias žvejybos galimybes kai kuriuose ne ES vandenyse bei pagal santykinio stabilumo principą paskirstyti jas valstybėms narėms.</w:t>
      </w:r>
    </w:p>
    <w:p w14:paraId="2849F958" w14:textId="77777777" w:rsidR="004A5EC2" w:rsidRPr="004A5EC2" w:rsidRDefault="004A5EC2" w:rsidP="004A5EC2">
      <w:pPr>
        <w:spacing w:line="360" w:lineRule="auto"/>
        <w:ind w:firstLine="426"/>
        <w:jc w:val="both"/>
        <w:rPr>
          <w:rFonts w:eastAsia="Calibri"/>
        </w:rPr>
      </w:pPr>
      <w:r w:rsidRPr="004A5EC2">
        <w:rPr>
          <w:rFonts w:eastAsia="Calibri"/>
        </w:rPr>
        <w:t xml:space="preserve">Reglamentu bus nustatytos ES autonomiškai bei bendrai su Norvegija ir kitomis pakrantės šalimis valdomų žuvų išteklių Šiaurės jūroje ir šiaurės rytų Atlante žvejybos galimybės bei įtrauktos įvairiuose vandenynuose veikiančiose regioninėse žuvininkystės valdymo organizacijose, kurių nare yra Europos Sąjunga, sutartos žvejybos galimybės. Reglamente taip pat siūloma tęsti šiemet įvestas priemones, skirtas apsaugoti kritinėje padėtyje esantį europinių ungurių išteklių – taikyti 3 mėnesių trukmės (valstybių narių pasirinktu laikotarpiu) tikslinės, atsitiktinės ir mėgėjiškos europinių ungurių žvejybos draudimą ES jūrų vandenyse. Žvejybos galimybių nustatymas 2020 metams yra išskirtinis tuo, kad pagal BŽP reglamento reikalavimus vėliausiai 2020 m. visų žuvų išteklių atveju žvejybos galimybės turės atitikti didžiausią galimą tausios žvejybos laimikį (angl. </w:t>
      </w:r>
      <w:proofErr w:type="spellStart"/>
      <w:r w:rsidRPr="004A5EC2">
        <w:rPr>
          <w:rFonts w:eastAsia="Calibri"/>
          <w:i/>
          <w:iCs/>
        </w:rPr>
        <w:t>maximum</w:t>
      </w:r>
      <w:proofErr w:type="spellEnd"/>
      <w:r w:rsidRPr="004A5EC2">
        <w:rPr>
          <w:rFonts w:eastAsia="Calibri"/>
          <w:i/>
          <w:iCs/>
        </w:rPr>
        <w:t xml:space="preserve"> </w:t>
      </w:r>
      <w:proofErr w:type="spellStart"/>
      <w:r w:rsidRPr="004A5EC2">
        <w:rPr>
          <w:rFonts w:eastAsia="Calibri"/>
          <w:i/>
          <w:iCs/>
        </w:rPr>
        <w:t>sustainable</w:t>
      </w:r>
      <w:proofErr w:type="spellEnd"/>
      <w:r w:rsidRPr="004A5EC2">
        <w:rPr>
          <w:rFonts w:eastAsia="Calibri"/>
          <w:i/>
          <w:iCs/>
        </w:rPr>
        <w:t xml:space="preserve"> </w:t>
      </w:r>
      <w:proofErr w:type="spellStart"/>
      <w:r w:rsidRPr="004A5EC2">
        <w:rPr>
          <w:rFonts w:eastAsia="Calibri"/>
          <w:i/>
          <w:iCs/>
        </w:rPr>
        <w:t>yield</w:t>
      </w:r>
      <w:proofErr w:type="spellEnd"/>
      <w:r w:rsidRPr="004A5EC2">
        <w:rPr>
          <w:rFonts w:eastAsia="Calibri"/>
        </w:rPr>
        <w:t xml:space="preserve">, MSY). Dėl to siūlomas didelės dalies žuvų išteklių Atlanto vandenyne ir Šiaurės jūroje žvejybos galimybių mažinimas: pagal Komisijos pasiūlymą didinamos ar išlieka šiemetinio dydžio 32 išteklių žvejybos kvotos, o 40 išteklių jos yra mažinamos. </w:t>
      </w:r>
    </w:p>
    <w:p w14:paraId="38EF64E2" w14:textId="63921160" w:rsidR="004A5EC2" w:rsidRPr="004A5EC2" w:rsidRDefault="004A5EC2" w:rsidP="004A5EC2">
      <w:pPr>
        <w:spacing w:line="360" w:lineRule="auto"/>
        <w:ind w:firstLine="426"/>
        <w:jc w:val="both"/>
        <w:rPr>
          <w:rFonts w:eastAsia="Calibri"/>
        </w:rPr>
      </w:pPr>
      <w:r w:rsidRPr="004A5EC2">
        <w:rPr>
          <w:rFonts w:eastAsia="Calibri"/>
        </w:rPr>
        <w:t xml:space="preserve">Į </w:t>
      </w:r>
      <w:r w:rsidR="007A087C">
        <w:rPr>
          <w:rFonts w:eastAsia="Calibri"/>
        </w:rPr>
        <w:t>R</w:t>
      </w:r>
      <w:r w:rsidRPr="004A5EC2">
        <w:rPr>
          <w:rFonts w:eastAsia="Calibri"/>
        </w:rPr>
        <w:t>eglamento pasiūlymą yra įtrauktos Lietuvai aktualių žuvų išteklių žvejybos galimybės, sutartos regioninių žuvininkystės valdymo organizacijų – Žvejybos šiaurės vakarų Atlante organizacijos (NAFO) ir Žvejybos šiaurės rytų Atlante komisijos (NEAFC) – metiniuose susitikimuose, taip pat kelių išteklių kvotos ES vandenyse ir 4 žvejybos leidimai snieginių krabų žvejybai Svalbarde.</w:t>
      </w:r>
    </w:p>
    <w:p w14:paraId="52FE099E" w14:textId="77777777" w:rsidR="004A5EC2" w:rsidRPr="004A5EC2" w:rsidRDefault="004A5EC2" w:rsidP="004A5EC2">
      <w:pPr>
        <w:spacing w:line="360" w:lineRule="auto"/>
        <w:ind w:firstLine="426"/>
        <w:jc w:val="both"/>
        <w:rPr>
          <w:rFonts w:eastAsia="Calibri"/>
          <w:b/>
          <w:bCs/>
        </w:rPr>
      </w:pPr>
      <w:r w:rsidRPr="004A5EC2">
        <w:rPr>
          <w:rFonts w:eastAsia="Calibri"/>
          <w:b/>
          <w:bCs/>
        </w:rPr>
        <w:t>Lietuvos pozicija:</w:t>
      </w:r>
    </w:p>
    <w:p w14:paraId="76C3D23B" w14:textId="2670562E" w:rsidR="004A5EC2" w:rsidRDefault="004A5EC2" w:rsidP="004A5EC2">
      <w:pPr>
        <w:spacing w:line="360" w:lineRule="auto"/>
        <w:ind w:firstLine="426"/>
        <w:jc w:val="both"/>
        <w:rPr>
          <w:rFonts w:eastAsia="Calibri"/>
        </w:rPr>
      </w:pPr>
      <w:r w:rsidRPr="004A5EC2">
        <w:rPr>
          <w:rFonts w:eastAsia="Calibri"/>
        </w:rPr>
        <w:t>Lietuva iš esmės pritaria Europos Komisijos pasiūlymui dėl žvejybos galimybių 2020 metams, kadangi dauguma jame numatytų Lietuvai aktualių žvejybos galimybių jau yra sutartos regioninių žvejybos organizacijų metiniuose susitikimuose arba pakrantės šalių konsultacijose. Lietuva taip pat pritaria siūlymui tęsti ungurių žvejybos ribojimo priemones, siekiant apsaugoti šį išteklių.</w:t>
      </w:r>
    </w:p>
    <w:p w14:paraId="4EBB6BFA" w14:textId="072A46F7" w:rsidR="004A5EC2" w:rsidRDefault="004A5EC2" w:rsidP="004A5EC2">
      <w:pPr>
        <w:spacing w:line="360" w:lineRule="auto"/>
        <w:ind w:firstLine="426"/>
        <w:jc w:val="both"/>
        <w:rPr>
          <w:rFonts w:eastAsia="Calibri"/>
        </w:rPr>
      </w:pPr>
    </w:p>
    <w:p w14:paraId="30065834" w14:textId="0FEF00A2" w:rsidR="004A5EC2" w:rsidRPr="004A5EC2" w:rsidRDefault="004A5EC2" w:rsidP="004A5EC2">
      <w:pPr>
        <w:jc w:val="both"/>
        <w:rPr>
          <w:rFonts w:eastAsia="Calibri"/>
          <w:b/>
          <w:bCs/>
        </w:rPr>
      </w:pPr>
      <w:r>
        <w:rPr>
          <w:rFonts w:eastAsia="Calibri"/>
          <w:b/>
          <w:bCs/>
        </w:rPr>
        <w:t xml:space="preserve">4. </w:t>
      </w:r>
      <w:r w:rsidRPr="004A5EC2">
        <w:rPr>
          <w:rFonts w:eastAsia="Calibri"/>
          <w:b/>
          <w:bCs/>
        </w:rPr>
        <w:t>Tarybos reglamentas, nustatantis 2020 m. žvejybos galimybes Viduržemio ir Juodojoje jūrose</w:t>
      </w:r>
    </w:p>
    <w:p w14:paraId="7E729CF3" w14:textId="77777777" w:rsidR="004A5EC2" w:rsidRPr="004A5EC2" w:rsidRDefault="004A5EC2" w:rsidP="004A5EC2">
      <w:pPr>
        <w:ind w:firstLine="284"/>
        <w:rPr>
          <w:rFonts w:eastAsia="Calibri"/>
          <w:i/>
        </w:rPr>
      </w:pPr>
      <w:r w:rsidRPr="004A5EC2">
        <w:rPr>
          <w:rFonts w:eastAsia="Calibri"/>
          <w:i/>
        </w:rPr>
        <w:t xml:space="preserve">– Priėmimas </w:t>
      </w:r>
    </w:p>
    <w:p w14:paraId="0DFC2339" w14:textId="77777777" w:rsidR="004A5EC2" w:rsidRPr="004A5EC2" w:rsidRDefault="004A5EC2" w:rsidP="004A5EC2">
      <w:pPr>
        <w:rPr>
          <w:rFonts w:eastAsia="Calibri"/>
        </w:rPr>
      </w:pPr>
    </w:p>
    <w:p w14:paraId="1CDFE873" w14:textId="77777777" w:rsidR="004A5EC2" w:rsidRPr="004A5EC2" w:rsidRDefault="004A5EC2" w:rsidP="004A5EC2">
      <w:pPr>
        <w:autoSpaceDE w:val="0"/>
        <w:autoSpaceDN w:val="0"/>
        <w:adjustRightInd w:val="0"/>
        <w:spacing w:line="360" w:lineRule="auto"/>
        <w:ind w:firstLine="426"/>
        <w:jc w:val="both"/>
        <w:rPr>
          <w:rFonts w:eastAsia="Calibri"/>
          <w:color w:val="000000"/>
        </w:rPr>
      </w:pPr>
      <w:r w:rsidRPr="004A5EC2">
        <w:rPr>
          <w:rFonts w:eastAsia="Calibri"/>
          <w:color w:val="000000"/>
        </w:rPr>
        <w:t>Šiuo pasiūlymu numatoma, remiantis mokslinėmis rekomendacijomis, ES bendros žuvininkystės politikos (BŽP) tikslais ir regioninėje žuvininkystės valdymo organizacijoje – Bendrojoje Viduržemio jūros žvejybos komisijoje (GFCM) – priimtais susitarimais, nustatyti tam tikrų išteklių ir išteklių grupių žvejybos Viduržemio ir Juodojoje jūrose galimybes 2020 m. bei pagal santykinio stabilumo principą paskirstyti jas tų regionų valstybėms narėms.</w:t>
      </w:r>
    </w:p>
    <w:p w14:paraId="54E533BB" w14:textId="77777777" w:rsidR="004A5EC2" w:rsidRPr="004A5EC2" w:rsidRDefault="004A5EC2" w:rsidP="004A5EC2">
      <w:pPr>
        <w:spacing w:line="360" w:lineRule="auto"/>
        <w:ind w:firstLine="426"/>
        <w:jc w:val="both"/>
        <w:rPr>
          <w:rFonts w:eastAsia="Calibri"/>
          <w:b/>
          <w:bCs/>
        </w:rPr>
      </w:pPr>
      <w:r w:rsidRPr="004A5EC2">
        <w:rPr>
          <w:rFonts w:eastAsia="Calibri"/>
          <w:b/>
          <w:bCs/>
        </w:rPr>
        <w:t>Lietuvos pozicija:</w:t>
      </w:r>
    </w:p>
    <w:p w14:paraId="77FE705C" w14:textId="12CB44FE" w:rsidR="004A5EC2" w:rsidRDefault="004A5EC2" w:rsidP="004A5EC2">
      <w:pPr>
        <w:spacing w:after="160" w:line="360" w:lineRule="auto"/>
        <w:ind w:firstLine="426"/>
        <w:jc w:val="both"/>
        <w:rPr>
          <w:rFonts w:eastAsia="Calibri"/>
        </w:rPr>
      </w:pPr>
      <w:r w:rsidRPr="004A5EC2">
        <w:rPr>
          <w:rFonts w:eastAsia="Calibri"/>
        </w:rPr>
        <w:lastRenderedPageBreak/>
        <w:t xml:space="preserve">Lietuvos laivynas žvejybos Viduržemio ir Juodojoje jūrose nevykdo ir neturi jose žvejybos galimybių ar istorinių teisių. Lietuva pritaria pasiūlymo, kuris atitiktų BŽP tikslus ir būtų priimtinas tiesiogiai suinteresuotoms valstybėms narėms, priėmimui. </w:t>
      </w:r>
    </w:p>
    <w:p w14:paraId="104C91C8" w14:textId="77777777" w:rsidR="00A91C43" w:rsidRDefault="00A91C43" w:rsidP="004C4B00">
      <w:pPr>
        <w:spacing w:after="160" w:line="360" w:lineRule="auto"/>
        <w:jc w:val="both"/>
        <w:rPr>
          <w:rFonts w:eastAsia="Calibri"/>
          <w:b/>
          <w:u w:val="single"/>
        </w:rPr>
      </w:pPr>
    </w:p>
    <w:p w14:paraId="53A6A39B" w14:textId="77777777" w:rsidR="00A91C43" w:rsidRDefault="00A91C43" w:rsidP="004C4B00">
      <w:pPr>
        <w:spacing w:after="160" w:line="360" w:lineRule="auto"/>
        <w:jc w:val="both"/>
        <w:rPr>
          <w:rFonts w:eastAsia="Calibri"/>
          <w:b/>
          <w:u w:val="single"/>
        </w:rPr>
      </w:pPr>
    </w:p>
    <w:p w14:paraId="1B228CE2" w14:textId="3ADF5364" w:rsidR="00392F30" w:rsidRPr="004C4B00" w:rsidRDefault="004C4B00" w:rsidP="004C4B00">
      <w:pPr>
        <w:spacing w:after="160" w:line="360" w:lineRule="auto"/>
        <w:jc w:val="both"/>
        <w:rPr>
          <w:rFonts w:eastAsia="Calibri"/>
          <w:b/>
          <w:u w:val="single"/>
        </w:rPr>
      </w:pPr>
      <w:r w:rsidRPr="004C4B00">
        <w:rPr>
          <w:rFonts w:eastAsia="Calibri"/>
          <w:b/>
          <w:u w:val="single"/>
        </w:rPr>
        <w:t>Kiti klausimai</w:t>
      </w:r>
    </w:p>
    <w:p w14:paraId="1AF0D61A" w14:textId="7DC93B34" w:rsidR="004C4B00" w:rsidRDefault="004C4B00" w:rsidP="004C4B00">
      <w:pPr>
        <w:jc w:val="both"/>
        <w:rPr>
          <w:rFonts w:eastAsia="Calibri"/>
          <w:b/>
        </w:rPr>
      </w:pPr>
      <w:r w:rsidRPr="004C4B00">
        <w:rPr>
          <w:rFonts w:eastAsia="Calibri"/>
          <w:b/>
        </w:rPr>
        <w:t xml:space="preserve">5. Išvados dėl atnaujintos ES </w:t>
      </w:r>
      <w:proofErr w:type="spellStart"/>
      <w:r w:rsidRPr="004C4B00">
        <w:rPr>
          <w:rFonts w:eastAsia="Calibri"/>
          <w:b/>
        </w:rPr>
        <w:t>bioekonomikos</w:t>
      </w:r>
      <w:proofErr w:type="spellEnd"/>
      <w:r w:rsidRPr="004C4B00">
        <w:rPr>
          <w:rFonts w:eastAsia="Calibri"/>
          <w:b/>
        </w:rPr>
        <w:t xml:space="preserve"> strategijos</w:t>
      </w:r>
    </w:p>
    <w:p w14:paraId="2BF14735" w14:textId="732D97B8" w:rsidR="004C4B00" w:rsidRPr="004A5EC2" w:rsidRDefault="004C4B00" w:rsidP="004C4B00">
      <w:pPr>
        <w:spacing w:after="160" w:line="360" w:lineRule="auto"/>
        <w:jc w:val="both"/>
        <w:rPr>
          <w:rFonts w:eastAsia="Calibri"/>
          <w:i/>
        </w:rPr>
      </w:pPr>
      <w:r w:rsidRPr="004C4B00">
        <w:rPr>
          <w:rFonts w:eastAsia="Calibri"/>
          <w:i/>
        </w:rPr>
        <w:t>- Pirmininkaujančios valstybės narės informacija</w:t>
      </w:r>
    </w:p>
    <w:p w14:paraId="4E7B8545" w14:textId="77777777" w:rsidR="007141E3" w:rsidRDefault="004C4B00" w:rsidP="004C4B00">
      <w:pPr>
        <w:spacing w:line="360" w:lineRule="auto"/>
        <w:ind w:firstLine="426"/>
        <w:jc w:val="both"/>
        <w:rPr>
          <w:rFonts w:eastAsia="Calibri"/>
        </w:rPr>
      </w:pPr>
      <w:r w:rsidRPr="004C4B00">
        <w:rPr>
          <w:rFonts w:eastAsia="Calibri"/>
        </w:rPr>
        <w:t xml:space="preserve">Pirmininkaujančioji Suomija pristatys informaciją apie 2019 m. lapkričio 29 d. ES Konkurencingumo Taryboje patvirtintas išvadas dėl atnaujintos ES </w:t>
      </w:r>
      <w:proofErr w:type="spellStart"/>
      <w:r w:rsidRPr="004C4B00">
        <w:rPr>
          <w:rFonts w:eastAsia="Calibri"/>
        </w:rPr>
        <w:t>Bioekonomikos</w:t>
      </w:r>
      <w:proofErr w:type="spellEnd"/>
      <w:r w:rsidRPr="004C4B00">
        <w:rPr>
          <w:rFonts w:eastAsia="Calibri"/>
        </w:rPr>
        <w:t xml:space="preserve"> strategijos. Šiomis išvadomis siekiama paskatinti valstybes nares kuo greičiau įgyventi ES </w:t>
      </w:r>
      <w:proofErr w:type="spellStart"/>
      <w:r w:rsidRPr="004C4B00">
        <w:rPr>
          <w:rFonts w:eastAsia="Calibri"/>
        </w:rPr>
        <w:t>Bioekonomikos</w:t>
      </w:r>
      <w:proofErr w:type="spellEnd"/>
      <w:r w:rsidRPr="004C4B00">
        <w:rPr>
          <w:rFonts w:eastAsia="Calibri"/>
        </w:rPr>
        <w:t xml:space="preserve"> strategijos tikslus. Atnaujinta ES </w:t>
      </w:r>
      <w:proofErr w:type="spellStart"/>
      <w:r w:rsidRPr="004C4B00">
        <w:rPr>
          <w:rFonts w:eastAsia="Calibri"/>
        </w:rPr>
        <w:t>Bioekonomikos</w:t>
      </w:r>
      <w:proofErr w:type="spellEnd"/>
      <w:r w:rsidRPr="004C4B00">
        <w:rPr>
          <w:rFonts w:eastAsia="Calibri"/>
        </w:rPr>
        <w:t xml:space="preserve"> strategija remiasi 3 pagrindiniais principais</w:t>
      </w:r>
      <w:r w:rsidR="007141E3">
        <w:rPr>
          <w:rFonts w:eastAsia="Calibri"/>
        </w:rPr>
        <w:t>:</w:t>
      </w:r>
    </w:p>
    <w:p w14:paraId="715B2DC3" w14:textId="51F77891" w:rsidR="007141E3" w:rsidRPr="007141E3" w:rsidRDefault="004C4B00" w:rsidP="007141E3">
      <w:pPr>
        <w:pStyle w:val="Sraopastraipa"/>
        <w:numPr>
          <w:ilvl w:val="0"/>
          <w:numId w:val="18"/>
        </w:numPr>
        <w:spacing w:line="360" w:lineRule="auto"/>
        <w:jc w:val="both"/>
        <w:rPr>
          <w:rFonts w:eastAsia="Calibri"/>
        </w:rPr>
      </w:pPr>
      <w:r w:rsidRPr="007141E3">
        <w:rPr>
          <w:rFonts w:eastAsia="Calibri"/>
        </w:rPr>
        <w:t xml:space="preserve">stiprinti ir išplėsti biologinių išteklių sektorius, atverti investicijas ir rinkas; </w:t>
      </w:r>
    </w:p>
    <w:p w14:paraId="56ADF683" w14:textId="00E34835" w:rsidR="007141E3" w:rsidRDefault="004C4B00" w:rsidP="007141E3">
      <w:pPr>
        <w:pStyle w:val="Sraopastraipa"/>
        <w:numPr>
          <w:ilvl w:val="0"/>
          <w:numId w:val="18"/>
        </w:numPr>
        <w:spacing w:line="360" w:lineRule="auto"/>
        <w:jc w:val="both"/>
        <w:rPr>
          <w:rFonts w:eastAsia="Calibri"/>
        </w:rPr>
      </w:pPr>
      <w:r w:rsidRPr="007141E3">
        <w:rPr>
          <w:rFonts w:eastAsia="Calibri"/>
        </w:rPr>
        <w:t xml:space="preserve">greitai diegti </w:t>
      </w:r>
      <w:proofErr w:type="spellStart"/>
      <w:r w:rsidRPr="007141E3">
        <w:rPr>
          <w:rFonts w:eastAsia="Calibri"/>
        </w:rPr>
        <w:t>bioekonomiką</w:t>
      </w:r>
      <w:proofErr w:type="spellEnd"/>
      <w:r w:rsidRPr="007141E3">
        <w:rPr>
          <w:rFonts w:eastAsia="Calibri"/>
        </w:rPr>
        <w:t xml:space="preserve"> visoje Europoje; </w:t>
      </w:r>
    </w:p>
    <w:p w14:paraId="705A5F67" w14:textId="77777777" w:rsidR="007141E3" w:rsidRDefault="004C4B00" w:rsidP="007141E3">
      <w:pPr>
        <w:pStyle w:val="Sraopastraipa"/>
        <w:numPr>
          <w:ilvl w:val="0"/>
          <w:numId w:val="18"/>
        </w:numPr>
        <w:spacing w:line="360" w:lineRule="auto"/>
        <w:jc w:val="both"/>
        <w:rPr>
          <w:rFonts w:eastAsia="Calibri"/>
        </w:rPr>
      </w:pPr>
      <w:r w:rsidRPr="007141E3">
        <w:rPr>
          <w:rFonts w:eastAsia="Calibri"/>
        </w:rPr>
        <w:t xml:space="preserve">suprasti ekologines </w:t>
      </w:r>
      <w:proofErr w:type="spellStart"/>
      <w:r w:rsidRPr="007141E3">
        <w:rPr>
          <w:rFonts w:eastAsia="Calibri"/>
        </w:rPr>
        <w:t>bioekonomikos</w:t>
      </w:r>
      <w:proofErr w:type="spellEnd"/>
      <w:r w:rsidRPr="007141E3">
        <w:rPr>
          <w:rFonts w:eastAsia="Calibri"/>
        </w:rPr>
        <w:t xml:space="preserve"> ribas. </w:t>
      </w:r>
    </w:p>
    <w:p w14:paraId="508E9C83" w14:textId="5A9CDBF9" w:rsidR="004C4B00" w:rsidRPr="007141E3" w:rsidRDefault="004C4B00" w:rsidP="007141E3">
      <w:pPr>
        <w:spacing w:line="360" w:lineRule="auto"/>
        <w:ind w:firstLine="486"/>
        <w:jc w:val="both"/>
        <w:rPr>
          <w:rFonts w:eastAsia="Calibri"/>
        </w:rPr>
      </w:pPr>
      <w:proofErr w:type="spellStart"/>
      <w:r w:rsidRPr="007141E3">
        <w:rPr>
          <w:rFonts w:eastAsia="Calibri"/>
        </w:rPr>
        <w:t>Bioekonomika</w:t>
      </w:r>
      <w:proofErr w:type="spellEnd"/>
      <w:r w:rsidRPr="007141E3">
        <w:rPr>
          <w:rFonts w:eastAsia="Calibri"/>
        </w:rPr>
        <w:t xml:space="preserve"> turi remtis tvarumo ir </w:t>
      </w:r>
      <w:proofErr w:type="spellStart"/>
      <w:r w:rsidRPr="007141E3">
        <w:rPr>
          <w:rFonts w:eastAsia="Calibri"/>
        </w:rPr>
        <w:t>žiediškumo</w:t>
      </w:r>
      <w:proofErr w:type="spellEnd"/>
      <w:r w:rsidRPr="007141E3">
        <w:rPr>
          <w:rFonts w:eastAsia="Calibri"/>
        </w:rPr>
        <w:t xml:space="preserve"> principais, tikimasi, kad </w:t>
      </w:r>
      <w:proofErr w:type="spellStart"/>
      <w:r w:rsidRPr="007141E3">
        <w:rPr>
          <w:rFonts w:eastAsia="Calibri"/>
        </w:rPr>
        <w:t>bioekonomika</w:t>
      </w:r>
      <w:proofErr w:type="spellEnd"/>
      <w:r w:rsidRPr="007141E3">
        <w:rPr>
          <w:rFonts w:eastAsia="Calibri"/>
        </w:rPr>
        <w:t xml:space="preserve"> prisidės prie ES tikslo iki 2050 m. tapti klimatui neutralia ekonomika, taip pat užtikrins maisto ir mitybos saugumą, mažins maisto švaistymą ir atkurs bei sustiprins ekosistemų funkcijas </w:t>
      </w:r>
      <w:r w:rsidR="007141E3">
        <w:rPr>
          <w:rFonts w:eastAsia="Calibri"/>
        </w:rPr>
        <w:t>bei</w:t>
      </w:r>
      <w:r w:rsidRPr="007141E3">
        <w:rPr>
          <w:rFonts w:eastAsia="Calibri"/>
        </w:rPr>
        <w:t xml:space="preserve"> biologinę įvairovę.  Išvadose didelis dėmesys turėtų būti skiriamas inovacijoms, komunikacijai ir švietimui, Europos Komisija skatinama skleisti informaciją per </w:t>
      </w:r>
      <w:proofErr w:type="spellStart"/>
      <w:r w:rsidRPr="007141E3">
        <w:rPr>
          <w:rFonts w:eastAsia="Calibri"/>
        </w:rPr>
        <w:t>Bioekonomikos</w:t>
      </w:r>
      <w:proofErr w:type="spellEnd"/>
      <w:r w:rsidRPr="007141E3">
        <w:rPr>
          <w:rFonts w:eastAsia="Calibri"/>
        </w:rPr>
        <w:t xml:space="preserve"> žinių centrą „</w:t>
      </w:r>
      <w:proofErr w:type="spellStart"/>
      <w:r w:rsidRPr="007141E3">
        <w:rPr>
          <w:rFonts w:eastAsia="Calibri"/>
        </w:rPr>
        <w:t>Knowledge</w:t>
      </w:r>
      <w:proofErr w:type="spellEnd"/>
      <w:r w:rsidRPr="007141E3">
        <w:rPr>
          <w:rFonts w:eastAsia="Calibri"/>
        </w:rPr>
        <w:t xml:space="preserve"> Centre </w:t>
      </w:r>
      <w:proofErr w:type="spellStart"/>
      <w:r w:rsidRPr="007141E3">
        <w:rPr>
          <w:rFonts w:eastAsia="Calibri"/>
        </w:rPr>
        <w:t>for</w:t>
      </w:r>
      <w:proofErr w:type="spellEnd"/>
      <w:r w:rsidRPr="007141E3">
        <w:rPr>
          <w:rFonts w:eastAsia="Calibri"/>
        </w:rPr>
        <w:t xml:space="preserve"> </w:t>
      </w:r>
      <w:proofErr w:type="spellStart"/>
      <w:r w:rsidRPr="007141E3">
        <w:rPr>
          <w:rFonts w:eastAsia="Calibri"/>
        </w:rPr>
        <w:t>Bioeconomy</w:t>
      </w:r>
      <w:proofErr w:type="spellEnd"/>
      <w:r w:rsidRPr="007141E3">
        <w:rPr>
          <w:rFonts w:eastAsia="Calibri"/>
        </w:rPr>
        <w:t xml:space="preserve">“. Tikimasi, kad </w:t>
      </w:r>
      <w:proofErr w:type="spellStart"/>
      <w:r w:rsidRPr="007141E3">
        <w:rPr>
          <w:rFonts w:eastAsia="Calibri"/>
        </w:rPr>
        <w:t>bioekonomika</w:t>
      </w:r>
      <w:proofErr w:type="spellEnd"/>
      <w:r w:rsidRPr="007141E3">
        <w:rPr>
          <w:rFonts w:eastAsia="Calibri"/>
        </w:rPr>
        <w:t xml:space="preserve"> atvers naujas galimybes verslui. </w:t>
      </w:r>
    </w:p>
    <w:p w14:paraId="0A173572" w14:textId="77777777" w:rsidR="004C4B00" w:rsidRPr="004C4B00" w:rsidRDefault="004C4B00" w:rsidP="004C4B00">
      <w:pPr>
        <w:spacing w:line="360" w:lineRule="auto"/>
        <w:ind w:firstLine="426"/>
        <w:jc w:val="both"/>
        <w:rPr>
          <w:rFonts w:eastAsia="Calibri"/>
          <w:b/>
        </w:rPr>
      </w:pPr>
      <w:r w:rsidRPr="004C4B00">
        <w:rPr>
          <w:rFonts w:eastAsia="Calibri"/>
          <w:b/>
        </w:rPr>
        <w:t>Lietuvos pozicija:</w:t>
      </w:r>
    </w:p>
    <w:p w14:paraId="7BF12FD8" w14:textId="75B16943" w:rsidR="004A5EC2" w:rsidRPr="004A5EC2" w:rsidRDefault="004C4B00" w:rsidP="004C4B00">
      <w:pPr>
        <w:spacing w:line="360" w:lineRule="auto"/>
        <w:ind w:firstLine="426"/>
        <w:jc w:val="both"/>
        <w:rPr>
          <w:rFonts w:eastAsia="Calibri"/>
        </w:rPr>
      </w:pPr>
      <w:r w:rsidRPr="004C4B00">
        <w:rPr>
          <w:rFonts w:eastAsia="Calibri"/>
        </w:rPr>
        <w:t xml:space="preserve">Siūloma ES Tarybos posėdžio metu išklausyti </w:t>
      </w:r>
      <w:r w:rsidR="007A087C">
        <w:rPr>
          <w:rFonts w:eastAsia="Calibri"/>
        </w:rPr>
        <w:t>p</w:t>
      </w:r>
      <w:r w:rsidRPr="004C4B00">
        <w:rPr>
          <w:rFonts w:eastAsia="Calibri"/>
        </w:rPr>
        <w:t>irmininkaujančios</w:t>
      </w:r>
      <w:r w:rsidR="007A087C">
        <w:rPr>
          <w:rFonts w:eastAsia="Calibri"/>
        </w:rPr>
        <w:t>ios</w:t>
      </w:r>
      <w:r w:rsidRPr="004C4B00">
        <w:rPr>
          <w:rFonts w:eastAsia="Calibri"/>
        </w:rPr>
        <w:t xml:space="preserve"> valstybės narės informaciją. </w:t>
      </w:r>
      <w:proofErr w:type="spellStart"/>
      <w:r>
        <w:rPr>
          <w:rFonts w:eastAsia="Calibri"/>
        </w:rPr>
        <w:t>B</w:t>
      </w:r>
      <w:r w:rsidRPr="004C4B00">
        <w:rPr>
          <w:rFonts w:eastAsia="Calibri"/>
        </w:rPr>
        <w:t>ioekonomikos</w:t>
      </w:r>
      <w:proofErr w:type="spellEnd"/>
      <w:r w:rsidRPr="004C4B00">
        <w:rPr>
          <w:rFonts w:eastAsia="Calibri"/>
        </w:rPr>
        <w:t xml:space="preserve"> plėtra labai svarbi Lietuvos žemės ūkiui, tikimės, kad šis išvadų projektas prisidės prie spartesnės </w:t>
      </w:r>
      <w:proofErr w:type="spellStart"/>
      <w:r w:rsidRPr="004C4B00">
        <w:rPr>
          <w:rFonts w:eastAsia="Calibri"/>
        </w:rPr>
        <w:t>bioekonomikos</w:t>
      </w:r>
      <w:proofErr w:type="spellEnd"/>
      <w:r w:rsidRPr="004C4B00">
        <w:rPr>
          <w:rFonts w:eastAsia="Calibri"/>
        </w:rPr>
        <w:t xml:space="preserve"> plėtros.</w:t>
      </w:r>
    </w:p>
    <w:p w14:paraId="37C4E52C" w14:textId="77777777" w:rsidR="00C26086" w:rsidRPr="00C26086" w:rsidRDefault="00C26086" w:rsidP="00C26086">
      <w:pPr>
        <w:spacing w:line="360" w:lineRule="auto"/>
        <w:jc w:val="both"/>
        <w:rPr>
          <w:noProof/>
        </w:rPr>
      </w:pPr>
    </w:p>
    <w:p w14:paraId="179887C7" w14:textId="77777777" w:rsidR="00C26086" w:rsidRPr="007046E6" w:rsidRDefault="00C26086" w:rsidP="00C26086">
      <w:pPr>
        <w:spacing w:line="360" w:lineRule="auto"/>
        <w:jc w:val="both"/>
        <w:rPr>
          <w:color w:val="000000"/>
        </w:rPr>
      </w:pPr>
    </w:p>
    <w:p w14:paraId="519D9903" w14:textId="77777777" w:rsidR="007046E6" w:rsidRPr="007046E6" w:rsidRDefault="007046E6" w:rsidP="007046E6">
      <w:pPr>
        <w:spacing w:line="360" w:lineRule="auto"/>
        <w:jc w:val="both"/>
        <w:rPr>
          <w:color w:val="000000"/>
          <w:lang w:eastAsia="lt-LT" w:bidi="lt-LT"/>
        </w:rPr>
      </w:pPr>
    </w:p>
    <w:p w14:paraId="2603D904" w14:textId="77777777" w:rsidR="007046E6" w:rsidRDefault="007046E6" w:rsidP="007046E6">
      <w:pPr>
        <w:spacing w:line="360" w:lineRule="auto"/>
      </w:pPr>
    </w:p>
    <w:p w14:paraId="7CA92885" w14:textId="77777777" w:rsidR="007046E6" w:rsidRPr="009372F3" w:rsidRDefault="007046E6" w:rsidP="007046E6">
      <w:pPr>
        <w:spacing w:line="360" w:lineRule="auto"/>
      </w:pPr>
    </w:p>
    <w:sectPr w:rsidR="007046E6" w:rsidRPr="009372F3" w:rsidSect="00577205">
      <w:headerReference w:type="default" r:id="rId8"/>
      <w:pgSz w:w="11906" w:h="16838"/>
      <w:pgMar w:top="426" w:right="707" w:bottom="567" w:left="1560"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A4728" w14:textId="77777777" w:rsidR="005E1AE3" w:rsidRDefault="005E1AE3" w:rsidP="00653435">
      <w:r>
        <w:separator/>
      </w:r>
    </w:p>
  </w:endnote>
  <w:endnote w:type="continuationSeparator" w:id="0">
    <w:p w14:paraId="6DB5A7C0" w14:textId="77777777" w:rsidR="005E1AE3" w:rsidRDefault="005E1AE3"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EDA0E" w14:textId="77777777" w:rsidR="005E1AE3" w:rsidRDefault="005E1AE3" w:rsidP="00653435">
      <w:r>
        <w:separator/>
      </w:r>
    </w:p>
  </w:footnote>
  <w:footnote w:type="continuationSeparator" w:id="0">
    <w:p w14:paraId="114D8D01" w14:textId="77777777" w:rsidR="005E1AE3" w:rsidRDefault="005E1AE3"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6"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7"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9"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1"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7"/>
  </w:num>
  <w:num w:numId="5">
    <w:abstractNumId w:val="12"/>
  </w:num>
  <w:num w:numId="6">
    <w:abstractNumId w:val="13"/>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6"/>
  </w:num>
  <w:num w:numId="11">
    <w:abstractNumId w:val="14"/>
  </w:num>
  <w:num w:numId="12">
    <w:abstractNumId w:val="10"/>
  </w:num>
  <w:num w:numId="13">
    <w:abstractNumId w:val="15"/>
  </w:num>
  <w:num w:numId="14">
    <w:abstractNumId w:val="6"/>
  </w:num>
  <w:num w:numId="15">
    <w:abstractNumId w:val="5"/>
  </w:num>
  <w:num w:numId="16">
    <w:abstractNumId w:val="0"/>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689A"/>
    <w:rsid w:val="00010892"/>
    <w:rsid w:val="00016197"/>
    <w:rsid w:val="000164C6"/>
    <w:rsid w:val="0004746E"/>
    <w:rsid w:val="000503B8"/>
    <w:rsid w:val="00057B92"/>
    <w:rsid w:val="00061754"/>
    <w:rsid w:val="00076701"/>
    <w:rsid w:val="00077114"/>
    <w:rsid w:val="00093F21"/>
    <w:rsid w:val="000B2394"/>
    <w:rsid w:val="000F735A"/>
    <w:rsid w:val="00114744"/>
    <w:rsid w:val="001236B7"/>
    <w:rsid w:val="001444D2"/>
    <w:rsid w:val="00147E7C"/>
    <w:rsid w:val="0015590F"/>
    <w:rsid w:val="00161A36"/>
    <w:rsid w:val="00181AEF"/>
    <w:rsid w:val="00195CB2"/>
    <w:rsid w:val="001B0555"/>
    <w:rsid w:val="001D07F7"/>
    <w:rsid w:val="001D0844"/>
    <w:rsid w:val="001E5CC7"/>
    <w:rsid w:val="001F11D4"/>
    <w:rsid w:val="00215DAC"/>
    <w:rsid w:val="00216E58"/>
    <w:rsid w:val="002274D5"/>
    <w:rsid w:val="00236B5A"/>
    <w:rsid w:val="00281E73"/>
    <w:rsid w:val="00282533"/>
    <w:rsid w:val="002B4729"/>
    <w:rsid w:val="002D03B5"/>
    <w:rsid w:val="002D1510"/>
    <w:rsid w:val="002E3EE3"/>
    <w:rsid w:val="002E78D6"/>
    <w:rsid w:val="00325ACE"/>
    <w:rsid w:val="00327744"/>
    <w:rsid w:val="00337EC5"/>
    <w:rsid w:val="00345667"/>
    <w:rsid w:val="00347A60"/>
    <w:rsid w:val="00353B20"/>
    <w:rsid w:val="00360F41"/>
    <w:rsid w:val="0036221A"/>
    <w:rsid w:val="003701AD"/>
    <w:rsid w:val="00373A7A"/>
    <w:rsid w:val="00386BB3"/>
    <w:rsid w:val="00392F30"/>
    <w:rsid w:val="003B735C"/>
    <w:rsid w:val="003B7877"/>
    <w:rsid w:val="003D7045"/>
    <w:rsid w:val="003E06E2"/>
    <w:rsid w:val="003E2E04"/>
    <w:rsid w:val="00400BB3"/>
    <w:rsid w:val="00424C39"/>
    <w:rsid w:val="00450C20"/>
    <w:rsid w:val="0045208C"/>
    <w:rsid w:val="004669B6"/>
    <w:rsid w:val="004821A0"/>
    <w:rsid w:val="00482F90"/>
    <w:rsid w:val="00492BDE"/>
    <w:rsid w:val="004A5EC2"/>
    <w:rsid w:val="004A7CD9"/>
    <w:rsid w:val="004B4CBD"/>
    <w:rsid w:val="004B7725"/>
    <w:rsid w:val="004C4B00"/>
    <w:rsid w:val="004D1BD6"/>
    <w:rsid w:val="004D1E14"/>
    <w:rsid w:val="004D582F"/>
    <w:rsid w:val="004E44C4"/>
    <w:rsid w:val="004F546A"/>
    <w:rsid w:val="004F70E5"/>
    <w:rsid w:val="00500AB6"/>
    <w:rsid w:val="00504910"/>
    <w:rsid w:val="00507B15"/>
    <w:rsid w:val="00512B57"/>
    <w:rsid w:val="00521BBF"/>
    <w:rsid w:val="005362BF"/>
    <w:rsid w:val="00542F85"/>
    <w:rsid w:val="00543A7D"/>
    <w:rsid w:val="00552936"/>
    <w:rsid w:val="005538CA"/>
    <w:rsid w:val="00555FD6"/>
    <w:rsid w:val="00577205"/>
    <w:rsid w:val="00581D4E"/>
    <w:rsid w:val="005A0AF4"/>
    <w:rsid w:val="005A1708"/>
    <w:rsid w:val="005B39AC"/>
    <w:rsid w:val="005E1AE3"/>
    <w:rsid w:val="005F1488"/>
    <w:rsid w:val="0060044F"/>
    <w:rsid w:val="00634239"/>
    <w:rsid w:val="00635585"/>
    <w:rsid w:val="00653435"/>
    <w:rsid w:val="00655463"/>
    <w:rsid w:val="006743CB"/>
    <w:rsid w:val="006A1B39"/>
    <w:rsid w:val="006A49E2"/>
    <w:rsid w:val="006D5593"/>
    <w:rsid w:val="006E3E09"/>
    <w:rsid w:val="007046E6"/>
    <w:rsid w:val="00706F4A"/>
    <w:rsid w:val="007141E3"/>
    <w:rsid w:val="007173A1"/>
    <w:rsid w:val="00720D88"/>
    <w:rsid w:val="00744D89"/>
    <w:rsid w:val="00747474"/>
    <w:rsid w:val="00757D1B"/>
    <w:rsid w:val="0076467E"/>
    <w:rsid w:val="007934A9"/>
    <w:rsid w:val="007A087C"/>
    <w:rsid w:val="007B64F2"/>
    <w:rsid w:val="007D2630"/>
    <w:rsid w:val="007F07EE"/>
    <w:rsid w:val="00820C3A"/>
    <w:rsid w:val="0082481F"/>
    <w:rsid w:val="00831133"/>
    <w:rsid w:val="00835988"/>
    <w:rsid w:val="00836E99"/>
    <w:rsid w:val="00857B56"/>
    <w:rsid w:val="00857DE8"/>
    <w:rsid w:val="00861F65"/>
    <w:rsid w:val="008A0F32"/>
    <w:rsid w:val="008A5687"/>
    <w:rsid w:val="008A6F0C"/>
    <w:rsid w:val="008B1086"/>
    <w:rsid w:val="008B3B02"/>
    <w:rsid w:val="008C3D42"/>
    <w:rsid w:val="008F3F81"/>
    <w:rsid w:val="008F4844"/>
    <w:rsid w:val="00906FC1"/>
    <w:rsid w:val="00915033"/>
    <w:rsid w:val="00915597"/>
    <w:rsid w:val="009372F3"/>
    <w:rsid w:val="00943D9D"/>
    <w:rsid w:val="0096696D"/>
    <w:rsid w:val="009677A6"/>
    <w:rsid w:val="00975669"/>
    <w:rsid w:val="009D1811"/>
    <w:rsid w:val="00A010B0"/>
    <w:rsid w:val="00A24A6B"/>
    <w:rsid w:val="00A34F9D"/>
    <w:rsid w:val="00A3698B"/>
    <w:rsid w:val="00A40ACC"/>
    <w:rsid w:val="00A40F1D"/>
    <w:rsid w:val="00A83A3B"/>
    <w:rsid w:val="00A90504"/>
    <w:rsid w:val="00A91C43"/>
    <w:rsid w:val="00AA6D96"/>
    <w:rsid w:val="00AB4274"/>
    <w:rsid w:val="00AD7CCD"/>
    <w:rsid w:val="00AE7138"/>
    <w:rsid w:val="00B35A43"/>
    <w:rsid w:val="00B370E0"/>
    <w:rsid w:val="00B45249"/>
    <w:rsid w:val="00B67148"/>
    <w:rsid w:val="00B83B3A"/>
    <w:rsid w:val="00BA45EC"/>
    <w:rsid w:val="00BA6165"/>
    <w:rsid w:val="00BA7682"/>
    <w:rsid w:val="00BD413C"/>
    <w:rsid w:val="00BF693A"/>
    <w:rsid w:val="00C0045E"/>
    <w:rsid w:val="00C05A9C"/>
    <w:rsid w:val="00C13238"/>
    <w:rsid w:val="00C13C37"/>
    <w:rsid w:val="00C21E84"/>
    <w:rsid w:val="00C26086"/>
    <w:rsid w:val="00C26F8F"/>
    <w:rsid w:val="00C90180"/>
    <w:rsid w:val="00CA23F1"/>
    <w:rsid w:val="00CA7F5E"/>
    <w:rsid w:val="00CC5C12"/>
    <w:rsid w:val="00CF5D8D"/>
    <w:rsid w:val="00CF6336"/>
    <w:rsid w:val="00D002FB"/>
    <w:rsid w:val="00D148E0"/>
    <w:rsid w:val="00D315BA"/>
    <w:rsid w:val="00D32195"/>
    <w:rsid w:val="00D359D8"/>
    <w:rsid w:val="00D51A0A"/>
    <w:rsid w:val="00D72B5F"/>
    <w:rsid w:val="00D7548F"/>
    <w:rsid w:val="00D82DFA"/>
    <w:rsid w:val="00DC6CB5"/>
    <w:rsid w:val="00DD0468"/>
    <w:rsid w:val="00DD1C9C"/>
    <w:rsid w:val="00DE1A4A"/>
    <w:rsid w:val="00DE3BA1"/>
    <w:rsid w:val="00DE6B92"/>
    <w:rsid w:val="00DF575F"/>
    <w:rsid w:val="00E152D4"/>
    <w:rsid w:val="00E267D6"/>
    <w:rsid w:val="00E662D6"/>
    <w:rsid w:val="00E74F38"/>
    <w:rsid w:val="00E87BE2"/>
    <w:rsid w:val="00EA5C7A"/>
    <w:rsid w:val="00EB563F"/>
    <w:rsid w:val="00EF42DB"/>
    <w:rsid w:val="00F01EA6"/>
    <w:rsid w:val="00F02B6A"/>
    <w:rsid w:val="00F117E0"/>
    <w:rsid w:val="00F34BBF"/>
    <w:rsid w:val="00F45F77"/>
    <w:rsid w:val="00F705D4"/>
    <w:rsid w:val="00F91E9C"/>
    <w:rsid w:val="00FA0A08"/>
    <w:rsid w:val="00FA2D29"/>
    <w:rsid w:val="00FA5015"/>
    <w:rsid w:val="00FB49D2"/>
    <w:rsid w:val="00FD5E4F"/>
    <w:rsid w:val="00FE0B4A"/>
    <w:rsid w:val="00FF10E1"/>
    <w:rsid w:val="00FF1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0892"/>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D35F-4DB7-4446-B266-8A400AB3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6</Pages>
  <Words>9879</Words>
  <Characters>5632</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Savelijus Julius Zimanas</cp:lastModifiedBy>
  <cp:revision>20</cp:revision>
  <cp:lastPrinted>2019-11-28T14:07:00Z</cp:lastPrinted>
  <dcterms:created xsi:type="dcterms:W3CDTF">2019-11-27T07:29:00Z</dcterms:created>
  <dcterms:modified xsi:type="dcterms:W3CDTF">2019-11-28T14:08:00Z</dcterms:modified>
</cp:coreProperties>
</file>