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40A67"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8240" behindDoc="0" locked="0" layoutInCell="0" allowOverlap="1" wp14:anchorId="4E440AA0" wp14:editId="4E440AA1">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4E440A68" w14:textId="77777777" w:rsidR="00675A68" w:rsidRDefault="00675A68" w:rsidP="00282963">
      <w:pPr>
        <w:ind w:left="-851"/>
        <w:jc w:val="center"/>
        <w:rPr>
          <w:b/>
          <w:caps/>
          <w:sz w:val="10"/>
        </w:rPr>
      </w:pPr>
    </w:p>
    <w:p w14:paraId="4E440A69"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faks. 8 706 64 762, el. p. kanc@</w:t>
      </w:r>
      <w:r w:rsidR="0055629A">
        <w:rPr>
          <w:sz w:val="17"/>
        </w:rPr>
        <w:t>eimin</w:t>
      </w:r>
      <w:r>
        <w:rPr>
          <w:sz w:val="17"/>
        </w:rPr>
        <w:t xml:space="preserve">.lt, </w:t>
      </w:r>
      <w:r w:rsidR="00CB438D">
        <w:rPr>
          <w:sz w:val="17"/>
        </w:rPr>
        <w:t>http://</w:t>
      </w:r>
      <w:r w:rsidR="0055629A">
        <w:rPr>
          <w:sz w:val="17"/>
        </w:rPr>
        <w:t>eimin</w:t>
      </w:r>
      <w:r>
        <w:rPr>
          <w:sz w:val="17"/>
        </w:rPr>
        <w:t>.</w:t>
      </w:r>
      <w:r w:rsidR="00CB438D">
        <w:rPr>
          <w:sz w:val="17"/>
        </w:rPr>
        <w:t>lrv.</w:t>
      </w:r>
      <w:r>
        <w:rPr>
          <w:sz w:val="17"/>
        </w:rPr>
        <w:t>lt.</w:t>
      </w:r>
    </w:p>
    <w:p w14:paraId="4E440A6A"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4E440A6B" w14:textId="77777777" w:rsidR="00675A68" w:rsidRDefault="00CB438D">
      <w:r>
        <w:rPr>
          <w:noProof/>
          <w:lang w:eastAsia="lt-LT"/>
        </w:rPr>
        <mc:AlternateContent>
          <mc:Choice Requires="wps">
            <w:drawing>
              <wp:anchor distT="0" distB="0" distL="114300" distR="114300" simplePos="0" relativeHeight="251658241" behindDoc="1" locked="0" layoutInCell="1" allowOverlap="1" wp14:anchorId="4E440AA2" wp14:editId="4E440AA3">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D421C17"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SJ4pAIAAJUFAAAOAAAAZHJzL2Uyb0RvYy54bWysVFFvmzAQfp+0/2DxToGEAEElVUrIXrqt Ujvt2cEGrIGNbCckmvbfdzaBtd3LNDWRkM/2fffd3Xe+vTt3LTpRqZjgmRPc+A6ivBSE8Tpzvj3v 3cRBSmNOcCs4zZwLVc7d5uOH26FP6UI0oiVUIgDhKh36zGm07lPPU2VDO6xuRE85HFZCdliDKWuP SDwAetd6C9+PvEFI0ktRUqVgdzceOhuLX1W01F+rSlGN2swBbtp+pf0ezNfb3OK0lrhvWHmlgf+D RYcZh6Az1A5rjI6S/QXVsVIKJSp9U4rOE1XFSmpzgGwC/002Tw3uqc0FiqP6uUzq/WDLL6dHiRiB 3jmI4w5atD1qYSOjhSnP0KsUbuX8UZoEyzN/6h9E+UMhLvIG85ray8+XHnwD4+G9cjGG6iHIYfgs CNzBgG9rda5kZyChCuhsW3KZW0LPGpWwuVovwtUKOldOZx5OJ8deKv2Jig6ZReYoLTGrG50LzqHx QgY2DD49KG1o4XRyMFG52LO2tf1vORoyJ1pCHHOiRMuIObSGrA95K9EJGwXZn83xzTUpjpxYsIZi UlzXGrN2XEPwlhs8akU5MgLrrGFp9yFhK5ifa39dJEUSuuEiKtzQ3+3c7T4P3WgfxKvdcpfnu+CX IRqEacMIodxwncQbhP8mjusYjbKb5TsXxXuNbqsHZF8z3e5XfhwuEzeOV0s3XBa+e5/sc3ebB1EU F/f5ffGGaWGzV+9Ddi6lYSWOmsqnhgyIMCOGRbJcw9tDGAz7MvEjfx07CLc1vFKllg6SQn9nurHa NaozGOplr+O9+Y8KavsGjwpYGQVMAhiv29rM4cdKTU021tyma/J/agmimARgZ8aMyThwB0Euj3Ka JZh963R9p8zj8tKG9cvXdPMbAAD//wMAUEsDBBQABgAIAAAAIQBQGPAa2QAAAAYBAAAPAAAAZHJz L2Rvd25yZXYueG1sTI4xT8MwFIR3JP6D9SqxtU4rsEqIUyEQExNph4xO/JpEjZ+j2E3Sf8+DBabT 6U53X3ZYXC8mHEPnScN2k4BAqr3tqNFwOn6s9yBCNGRN7wk13DDAIb+/y0xq/UxfOBWxETxCITUa 2hiHVMpQt+hM2PgBibOzH52JbMdG2tHMPO56uUsSJZ3piB9aM+Bbi/WluDoNR/9+7p7KotqXvlRT gvPnrZi1flgtry8gIi7xrww/+IwOOTNV/ko2iF7DWilusm5BcPy8U48gql8v80z+x8+/AQAA//8D AFBLAQItABQABgAIAAAAIQC2gziS/gAAAOEBAAATAAAAAAAAAAAAAAAAAAAAAABbQ29udGVudF9U eXBlc10ueG1sUEsBAi0AFAAGAAgAAAAhADj9If/WAAAAlAEAAAsAAAAAAAAAAAAAAAAALwEAAF9y ZWxzLy5yZWxzUEsBAi0AFAAGAAgAAAAhAAU9InikAgAAlQUAAA4AAAAAAAAAAAAAAAAALgIAAGRy cy9lMm9Eb2MueG1sUEsBAi0AFAAGAAgAAAAhAFAY8BrZAAAABgEAAA8AAAAAAAAAAAAAAAAA/gQA AGRycy9kb3ducmV2LnhtbFBLBQYAAAAABAAEAPMAAAAEBgAAAAA= " strokeweight=".5pt">
                <v:shadow color="#7f7f7f" opacity=".5" offset="1pt"/>
              </v:shape>
            </w:pict>
          </mc:Fallback>
        </mc:AlternateContent>
      </w:r>
    </w:p>
    <w:p w14:paraId="4E440A6C" w14:textId="77777777" w:rsidR="00675A68" w:rsidRDefault="00675A68"/>
    <w:tbl>
      <w:tblPr>
        <w:tblW w:w="0" w:type="auto"/>
        <w:tblCellMar>
          <w:left w:w="0" w:type="dxa"/>
          <w:right w:w="28" w:type="dxa"/>
        </w:tblCellMar>
        <w:tblLook w:val="0000" w:firstRow="0" w:lastRow="0" w:firstColumn="0" w:lastColumn="0" w:noHBand="0" w:noVBand="0"/>
      </w:tblPr>
      <w:tblGrid>
        <w:gridCol w:w="4643"/>
        <w:gridCol w:w="427"/>
        <w:gridCol w:w="1559"/>
        <w:gridCol w:w="2658"/>
      </w:tblGrid>
      <w:tr w:rsidR="00675A68" w14:paraId="4E440A71" w14:textId="77777777">
        <w:trPr>
          <w:cantSplit/>
        </w:trPr>
        <w:tc>
          <w:tcPr>
            <w:tcW w:w="4643" w:type="dxa"/>
            <w:vMerge w:val="restart"/>
          </w:tcPr>
          <w:p w14:paraId="4E440A6D" w14:textId="77777777" w:rsidR="00675A68" w:rsidRDefault="00983C57" w:rsidP="00027212">
            <w:pPr>
              <w:jc w:val="left"/>
            </w:pPr>
            <w:r>
              <w:t xml:space="preserve">Lietuvos Respublikos </w:t>
            </w:r>
            <w:r w:rsidR="00027212">
              <w:t>susisiekimo</w:t>
            </w:r>
            <w:r w:rsidR="00512B84">
              <w:t xml:space="preserve"> </w:t>
            </w:r>
            <w:r>
              <w:t>ministerijai</w:t>
            </w:r>
          </w:p>
        </w:tc>
        <w:tc>
          <w:tcPr>
            <w:tcW w:w="427" w:type="dxa"/>
          </w:tcPr>
          <w:p w14:paraId="4E440A6E" w14:textId="77777777" w:rsidR="00675A68" w:rsidRDefault="00675A68">
            <w:pPr>
              <w:jc w:val="left"/>
            </w:pPr>
          </w:p>
        </w:tc>
        <w:tc>
          <w:tcPr>
            <w:tcW w:w="1559" w:type="dxa"/>
          </w:tcPr>
          <w:p w14:paraId="4E440A6F" w14:textId="77777777" w:rsidR="00675A68" w:rsidRDefault="00E4706A" w:rsidP="00027212">
            <w:pPr>
              <w:jc w:val="left"/>
            </w:pPr>
            <w:r>
              <w:t>201</w:t>
            </w:r>
            <w:r w:rsidR="00715730">
              <w:t>9</w:t>
            </w:r>
            <w:r w:rsidR="00675A68">
              <w:t>-</w:t>
            </w:r>
            <w:r w:rsidR="00027212">
              <w:t>02-</w:t>
            </w:r>
          </w:p>
        </w:tc>
        <w:tc>
          <w:tcPr>
            <w:tcW w:w="2658" w:type="dxa"/>
          </w:tcPr>
          <w:p w14:paraId="4E440A70" w14:textId="77777777" w:rsidR="00675A68" w:rsidRDefault="00675A68" w:rsidP="00027212">
            <w:pPr>
              <w:jc w:val="left"/>
            </w:pPr>
            <w:r>
              <w:t xml:space="preserve">Nr. </w:t>
            </w:r>
            <w:r w:rsidR="00027212" w:rsidRPr="00F95257">
              <w:t>(15.27-43E)-3-</w:t>
            </w:r>
          </w:p>
        </w:tc>
      </w:tr>
      <w:tr w:rsidR="00675A68" w14:paraId="4E440A76" w14:textId="77777777">
        <w:trPr>
          <w:cantSplit/>
        </w:trPr>
        <w:tc>
          <w:tcPr>
            <w:tcW w:w="4643" w:type="dxa"/>
            <w:vMerge/>
          </w:tcPr>
          <w:p w14:paraId="4E440A72" w14:textId="77777777" w:rsidR="00675A68" w:rsidRDefault="00675A68">
            <w:pPr>
              <w:jc w:val="left"/>
            </w:pPr>
          </w:p>
        </w:tc>
        <w:tc>
          <w:tcPr>
            <w:tcW w:w="427" w:type="dxa"/>
          </w:tcPr>
          <w:p w14:paraId="4E440A73" w14:textId="77777777" w:rsidR="00675A68" w:rsidRDefault="003D75DA" w:rsidP="003D75DA">
            <w:pPr>
              <w:jc w:val="center"/>
            </w:pPr>
            <w:r>
              <w:t>Į</w:t>
            </w:r>
          </w:p>
        </w:tc>
        <w:tc>
          <w:tcPr>
            <w:tcW w:w="1559" w:type="dxa"/>
          </w:tcPr>
          <w:p w14:paraId="4E440A74" w14:textId="77777777" w:rsidR="00675A68" w:rsidRDefault="003D75DA" w:rsidP="00027212">
            <w:pPr>
              <w:jc w:val="left"/>
            </w:pPr>
            <w:r>
              <w:t>2019-</w:t>
            </w:r>
            <w:r w:rsidR="00027212">
              <w:t>02-12</w:t>
            </w:r>
          </w:p>
        </w:tc>
        <w:tc>
          <w:tcPr>
            <w:tcW w:w="2658" w:type="dxa"/>
          </w:tcPr>
          <w:p w14:paraId="4E440A75" w14:textId="77777777" w:rsidR="00675A68" w:rsidRDefault="00675A68" w:rsidP="00027212">
            <w:pPr>
              <w:jc w:val="left"/>
            </w:pPr>
            <w:r>
              <w:t xml:space="preserve">Nr. </w:t>
            </w:r>
            <w:r w:rsidR="00027212">
              <w:t>2-1243</w:t>
            </w:r>
          </w:p>
        </w:tc>
      </w:tr>
      <w:tr w:rsidR="00675A68" w14:paraId="4E440A7B" w14:textId="77777777">
        <w:trPr>
          <w:cantSplit/>
        </w:trPr>
        <w:tc>
          <w:tcPr>
            <w:tcW w:w="4643" w:type="dxa"/>
          </w:tcPr>
          <w:p w14:paraId="4E440A77" w14:textId="77777777" w:rsidR="00675A68" w:rsidRDefault="00675A68">
            <w:pPr>
              <w:jc w:val="left"/>
            </w:pPr>
          </w:p>
        </w:tc>
        <w:tc>
          <w:tcPr>
            <w:tcW w:w="427" w:type="dxa"/>
          </w:tcPr>
          <w:p w14:paraId="4E440A78" w14:textId="77777777" w:rsidR="00675A68" w:rsidRDefault="00675A68">
            <w:pPr>
              <w:jc w:val="left"/>
            </w:pPr>
          </w:p>
        </w:tc>
        <w:tc>
          <w:tcPr>
            <w:tcW w:w="1559" w:type="dxa"/>
          </w:tcPr>
          <w:p w14:paraId="4E440A79" w14:textId="77777777" w:rsidR="00675A68" w:rsidRDefault="00675A68">
            <w:pPr>
              <w:jc w:val="left"/>
            </w:pPr>
          </w:p>
        </w:tc>
        <w:tc>
          <w:tcPr>
            <w:tcW w:w="2658" w:type="dxa"/>
          </w:tcPr>
          <w:p w14:paraId="4E440A7A" w14:textId="77777777" w:rsidR="00675A68" w:rsidRDefault="00675A68">
            <w:pPr>
              <w:jc w:val="left"/>
            </w:pPr>
          </w:p>
        </w:tc>
      </w:tr>
      <w:tr w:rsidR="00675A68" w14:paraId="4E440A80" w14:textId="77777777">
        <w:trPr>
          <w:cantSplit/>
        </w:trPr>
        <w:tc>
          <w:tcPr>
            <w:tcW w:w="4643" w:type="dxa"/>
          </w:tcPr>
          <w:p w14:paraId="4E440A7C" w14:textId="77777777" w:rsidR="00675A68" w:rsidRDefault="00675A68">
            <w:pPr>
              <w:jc w:val="left"/>
            </w:pPr>
          </w:p>
        </w:tc>
        <w:tc>
          <w:tcPr>
            <w:tcW w:w="427" w:type="dxa"/>
          </w:tcPr>
          <w:p w14:paraId="4E440A7D" w14:textId="77777777" w:rsidR="00675A68" w:rsidRDefault="00675A68">
            <w:pPr>
              <w:jc w:val="left"/>
            </w:pPr>
          </w:p>
        </w:tc>
        <w:tc>
          <w:tcPr>
            <w:tcW w:w="1559" w:type="dxa"/>
          </w:tcPr>
          <w:p w14:paraId="4E440A7E" w14:textId="77777777" w:rsidR="00675A68" w:rsidRDefault="00675A68">
            <w:pPr>
              <w:jc w:val="left"/>
            </w:pPr>
          </w:p>
        </w:tc>
        <w:tc>
          <w:tcPr>
            <w:tcW w:w="2658" w:type="dxa"/>
          </w:tcPr>
          <w:p w14:paraId="4E440A7F" w14:textId="77777777" w:rsidR="00675A68" w:rsidRDefault="00675A68">
            <w:pPr>
              <w:jc w:val="left"/>
            </w:pPr>
          </w:p>
        </w:tc>
      </w:tr>
      <w:tr w:rsidR="00675A68" w14:paraId="4E440A85" w14:textId="77777777">
        <w:trPr>
          <w:cantSplit/>
        </w:trPr>
        <w:tc>
          <w:tcPr>
            <w:tcW w:w="4643" w:type="dxa"/>
          </w:tcPr>
          <w:p w14:paraId="4E440A81" w14:textId="77777777" w:rsidR="00675A68" w:rsidRDefault="00675A68">
            <w:pPr>
              <w:jc w:val="left"/>
            </w:pPr>
          </w:p>
        </w:tc>
        <w:tc>
          <w:tcPr>
            <w:tcW w:w="427" w:type="dxa"/>
          </w:tcPr>
          <w:p w14:paraId="4E440A82" w14:textId="77777777" w:rsidR="00675A68" w:rsidRDefault="00675A68">
            <w:pPr>
              <w:jc w:val="left"/>
            </w:pPr>
          </w:p>
        </w:tc>
        <w:tc>
          <w:tcPr>
            <w:tcW w:w="1559" w:type="dxa"/>
          </w:tcPr>
          <w:p w14:paraId="4E440A83" w14:textId="77777777" w:rsidR="00675A68" w:rsidRDefault="00675A68">
            <w:pPr>
              <w:jc w:val="left"/>
            </w:pPr>
          </w:p>
        </w:tc>
        <w:tc>
          <w:tcPr>
            <w:tcW w:w="2658" w:type="dxa"/>
          </w:tcPr>
          <w:p w14:paraId="4E440A84" w14:textId="77777777" w:rsidR="00675A68" w:rsidRDefault="00675A68">
            <w:pPr>
              <w:jc w:val="left"/>
            </w:pPr>
          </w:p>
        </w:tc>
      </w:tr>
    </w:tbl>
    <w:p w14:paraId="4E440A86" w14:textId="77777777" w:rsidR="00027212" w:rsidRPr="00027212" w:rsidRDefault="00027212" w:rsidP="00027212">
      <w:pPr>
        <w:rPr>
          <w:rFonts w:ascii="Calibri" w:hAnsi="Calibri"/>
          <w:sz w:val="22"/>
          <w:szCs w:val="22"/>
          <w:lang w:val="en-US" w:eastAsia="ko-KR"/>
        </w:rPr>
      </w:pPr>
      <w:r w:rsidRPr="00027212">
        <w:rPr>
          <w:b/>
          <w:bCs/>
          <w:caps/>
          <w:szCs w:val="24"/>
          <w:lang w:eastAsia="ko-KR"/>
        </w:rPr>
        <w:t>DĖL įstatymo PROJEKTo</w:t>
      </w:r>
    </w:p>
    <w:p w14:paraId="4E440A87" w14:textId="77777777" w:rsidR="00027212" w:rsidRPr="00027212" w:rsidRDefault="00027212" w:rsidP="00027212">
      <w:pPr>
        <w:spacing w:line="276" w:lineRule="auto"/>
        <w:rPr>
          <w:rFonts w:ascii="Calibri" w:hAnsi="Calibri"/>
          <w:sz w:val="22"/>
          <w:szCs w:val="22"/>
          <w:lang w:val="en-US" w:eastAsia="ko-KR"/>
        </w:rPr>
      </w:pPr>
      <w:r w:rsidRPr="00027212">
        <w:rPr>
          <w:rFonts w:ascii="Calibri" w:hAnsi="Calibri"/>
          <w:sz w:val="22"/>
          <w:szCs w:val="22"/>
          <w:lang w:eastAsia="ko-KR"/>
        </w:rPr>
        <w:t> </w:t>
      </w:r>
    </w:p>
    <w:p w14:paraId="4E440A88" w14:textId="77777777" w:rsidR="00027212" w:rsidRPr="00EA68D8" w:rsidRDefault="00027212" w:rsidP="00DC398C">
      <w:pPr>
        <w:spacing w:line="360" w:lineRule="auto"/>
        <w:ind w:firstLine="720"/>
        <w:rPr>
          <w:szCs w:val="24"/>
          <w:lang w:eastAsia="ko-KR"/>
        </w:rPr>
      </w:pPr>
      <w:r w:rsidRPr="003B6F7F">
        <w:rPr>
          <w:szCs w:val="24"/>
          <w:lang w:eastAsia="ko-KR"/>
        </w:rPr>
        <w:t xml:space="preserve">Lietuvos Respublikos </w:t>
      </w:r>
      <w:r w:rsidRPr="003B6F7F">
        <w:rPr>
          <w:szCs w:val="24"/>
        </w:rPr>
        <w:t>ekonomikos ir inovacijų</w:t>
      </w:r>
      <w:r w:rsidRPr="003B6F7F">
        <w:rPr>
          <w:szCs w:val="24"/>
          <w:lang w:eastAsia="ko-KR"/>
        </w:rPr>
        <w:t xml:space="preserve"> ministerija (toliau – </w:t>
      </w:r>
      <w:r w:rsidRPr="003B6F7F">
        <w:rPr>
          <w:szCs w:val="24"/>
        </w:rPr>
        <w:t>Ekonomikos ir inovacijų ministerija)</w:t>
      </w:r>
      <w:r w:rsidRPr="003B6F7F">
        <w:rPr>
          <w:szCs w:val="24"/>
          <w:lang w:eastAsia="ko-KR"/>
        </w:rPr>
        <w:t>, pagal kompetenciją išnagrinėjusi derin</w:t>
      </w:r>
      <w:r w:rsidR="00DC398C" w:rsidRPr="003B6F7F">
        <w:rPr>
          <w:szCs w:val="24"/>
          <w:lang w:eastAsia="ko-KR"/>
        </w:rPr>
        <w:t>t</w:t>
      </w:r>
      <w:r w:rsidRPr="00EA68D8">
        <w:rPr>
          <w:szCs w:val="24"/>
          <w:lang w:eastAsia="ko-KR"/>
        </w:rPr>
        <w:t xml:space="preserve">i pateiktą </w:t>
      </w:r>
      <w:r w:rsidR="003B6F7F" w:rsidRPr="00EA68D8">
        <w:rPr>
          <w:szCs w:val="24"/>
          <w:lang w:eastAsia="ko-KR"/>
        </w:rPr>
        <w:t>Lietuvos Respublikos pašto įstatymo Nr. VIII-1141 1, 19, 20, 23, 26, 27 straipsnių ir priedo pakeitimo įstatymo projektą</w:t>
      </w:r>
      <w:r w:rsidRPr="00EA68D8">
        <w:rPr>
          <w:szCs w:val="24"/>
          <w:lang w:eastAsia="ko-KR"/>
        </w:rPr>
        <w:t xml:space="preserve"> </w:t>
      </w:r>
      <w:r w:rsidR="00DC398C" w:rsidRPr="00EA68D8">
        <w:rPr>
          <w:szCs w:val="24"/>
          <w:lang w:eastAsia="ko-KR"/>
        </w:rPr>
        <w:t xml:space="preserve">                                          </w:t>
      </w:r>
      <w:r w:rsidRPr="00EA68D8">
        <w:rPr>
          <w:szCs w:val="24"/>
          <w:lang w:eastAsia="ko-KR"/>
        </w:rPr>
        <w:t>(TAIS Nr. 19</w:t>
      </w:r>
      <w:r w:rsidR="005F4EC6" w:rsidRPr="00EA68D8">
        <w:rPr>
          <w:szCs w:val="24"/>
          <w:lang w:eastAsia="ko-KR"/>
        </w:rPr>
        <w:t>-1564)</w:t>
      </w:r>
      <w:r w:rsidR="005C7428" w:rsidRPr="00EA68D8">
        <w:rPr>
          <w:szCs w:val="24"/>
          <w:lang w:eastAsia="ko-KR"/>
        </w:rPr>
        <w:t xml:space="preserve"> </w:t>
      </w:r>
      <w:r w:rsidRPr="00EA68D8">
        <w:rPr>
          <w:szCs w:val="24"/>
          <w:lang w:eastAsia="ko-KR"/>
        </w:rPr>
        <w:t>(toliau – Pašto įstatymo projektas), teikia šias pastabas ir pasiūlymus:</w:t>
      </w:r>
    </w:p>
    <w:p w14:paraId="4E440A89" w14:textId="77777777" w:rsidR="00990304" w:rsidRPr="00EA68D8" w:rsidRDefault="005C7428" w:rsidP="00DC398C">
      <w:pPr>
        <w:pStyle w:val="KTpstrnum"/>
        <w:numPr>
          <w:ilvl w:val="0"/>
          <w:numId w:val="2"/>
        </w:numPr>
        <w:spacing w:line="360" w:lineRule="auto"/>
        <w:ind w:left="0" w:firstLine="720"/>
        <w:rPr>
          <w:sz w:val="24"/>
          <w:szCs w:val="24"/>
        </w:rPr>
      </w:pPr>
      <w:r w:rsidRPr="00EA68D8">
        <w:rPr>
          <w:sz w:val="24"/>
          <w:szCs w:val="24"/>
          <w:lang w:eastAsia="ko-KR"/>
        </w:rPr>
        <w:t>Pašto įstatymo projekto 5 straipsniu k</w:t>
      </w:r>
      <w:r w:rsidR="00784174" w:rsidRPr="00EA68D8">
        <w:rPr>
          <w:sz w:val="24"/>
          <w:szCs w:val="24"/>
          <w:lang w:eastAsia="ko-KR"/>
        </w:rPr>
        <w:t>e</w:t>
      </w:r>
      <w:r w:rsidRPr="00EA68D8">
        <w:rPr>
          <w:sz w:val="24"/>
          <w:szCs w:val="24"/>
          <w:lang w:eastAsia="ko-KR"/>
        </w:rPr>
        <w:t xml:space="preserve">ičiamo 26 straipsnio 1 dalyje nurodyta, kad Ryšių reguliavimo tarnyba gali skirti baudą už šios tarnybos patvirtintų Pašto paslaugos teikimo taisyklių nesilaikymą. </w:t>
      </w:r>
      <w:r w:rsidRPr="00EA68D8">
        <w:rPr>
          <w:sz w:val="24"/>
          <w:szCs w:val="24"/>
        </w:rPr>
        <w:t>Lietuvos Respublikos Konstitucinis Teismas yra ne kartą nurodęs, kad, imantis ūkinės veiklos ribojimų ir draudimų nustatymo, turi būti laikomasi tam tikrų sąlygų: 1) ūkinės veiklos laisvė ribojama įstatymu; 2) ribojimai yra būtini demokratinėje visuomenėje siekiant apsaugoti kitų asmenų teises ir laisves bei Lietuvos Respublikos Konstitucijoje įtvirtintas vertybes, taip pat konstituciškai svarbius tikslus; 3) ribojimais nėra paneigiama teisių ir laisvių prigimtis bei esmė; 4) yra laikomasi konstitucinio proporcingumo principo</w:t>
      </w:r>
      <w:r w:rsidRPr="00EA68D8">
        <w:rPr>
          <w:rStyle w:val="Puslapioinaosnuoroda"/>
          <w:sz w:val="24"/>
          <w:szCs w:val="24"/>
        </w:rPr>
        <w:footnoteReference w:id="2"/>
      </w:r>
      <w:r w:rsidRPr="00EA68D8">
        <w:rPr>
          <w:sz w:val="24"/>
          <w:szCs w:val="24"/>
        </w:rPr>
        <w:t xml:space="preserve">. Manytina, kad </w:t>
      </w:r>
      <w:r w:rsidR="00990304" w:rsidRPr="00EA68D8">
        <w:rPr>
          <w:sz w:val="24"/>
          <w:szCs w:val="24"/>
        </w:rPr>
        <w:t xml:space="preserve">esminį poveikį </w:t>
      </w:r>
      <w:r w:rsidRPr="00EA68D8">
        <w:rPr>
          <w:sz w:val="24"/>
          <w:szCs w:val="24"/>
        </w:rPr>
        <w:t xml:space="preserve">pašto </w:t>
      </w:r>
      <w:r w:rsidR="00990304" w:rsidRPr="00EA68D8">
        <w:rPr>
          <w:sz w:val="24"/>
          <w:szCs w:val="24"/>
        </w:rPr>
        <w:t>ūkinei veiklai darantys draudimai ir ribojimai turi būti įtvirtinti įstatyme</w:t>
      </w:r>
      <w:r w:rsidRPr="00EA68D8">
        <w:rPr>
          <w:sz w:val="24"/>
          <w:szCs w:val="24"/>
        </w:rPr>
        <w:t xml:space="preserve">, </w:t>
      </w:r>
      <w:r w:rsidR="00C37671" w:rsidRPr="00EA68D8">
        <w:rPr>
          <w:sz w:val="24"/>
          <w:szCs w:val="24"/>
        </w:rPr>
        <w:t xml:space="preserve">o </w:t>
      </w:r>
      <w:r w:rsidRPr="00EA68D8">
        <w:rPr>
          <w:sz w:val="24"/>
          <w:szCs w:val="24"/>
        </w:rPr>
        <w:t xml:space="preserve">ne Ryšių reguliavimo tarnybos patvirtintose Pašto paslaugų teikimo taisyklėse, kuriose turėtų </w:t>
      </w:r>
      <w:r w:rsidR="00990304" w:rsidRPr="00EA68D8">
        <w:rPr>
          <w:sz w:val="24"/>
          <w:szCs w:val="24"/>
        </w:rPr>
        <w:t>likti tik</w:t>
      </w:r>
      <w:r w:rsidRPr="00EA68D8">
        <w:rPr>
          <w:sz w:val="24"/>
          <w:szCs w:val="24"/>
        </w:rPr>
        <w:t xml:space="preserve"> įstatymų</w:t>
      </w:r>
      <w:r w:rsidR="00990304" w:rsidRPr="00EA68D8">
        <w:rPr>
          <w:sz w:val="24"/>
          <w:szCs w:val="24"/>
        </w:rPr>
        <w:t xml:space="preserve"> įgyvendinam</w:t>
      </w:r>
      <w:r w:rsidRPr="00EA68D8">
        <w:rPr>
          <w:sz w:val="24"/>
          <w:szCs w:val="24"/>
        </w:rPr>
        <w:t>osios</w:t>
      </w:r>
      <w:r w:rsidR="00990304" w:rsidRPr="00EA68D8">
        <w:rPr>
          <w:sz w:val="24"/>
          <w:szCs w:val="24"/>
        </w:rPr>
        <w:t xml:space="preserve"> nuostat</w:t>
      </w:r>
      <w:r w:rsidR="00770175" w:rsidRPr="00EA68D8">
        <w:rPr>
          <w:sz w:val="24"/>
          <w:szCs w:val="24"/>
        </w:rPr>
        <w:t>o</w:t>
      </w:r>
      <w:r w:rsidR="00990304" w:rsidRPr="00EA68D8">
        <w:rPr>
          <w:sz w:val="24"/>
          <w:szCs w:val="24"/>
        </w:rPr>
        <w:t xml:space="preserve">s. </w:t>
      </w:r>
      <w:r w:rsidRPr="00EA68D8">
        <w:rPr>
          <w:sz w:val="24"/>
          <w:szCs w:val="24"/>
        </w:rPr>
        <w:t xml:space="preserve">Atsižvelgdami į tai, kas nurodyta, projekto rengėjams siūlome įvertinti </w:t>
      </w:r>
      <w:r w:rsidRPr="00EA68D8">
        <w:rPr>
          <w:sz w:val="24"/>
          <w:szCs w:val="24"/>
          <w:lang w:eastAsia="ko-KR"/>
        </w:rPr>
        <w:t>Pašto įstatymo projekto 5</w:t>
      </w:r>
      <w:r w:rsidR="00770175" w:rsidRPr="00EA68D8">
        <w:rPr>
          <w:sz w:val="24"/>
          <w:szCs w:val="24"/>
          <w:lang w:eastAsia="ko-KR"/>
        </w:rPr>
        <w:t> </w:t>
      </w:r>
      <w:r w:rsidRPr="00EA68D8">
        <w:rPr>
          <w:sz w:val="24"/>
          <w:szCs w:val="24"/>
          <w:lang w:eastAsia="ko-KR"/>
        </w:rPr>
        <w:t>straipsniu k</w:t>
      </w:r>
      <w:r w:rsidR="00C37671" w:rsidRPr="00EA68D8">
        <w:rPr>
          <w:sz w:val="24"/>
          <w:szCs w:val="24"/>
          <w:lang w:eastAsia="ko-KR"/>
        </w:rPr>
        <w:t>e</w:t>
      </w:r>
      <w:r w:rsidRPr="00EA68D8">
        <w:rPr>
          <w:sz w:val="24"/>
          <w:szCs w:val="24"/>
          <w:lang w:eastAsia="ko-KR"/>
        </w:rPr>
        <w:t xml:space="preserve">ičiamo 26 straipsnio 1 dalies </w:t>
      </w:r>
      <w:r w:rsidRPr="00EA68D8">
        <w:rPr>
          <w:sz w:val="24"/>
          <w:szCs w:val="24"/>
          <w:shd w:val="clear" w:color="auto" w:fill="FFFFFF"/>
        </w:rPr>
        <w:t xml:space="preserve">atitiktį </w:t>
      </w:r>
      <w:r w:rsidRPr="00EA68D8">
        <w:rPr>
          <w:sz w:val="24"/>
          <w:szCs w:val="24"/>
        </w:rPr>
        <w:t>Konstitucinio Teismo išaiškinimui</w:t>
      </w:r>
      <w:r w:rsidRPr="00EA68D8">
        <w:rPr>
          <w:sz w:val="24"/>
          <w:szCs w:val="24"/>
          <w:shd w:val="clear" w:color="auto" w:fill="FFFFFF"/>
        </w:rPr>
        <w:t xml:space="preserve"> ir įgyvendinamuosiuose teisės aktuose neplėsti įstatymuose nustatytų (nenustatytų) draudimų veiklai.</w:t>
      </w:r>
    </w:p>
    <w:p w14:paraId="4E440A8A" w14:textId="5EAB4A29" w:rsidR="00085950" w:rsidRPr="00EA68D8" w:rsidRDefault="00990304" w:rsidP="00DC398C">
      <w:pPr>
        <w:pStyle w:val="Sraopastraipa"/>
        <w:numPr>
          <w:ilvl w:val="0"/>
          <w:numId w:val="2"/>
        </w:numPr>
        <w:tabs>
          <w:tab w:val="left" w:pos="993"/>
        </w:tabs>
        <w:spacing w:line="360" w:lineRule="auto"/>
        <w:ind w:left="0" w:firstLine="720"/>
        <w:rPr>
          <w:szCs w:val="24"/>
        </w:rPr>
      </w:pPr>
      <w:r w:rsidRPr="00EA68D8">
        <w:rPr>
          <w:szCs w:val="24"/>
        </w:rPr>
        <w:t>Atkreipiame Jūsų dėmesį, kad pagal šiuo metu galiojančio Lietuvos Respublikos Vyriausybės 2012 m. liepos 18 d. nutarimo Nr. 937 „Dėl Licencijavimo pagrindų aprašo patvirtinimo“ (toliau – Vyriausybės nutarimas Nr. 937)</w:t>
      </w:r>
      <w:r w:rsidRPr="00EA68D8">
        <w:rPr>
          <w:szCs w:val="24"/>
          <w:lang w:eastAsia="lt-LT"/>
        </w:rPr>
        <w:t xml:space="preserve"> </w:t>
      </w:r>
      <w:r w:rsidRPr="00EA68D8">
        <w:rPr>
          <w:szCs w:val="24"/>
        </w:rPr>
        <w:t>2.2</w:t>
      </w:r>
      <w:r w:rsidR="00583A6D" w:rsidRPr="00EA68D8">
        <w:rPr>
          <w:szCs w:val="24"/>
        </w:rPr>
        <w:t xml:space="preserve"> arba 2.3</w:t>
      </w:r>
      <w:r w:rsidRPr="00EA68D8">
        <w:rPr>
          <w:szCs w:val="24"/>
        </w:rPr>
        <w:t xml:space="preserve"> punktą visi Lietuvos Respublikos Vyriausybei atskaitingi licencijas išduodantys viešojo administravimo subjektai</w:t>
      </w:r>
      <w:r w:rsidRPr="00EA68D8">
        <w:rPr>
          <w:b/>
          <w:szCs w:val="24"/>
        </w:rPr>
        <w:t xml:space="preserve"> licencijas turi išduoti naudodamiesi Licencijų informacine sistema</w:t>
      </w:r>
      <w:r w:rsidRPr="00EA68D8">
        <w:rPr>
          <w:szCs w:val="24"/>
        </w:rPr>
        <w:t xml:space="preserve"> (toliau – LIS)</w:t>
      </w:r>
      <w:r w:rsidR="00583A6D" w:rsidRPr="00EA68D8">
        <w:rPr>
          <w:szCs w:val="24"/>
        </w:rPr>
        <w:t xml:space="preserve"> </w:t>
      </w:r>
      <w:r w:rsidR="00583A6D" w:rsidRPr="00EA68D8">
        <w:rPr>
          <w:b/>
          <w:szCs w:val="24"/>
        </w:rPr>
        <w:t xml:space="preserve">arba nedelsiant licencijų </w:t>
      </w:r>
      <w:r w:rsidR="00583A6D" w:rsidRPr="00EA68D8">
        <w:rPr>
          <w:b/>
          <w:szCs w:val="24"/>
        </w:rPr>
        <w:lastRenderedPageBreak/>
        <w:t>duomenis pateikti LIS</w:t>
      </w:r>
      <w:r w:rsidRPr="00EA68D8">
        <w:rPr>
          <w:szCs w:val="24"/>
        </w:rPr>
        <w:t>. Atsižvelgdami į tai, prašom užtikrinti tinkamą Vyriausybės nutarimo</w:t>
      </w:r>
      <w:r w:rsidR="0075334A" w:rsidRPr="00EA68D8">
        <w:rPr>
          <w:szCs w:val="24"/>
        </w:rPr>
        <w:t xml:space="preserve"> </w:t>
      </w:r>
      <w:r w:rsidRPr="00EA68D8">
        <w:rPr>
          <w:szCs w:val="24"/>
        </w:rPr>
        <w:t>Nr. 937 vykdy</w:t>
      </w:r>
      <w:r w:rsidR="001F39DE" w:rsidRPr="00EA68D8">
        <w:rPr>
          <w:szCs w:val="24"/>
        </w:rPr>
        <w:t xml:space="preserve">mą ir LIS perduoti visus duomenis apie teisės teikti pašto paslaugas suteikimą, patikslinimą, pakeitimą, sustabdymą (uždraudimą teikti paslaugas iki vienų metų), panaikinimą. </w:t>
      </w:r>
    </w:p>
    <w:p w14:paraId="4E440A8B" w14:textId="77777777" w:rsidR="00583A6D" w:rsidRPr="00EA68D8" w:rsidRDefault="00323130" w:rsidP="00DC398C">
      <w:pPr>
        <w:pStyle w:val="Sraopastraipa"/>
        <w:numPr>
          <w:ilvl w:val="0"/>
          <w:numId w:val="2"/>
        </w:numPr>
        <w:tabs>
          <w:tab w:val="left" w:pos="993"/>
        </w:tabs>
        <w:spacing w:line="360" w:lineRule="auto"/>
        <w:ind w:left="0" w:firstLine="720"/>
        <w:rPr>
          <w:szCs w:val="24"/>
        </w:rPr>
      </w:pPr>
      <w:r w:rsidRPr="00EA68D8">
        <w:rPr>
          <w:szCs w:val="24"/>
        </w:rPr>
        <w:t>Taip pat a</w:t>
      </w:r>
      <w:r w:rsidR="00085950" w:rsidRPr="00EA68D8">
        <w:rPr>
          <w:szCs w:val="24"/>
        </w:rPr>
        <w:t>tkreipiame dėmesį, kad pagal Lietuvos Respublikos teisėkūros pagrindų įstatymo 20 straipsnio 4 dalį teisės aktai, keičiantys ar nustatantys naują ūkio subjektų veiklos ar jos priežiūros teisinį reguliavimą, paprastai įsigalioja gegužės 1 dieną arba lapkričio 1 dieną, tačiau visais atvejais ne anksčiau kaip po trijų mėnesių nuo jų oficialaus paskelbimo dienos. Ši nuostata netaikoma, kai teisinis reguliavimas nustatomas arba keičiamas pagal Europos Sąjungos teisės aktuose nustatytus įpareigojimus, Lietuvos Respublikos tarptautinių sutarčių reikalavimus, taip pat kai nustatomas ūkio subjektams palankesnis teisinis reguliavimas. Pašto įstatymo projekte numatoma nustatyti naują ūkio subjektų veiklos priežiūros teisinį reguliavimą, o įstatymo įsigaliojimo data numatyta – 2019 m. lapkričio 23 d.  Atsižvelg</w:t>
      </w:r>
      <w:r w:rsidR="00FE1D11" w:rsidRPr="00EA68D8">
        <w:rPr>
          <w:szCs w:val="24"/>
        </w:rPr>
        <w:t>dami</w:t>
      </w:r>
      <w:r w:rsidR="00085950" w:rsidRPr="00EA68D8">
        <w:rPr>
          <w:szCs w:val="24"/>
        </w:rPr>
        <w:t xml:space="preserve"> į tai, siūlytume nuostatoms dėl </w:t>
      </w:r>
      <w:r w:rsidR="00B77987" w:rsidRPr="00EA68D8">
        <w:rPr>
          <w:szCs w:val="24"/>
        </w:rPr>
        <w:t xml:space="preserve">pažeidimo nagrinėjimo proceso ir poveikio priemonių taikymo ūkio subjektams </w:t>
      </w:r>
      <w:r w:rsidR="00085950" w:rsidRPr="00EA68D8">
        <w:rPr>
          <w:szCs w:val="24"/>
        </w:rPr>
        <w:t>numatyti kitą, Lietuvos Respublikos teisėkūros pagrindų įstatymo 20 straipsnio 4 dalies nuostatas</w:t>
      </w:r>
      <w:r w:rsidR="00FE1D11" w:rsidRPr="00EA68D8">
        <w:rPr>
          <w:szCs w:val="24"/>
        </w:rPr>
        <w:t xml:space="preserve"> atitinkančią</w:t>
      </w:r>
      <w:r w:rsidR="00085950" w:rsidRPr="00EA68D8">
        <w:rPr>
          <w:szCs w:val="24"/>
        </w:rPr>
        <w:t xml:space="preserve">, Lietuvos Respublikos </w:t>
      </w:r>
      <w:r w:rsidRPr="00EA68D8">
        <w:rPr>
          <w:szCs w:val="24"/>
        </w:rPr>
        <w:t>pašto</w:t>
      </w:r>
      <w:r w:rsidR="00085950" w:rsidRPr="00EA68D8">
        <w:rPr>
          <w:szCs w:val="24"/>
        </w:rPr>
        <w:t xml:space="preserve"> įstatymo pakeitimo įstatymo įsigaliojimo datą.</w:t>
      </w:r>
    </w:p>
    <w:p w14:paraId="4E440A8C" w14:textId="77777777" w:rsidR="00662D96" w:rsidRPr="00EA68D8" w:rsidRDefault="00662D96" w:rsidP="00DC398C">
      <w:pPr>
        <w:spacing w:line="360" w:lineRule="auto"/>
        <w:ind w:firstLine="720"/>
        <w:rPr>
          <w:szCs w:val="24"/>
        </w:rPr>
      </w:pPr>
    </w:p>
    <w:p w14:paraId="4E440A8D" w14:textId="77777777" w:rsidR="00323130" w:rsidRPr="00EA68D8" w:rsidRDefault="00323130" w:rsidP="00DC398C">
      <w:pPr>
        <w:spacing w:line="360" w:lineRule="auto"/>
        <w:jc w:val="left"/>
        <w:rPr>
          <w:szCs w:val="24"/>
        </w:rPr>
      </w:pPr>
    </w:p>
    <w:p w14:paraId="4E440A8E" w14:textId="77777777" w:rsidR="00323130" w:rsidRPr="00EA68D8" w:rsidRDefault="00323130" w:rsidP="00DC398C">
      <w:pPr>
        <w:spacing w:line="360" w:lineRule="auto"/>
        <w:jc w:val="left"/>
        <w:rPr>
          <w:szCs w:val="24"/>
        </w:rPr>
      </w:pPr>
    </w:p>
    <w:p w14:paraId="4E440A8F" w14:textId="77777777" w:rsidR="00027212" w:rsidRPr="00EA68D8" w:rsidRDefault="00027212" w:rsidP="00DC398C">
      <w:pPr>
        <w:spacing w:line="360" w:lineRule="auto"/>
        <w:jc w:val="left"/>
        <w:rPr>
          <w:szCs w:val="24"/>
          <w:lang w:eastAsia="ko-KR"/>
        </w:rPr>
      </w:pPr>
      <w:r w:rsidRPr="00EA68D8">
        <w:rPr>
          <w:szCs w:val="24"/>
        </w:rPr>
        <w:t>Ekonomikos ir inovacijų viceministras</w:t>
      </w:r>
      <w:r w:rsidRPr="00EA68D8">
        <w:rPr>
          <w:szCs w:val="24"/>
        </w:rPr>
        <w:tab/>
        <w:t xml:space="preserve">                                                        </w:t>
      </w:r>
      <w:r w:rsidR="00583A6D" w:rsidRPr="00EA68D8">
        <w:rPr>
          <w:szCs w:val="24"/>
        </w:rPr>
        <w:t xml:space="preserve">            </w:t>
      </w:r>
      <w:r w:rsidRPr="00EA68D8">
        <w:rPr>
          <w:szCs w:val="24"/>
        </w:rPr>
        <w:t xml:space="preserve">      Gintaras Vilda  </w:t>
      </w:r>
    </w:p>
    <w:p w14:paraId="4E440A90" w14:textId="77777777" w:rsidR="00027212" w:rsidRPr="00EA68D8" w:rsidRDefault="00027212" w:rsidP="00DC398C">
      <w:pPr>
        <w:spacing w:line="360" w:lineRule="auto"/>
        <w:rPr>
          <w:szCs w:val="24"/>
        </w:rPr>
      </w:pPr>
    </w:p>
    <w:p w14:paraId="4E440A91" w14:textId="77777777" w:rsidR="00583A6D" w:rsidRPr="009D71B6" w:rsidRDefault="00583A6D" w:rsidP="00DC398C">
      <w:pPr>
        <w:spacing w:line="360" w:lineRule="auto"/>
        <w:rPr>
          <w:szCs w:val="24"/>
        </w:rPr>
      </w:pPr>
    </w:p>
    <w:p w14:paraId="4E440A92" w14:textId="77777777" w:rsidR="00027212" w:rsidRPr="009D71B6" w:rsidRDefault="00027212" w:rsidP="00DC398C">
      <w:pPr>
        <w:spacing w:line="360" w:lineRule="auto"/>
        <w:rPr>
          <w:szCs w:val="24"/>
        </w:rPr>
      </w:pPr>
    </w:p>
    <w:p w14:paraId="4E440A93" w14:textId="77777777" w:rsidR="00DC398C" w:rsidRDefault="00DC398C" w:rsidP="00DC398C">
      <w:pPr>
        <w:spacing w:line="360" w:lineRule="auto"/>
        <w:jc w:val="left"/>
        <w:rPr>
          <w:color w:val="7F7F7F" w:themeColor="text1" w:themeTint="80"/>
          <w:sz w:val="22"/>
          <w:szCs w:val="22"/>
        </w:rPr>
      </w:pPr>
    </w:p>
    <w:p w14:paraId="4E440A94" w14:textId="77777777" w:rsidR="00DC398C" w:rsidRDefault="00DC398C" w:rsidP="00DC398C">
      <w:pPr>
        <w:spacing w:line="360" w:lineRule="auto"/>
        <w:jc w:val="left"/>
        <w:rPr>
          <w:color w:val="7F7F7F" w:themeColor="text1" w:themeTint="80"/>
          <w:sz w:val="22"/>
          <w:szCs w:val="22"/>
        </w:rPr>
      </w:pPr>
    </w:p>
    <w:p w14:paraId="4E440A95" w14:textId="77777777" w:rsidR="00DC398C" w:rsidRDefault="00DC398C" w:rsidP="00DC398C">
      <w:pPr>
        <w:spacing w:line="360" w:lineRule="auto"/>
        <w:jc w:val="left"/>
        <w:rPr>
          <w:color w:val="7F7F7F" w:themeColor="text1" w:themeTint="80"/>
          <w:sz w:val="22"/>
          <w:szCs w:val="22"/>
        </w:rPr>
      </w:pPr>
    </w:p>
    <w:p w14:paraId="4E440A96" w14:textId="77777777" w:rsidR="00FE1D11" w:rsidRDefault="00FE1D11" w:rsidP="00DC398C">
      <w:pPr>
        <w:spacing w:line="360" w:lineRule="auto"/>
        <w:jc w:val="left"/>
        <w:rPr>
          <w:color w:val="7F7F7F" w:themeColor="text1" w:themeTint="80"/>
          <w:sz w:val="22"/>
          <w:szCs w:val="22"/>
        </w:rPr>
      </w:pPr>
    </w:p>
    <w:p w14:paraId="4E440A97" w14:textId="77777777" w:rsidR="00FE1D11" w:rsidRDefault="00FE1D11" w:rsidP="00DC398C">
      <w:pPr>
        <w:spacing w:line="360" w:lineRule="auto"/>
        <w:jc w:val="left"/>
        <w:rPr>
          <w:color w:val="7F7F7F" w:themeColor="text1" w:themeTint="80"/>
          <w:sz w:val="22"/>
          <w:szCs w:val="22"/>
        </w:rPr>
      </w:pPr>
    </w:p>
    <w:p w14:paraId="4E440A99" w14:textId="77777777" w:rsidR="00DC398C" w:rsidRDefault="00DC398C" w:rsidP="00DC398C">
      <w:pPr>
        <w:spacing w:line="360" w:lineRule="auto"/>
        <w:jc w:val="left"/>
        <w:rPr>
          <w:color w:val="7F7F7F" w:themeColor="text1" w:themeTint="80"/>
          <w:sz w:val="22"/>
          <w:szCs w:val="22"/>
        </w:rPr>
      </w:pPr>
    </w:p>
    <w:p w14:paraId="4E440A9A" w14:textId="77777777" w:rsidR="00DC1DF1" w:rsidRDefault="00DC1DF1" w:rsidP="00DC398C">
      <w:pPr>
        <w:spacing w:line="360" w:lineRule="auto"/>
        <w:jc w:val="left"/>
        <w:rPr>
          <w:color w:val="7F7F7F" w:themeColor="text1" w:themeTint="80"/>
          <w:sz w:val="22"/>
          <w:szCs w:val="22"/>
        </w:rPr>
      </w:pPr>
    </w:p>
    <w:p w14:paraId="4E440A9B" w14:textId="77777777" w:rsidR="00DC398C" w:rsidRPr="00EA68D8" w:rsidRDefault="00ED5F3B" w:rsidP="00DC398C">
      <w:pPr>
        <w:spacing w:line="360" w:lineRule="auto"/>
        <w:jc w:val="left"/>
        <w:rPr>
          <w:color w:val="808080" w:themeColor="background1" w:themeShade="80"/>
          <w:sz w:val="20"/>
        </w:rPr>
      </w:pPr>
      <w:r w:rsidRPr="00EA68D8">
        <w:rPr>
          <w:color w:val="808080" w:themeColor="background1" w:themeShade="80"/>
          <w:sz w:val="20"/>
        </w:rPr>
        <w:t xml:space="preserve">Lijana Milkutė, tel. 8 706 64 785, el. p. </w:t>
      </w:r>
      <w:r w:rsidR="003B6F7F" w:rsidRPr="00EA68D8">
        <w:rPr>
          <w:color w:val="808080" w:themeColor="background1" w:themeShade="80"/>
          <w:sz w:val="20"/>
        </w:rPr>
        <w:t>Lijana.Milkute@eimin.lt</w:t>
      </w:r>
      <w:r w:rsidRPr="00EA68D8">
        <w:rPr>
          <w:color w:val="808080" w:themeColor="background1" w:themeShade="80"/>
          <w:sz w:val="20"/>
        </w:rPr>
        <w:t>.</w:t>
      </w:r>
    </w:p>
    <w:p w14:paraId="4E440A9C" w14:textId="77777777" w:rsidR="003B6F7F" w:rsidRPr="00EA68D8" w:rsidRDefault="003B6F7F" w:rsidP="00DC398C">
      <w:pPr>
        <w:spacing w:line="360" w:lineRule="auto"/>
        <w:jc w:val="left"/>
        <w:rPr>
          <w:color w:val="808080" w:themeColor="background1" w:themeShade="80"/>
          <w:sz w:val="20"/>
        </w:rPr>
      </w:pPr>
      <w:r w:rsidRPr="00EA68D8">
        <w:rPr>
          <w:color w:val="808080" w:themeColor="background1" w:themeShade="80"/>
          <w:sz w:val="20"/>
        </w:rPr>
        <w:t>Kristina Kertenė, tel. 8 706 64 719, el. p. Kristina.Kertene@eimin.lt</w:t>
      </w:r>
    </w:p>
    <w:p w14:paraId="4E440A9D" w14:textId="77777777" w:rsidR="00DC398C" w:rsidRDefault="00DC398C" w:rsidP="00DC398C">
      <w:pPr>
        <w:spacing w:line="360" w:lineRule="auto"/>
        <w:jc w:val="left"/>
        <w:rPr>
          <w:color w:val="7F7F7F" w:themeColor="text1" w:themeTint="80"/>
          <w:sz w:val="22"/>
          <w:szCs w:val="22"/>
        </w:rPr>
      </w:pPr>
    </w:p>
    <w:p w14:paraId="4E440A9E" w14:textId="77777777" w:rsidR="00DC398C" w:rsidRDefault="00DC398C" w:rsidP="00DC398C">
      <w:pPr>
        <w:spacing w:line="360" w:lineRule="auto"/>
        <w:jc w:val="left"/>
        <w:rPr>
          <w:color w:val="7F7F7F" w:themeColor="text1" w:themeTint="80"/>
          <w:sz w:val="22"/>
          <w:szCs w:val="22"/>
        </w:rPr>
      </w:pPr>
    </w:p>
    <w:p w14:paraId="4E440A9F" w14:textId="77777777" w:rsidR="00F14AF2" w:rsidRDefault="00F14AF2" w:rsidP="00DC398C">
      <w:pPr>
        <w:spacing w:line="360" w:lineRule="auto"/>
      </w:pPr>
    </w:p>
    <w:sectPr w:rsidR="00F14AF2" w:rsidSect="00A22FAF">
      <w:headerReference w:type="even" r:id="rId9"/>
      <w:headerReference w:type="default" r:id="rId10"/>
      <w:footerReference w:type="even" r:id="rId11"/>
      <w:footerReference w:type="default" r:id="rId12"/>
      <w:headerReference w:type="first" r:id="rId13"/>
      <w:footerReference w:type="first" r:id="rId14"/>
      <w:pgSz w:w="11906" w:h="16838" w:code="9"/>
      <w:pgMar w:top="1134" w:right="566" w:bottom="1134"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E0FDC4" w14:textId="77777777" w:rsidR="00621DCB" w:rsidRDefault="00621DCB">
      <w:r>
        <w:separator/>
      </w:r>
    </w:p>
  </w:endnote>
  <w:endnote w:type="continuationSeparator" w:id="0">
    <w:p w14:paraId="69C9FA04" w14:textId="77777777" w:rsidR="00621DCB" w:rsidRDefault="00621DCB">
      <w:r>
        <w:continuationSeparator/>
      </w:r>
    </w:p>
  </w:endnote>
  <w:endnote w:type="continuationNotice" w:id="1">
    <w:p w14:paraId="40307D9B" w14:textId="77777777" w:rsidR="00AF1EB7" w:rsidRDefault="00AF1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AAA" w14:textId="77777777" w:rsidR="00621DCB" w:rsidRDefault="00621DCB">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E440AAB" w14:textId="77777777" w:rsidR="00621DCB" w:rsidRDefault="00621DC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AAC" w14:textId="77777777" w:rsidR="00621DCB" w:rsidRDefault="00621DC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AAE" w14:textId="77777777" w:rsidR="00621DCB" w:rsidRDefault="00621DCB"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8240" behindDoc="0" locked="0" layoutInCell="1" allowOverlap="1" wp14:anchorId="4E440AAF" wp14:editId="4E440AB0">
              <wp:simplePos x="0" y="0"/>
              <wp:positionH relativeFrom="column">
                <wp:posOffset>4234816</wp:posOffset>
              </wp:positionH>
              <wp:positionV relativeFrom="paragraph">
                <wp:posOffset>-241300</wp:posOffset>
              </wp:positionV>
              <wp:extent cx="1562100" cy="523875"/>
              <wp:effectExtent l="0" t="0" r="0" b="9525"/>
              <wp:wrapNone/>
              <wp:docPr id="20" name="Teksto laukas 20"/>
              <wp:cNvGraphicFramePr/>
              <a:graphic xmlns:a="http://schemas.openxmlformats.org/drawingml/2006/main">
                <a:graphicData uri="http://schemas.microsoft.com/office/word/2010/wordprocessingShape">
                  <wps:wsp>
                    <wps:cNvSpPr txBox="1"/>
                    <wps:spPr>
                      <a:xfrm>
                        <a:off x="0" y="0"/>
                        <a:ext cx="1562100" cy="523875"/>
                      </a:xfrm>
                      <a:prstGeom prst="rect">
                        <a:avLst/>
                      </a:prstGeom>
                      <a:solidFill>
                        <a:schemeClr val="lt1"/>
                      </a:solidFill>
                      <a:ln w="6350">
                        <a:noFill/>
                      </a:ln>
                    </wps:spPr>
                    <wps:txbx>
                      <w:txbxContent>
                        <w:p w14:paraId="4E440AB2" w14:textId="77777777" w:rsidR="00621DCB" w:rsidRDefault="00621D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40AAF" id="_x0000_t202" coordsize="21600,21600" o:spt="202" path="m,l,21600r21600,l21600,xe">
              <v:stroke joinstyle="miter"/>
              <v:path gradientshapeok="t" o:connecttype="rect"/>
            </v:shapetype>
            <v:shape id="Teksto laukas 20" o:spid="_x0000_s1026" type="#_x0000_t202" style="position:absolute;left:0;text-align:left;margin-left:333.45pt;margin-top:-19pt;width:123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5v6MRwIAAIAEAAAOAAAAZHJzL2Uyb0RvYy54bWysVFFv2jAQfp+0/2D5fQQo0C4iVIyKaRJq K8HUZ+M4JKrj8+yDhP36nR2grNvTtBfn7Dt/vvu+u0zv21qzg3K+ApPxQa/PmTIS8srsMv59s/x0 x5lHYXKhwaiMH5Xn97OPH6aNTdUQStC5coxAjE8bm/ES0aZJ4mWpauF7YJUhZwGuFkhbt0tyJxpC r3Uy7PcnSQMutw6k8p5OHzonn0X8olASn4rCK2Q645QbxtXFdRvWZDYV6c4JW1bylIb4hyxqURl6 9AL1IFCwvav+gKor6cBDgT0JdQJFUUkVa6BqBv131axLYVWshcjx9kKT/3+w8vHw7FiVZ3xI9BhR k0Yb9eoRmBb7V+EZnRNJjfUpxa4tRWP7BVoS+3zu6TDU3hauDl+qipGf8I4XilWLTIZL48lw0CeX JN94eHN3Ow4wydtt6zx+VVCzYGTckYSRWXFYeexCzyHhMQ+6ypeV1nET2kYttGMHQYJrjDkS+G9R 2rAm45ObcT8CGwjXO2RtKJdQa1dTsLDdticCtpAfqX4HXRt5K5cVJbkSHp+Fo76humgW8ImWQgM9 AieLsxLcz7+dh3iSk7ycNdSHGfc/9sIpzvQ3Q0J/HoxGBItxMxrfBpnctWd77TH7egFU+YCmzspo hnjUZ7NwUL/QyMzDq+QSRtLbGcezucBuOmjkpJrPYxC1qhW4MmsrA3RgOkiwaV+EsyedkBR+hHPH ivSdXF1suGlgvkcoqqhlILhj9cQ7tXnshtNIhjm63seotx/H7BcAAAD//wMAUEsDBBQABgAIAAAA IQBs5DKP4gAAAAoBAAAPAAAAZHJzL2Rvd25yZXYueG1sTI9NT8MwDIbvSPyHyEhc0JZu3cpWmk4I AZO4sfIhbllj2orGqZqsLf8ec4Kj7UevnzfbTbYVA/a+caRgMY9AIJXONFQpeCkeZhsQPmgyunWE Cr7Rwy4/P8t0atxIzzgcQiU4hHyqFdQhdKmUvqzRaj93HRLfPl1vdeCxr6Tp9cjhtpXLKEqk1Q3x h1p3eFdj+XU4WQUfV9X7k58eX8d4HXf3+6G4fjOFUpcX0+0NiIBT+IPhV5/VIWenozuR8aJVkCTJ llEFs3jDpZjYLpa8OSpYrdYg80z+r5D/AAAA//8DAFBLAQItABQABgAIAAAAIQC2gziS/gAAAOEB AAATAAAAAAAAAAAAAAAAAAAAAABbQ29udGVudF9UeXBlc10ueG1sUEsBAi0AFAAGAAgAAAAhADj9 If/WAAAAlAEAAAsAAAAAAAAAAAAAAAAALwEAAF9yZWxzLy5yZWxzUEsBAi0AFAAGAAgAAAAhAMTm /oxHAgAAgAQAAA4AAAAAAAAAAAAAAAAALgIAAGRycy9lMm9Eb2MueG1sUEsBAi0AFAAGAAgAAAAh AGzkMo/iAAAACgEAAA8AAAAAAAAAAAAAAAAAoQQAAGRycy9kb3ducmV2LnhtbFBLBQYAAAAABAAE APMAAACwBQAAAAA= " fillcolor="white [3201]" stroked="f" strokeweight=".5pt">
              <v:textbox>
                <w:txbxContent>
                  <w:p w14:paraId="4E440AB2" w14:textId="77777777" w:rsidR="00621DCB" w:rsidRDefault="00621DCB"/>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4909E" w14:textId="77777777" w:rsidR="00621DCB" w:rsidRDefault="00621DCB">
      <w:r>
        <w:separator/>
      </w:r>
    </w:p>
  </w:footnote>
  <w:footnote w:type="continuationSeparator" w:id="0">
    <w:p w14:paraId="600DCA40" w14:textId="77777777" w:rsidR="00621DCB" w:rsidRDefault="00621DCB">
      <w:r>
        <w:continuationSeparator/>
      </w:r>
    </w:p>
  </w:footnote>
  <w:footnote w:type="continuationNotice" w:id="1">
    <w:p w14:paraId="44B4A637" w14:textId="77777777" w:rsidR="00AF1EB7" w:rsidRDefault="00AF1EB7"/>
  </w:footnote>
  <w:footnote w:id="2">
    <w:p w14:paraId="4E440AB1" w14:textId="77777777" w:rsidR="00621DCB" w:rsidRDefault="00621DCB" w:rsidP="005C7428">
      <w:pPr>
        <w:pStyle w:val="Puslapioinaostekstas"/>
      </w:pPr>
      <w:r>
        <w:rPr>
          <w:rStyle w:val="Puslapioinaosnuoroda"/>
        </w:rPr>
        <w:footnoteRef/>
      </w:r>
      <w:r>
        <w:t xml:space="preserve"> Lietuvos Respublikos Konstitucinio Teismo 2006 m. gegužės 31 d. nutarimas byloje Nr. 42/03.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AA8" w14:textId="77777777" w:rsidR="00621DCB" w:rsidRDefault="00621D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AA9" w14:textId="650C7F6A" w:rsidR="00621DCB" w:rsidRDefault="00621DCB">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E46DA6">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40AAD" w14:textId="77777777" w:rsidR="00621DCB" w:rsidRDefault="00621DCB" w:rsidP="00051C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cs="Times New Roman" w:hint="default"/>
        <w:sz w:val="24"/>
      </w:rPr>
    </w:lvl>
    <w:lvl w:ilvl="1">
      <w:start w:val="1"/>
      <w:numFmt w:val="lowerLetter"/>
      <w:lvlText w:val="(%2)"/>
      <w:lvlJc w:val="left"/>
      <w:pPr>
        <w:ind w:left="1701" w:hanging="567"/>
      </w:pPr>
    </w:lvl>
    <w:lvl w:ilvl="2">
      <w:start w:val="1"/>
      <w:numFmt w:val="lowerRoman"/>
      <w:lvlText w:val="(%3)"/>
      <w:lvlJc w:val="left"/>
      <w:pPr>
        <w:ind w:left="2268" w:hanging="567"/>
      </w:pPr>
    </w:lvl>
    <w:lvl w:ilvl="3">
      <w:start w:val="1"/>
      <w:numFmt w:val="decimal"/>
      <w:lvlText w:val="(%4)"/>
      <w:lvlJc w:val="left"/>
      <w:pPr>
        <w:ind w:left="2835" w:hanging="567"/>
      </w:pPr>
      <w:rPr>
        <w:rFonts w:ascii="Times New Roman" w:hAnsi="Times New Roman" w:cs="Times New Roman" w:hint="default"/>
        <w:sz w:val="24"/>
      </w:rPr>
    </w:lvl>
    <w:lvl w:ilvl="4">
      <w:start w:val="1"/>
      <w:numFmt w:val="lowerLetter"/>
      <w:lvlText w:val="(%5)"/>
      <w:lvlJc w:val="left"/>
      <w:pPr>
        <w:ind w:left="3402" w:hanging="567"/>
      </w:pPr>
      <w:rPr>
        <w:rFonts w:ascii="Times New Roman" w:hAnsi="Times New Roman" w:cs="Times New Roman" w:hint="default"/>
        <w:sz w:val="24"/>
      </w:rPr>
    </w:lvl>
    <w:lvl w:ilvl="5">
      <w:start w:val="1"/>
      <w:numFmt w:val="lowerRoman"/>
      <w:lvlText w:val="(%6)"/>
      <w:lvlJc w:val="left"/>
      <w:pPr>
        <w:ind w:left="3969" w:hanging="567"/>
      </w:pPr>
      <w:rPr>
        <w:rFonts w:ascii="Times New Roman" w:hAnsi="Times New Roman" w:cs="Times New Roman" w:hint="default"/>
        <w:sz w:val="24"/>
      </w:rPr>
    </w:lvl>
    <w:lvl w:ilvl="6">
      <w:start w:val="1"/>
      <w:numFmt w:val="decimal"/>
      <w:lvlText w:val="%7."/>
      <w:lvlJc w:val="left"/>
      <w:pPr>
        <w:tabs>
          <w:tab w:val="num" w:pos="3969"/>
        </w:tabs>
        <w:ind w:left="3402" w:firstLine="567"/>
      </w:pPr>
    </w:lvl>
    <w:lvl w:ilvl="7">
      <w:start w:val="1"/>
      <w:numFmt w:val="lowerLetter"/>
      <w:lvlText w:val="%8."/>
      <w:lvlJc w:val="left"/>
      <w:pPr>
        <w:tabs>
          <w:tab w:val="num" w:pos="4536"/>
        </w:tabs>
        <w:ind w:left="3969" w:firstLine="567"/>
      </w:pPr>
    </w:lvl>
    <w:lvl w:ilvl="8">
      <w:start w:val="1"/>
      <w:numFmt w:val="lowerRoman"/>
      <w:lvlText w:val="%9."/>
      <w:lvlJc w:val="left"/>
      <w:pPr>
        <w:tabs>
          <w:tab w:val="num" w:pos="5103"/>
        </w:tabs>
        <w:ind w:left="4536" w:firstLine="567"/>
      </w:pPr>
    </w:lvl>
  </w:abstractNum>
  <w:abstractNum w:abstractNumId="1" w15:restartNumberingAfterBreak="0">
    <w:nsid w:val="7C81345E"/>
    <w:multiLevelType w:val="hybridMultilevel"/>
    <w:tmpl w:val="1C149314"/>
    <w:lvl w:ilvl="0" w:tplc="A1CA44A0">
      <w:start w:val="1"/>
      <w:numFmt w:val="decimal"/>
      <w:lvlText w:val="%1."/>
      <w:lvlJc w:val="left"/>
      <w:pPr>
        <w:ind w:left="1260"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7F302450"/>
    <w:multiLevelType w:val="hybridMultilevel"/>
    <w:tmpl w:val="8D26754A"/>
    <w:lvl w:ilvl="0" w:tplc="F634C84C">
      <w:start w:val="1"/>
      <w:numFmt w:val="decimal"/>
      <w:lvlText w:val="%1."/>
      <w:lvlJc w:val="left"/>
      <w:pPr>
        <w:ind w:left="1084" w:hanging="3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defaultTabStop w:val="144"/>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9A"/>
    <w:rsid w:val="000018CD"/>
    <w:rsid w:val="000026D3"/>
    <w:rsid w:val="00015E01"/>
    <w:rsid w:val="00027212"/>
    <w:rsid w:val="00051C5C"/>
    <w:rsid w:val="00056759"/>
    <w:rsid w:val="00085950"/>
    <w:rsid w:val="0009649D"/>
    <w:rsid w:val="000A6D21"/>
    <w:rsid w:val="000D055F"/>
    <w:rsid w:val="000D0CD2"/>
    <w:rsid w:val="00126FC3"/>
    <w:rsid w:val="0016674B"/>
    <w:rsid w:val="00192FB1"/>
    <w:rsid w:val="001A2D87"/>
    <w:rsid w:val="001A4CF5"/>
    <w:rsid w:val="001A51E4"/>
    <w:rsid w:val="001B6A9E"/>
    <w:rsid w:val="001C7242"/>
    <w:rsid w:val="001E725A"/>
    <w:rsid w:val="001E7371"/>
    <w:rsid w:val="001F39DE"/>
    <w:rsid w:val="001F4124"/>
    <w:rsid w:val="00203F8C"/>
    <w:rsid w:val="00216990"/>
    <w:rsid w:val="00241DE7"/>
    <w:rsid w:val="002428B6"/>
    <w:rsid w:val="002473E8"/>
    <w:rsid w:val="00250986"/>
    <w:rsid w:val="00260772"/>
    <w:rsid w:val="0026102F"/>
    <w:rsid w:val="002650CA"/>
    <w:rsid w:val="0027097F"/>
    <w:rsid w:val="00272FFB"/>
    <w:rsid w:val="00273B9C"/>
    <w:rsid w:val="00282963"/>
    <w:rsid w:val="002A05AA"/>
    <w:rsid w:val="002A490D"/>
    <w:rsid w:val="002B2AEC"/>
    <w:rsid w:val="002C04D4"/>
    <w:rsid w:val="002C0CD1"/>
    <w:rsid w:val="002C2940"/>
    <w:rsid w:val="002C6615"/>
    <w:rsid w:val="002F36A5"/>
    <w:rsid w:val="002F4C6E"/>
    <w:rsid w:val="00303525"/>
    <w:rsid w:val="00314211"/>
    <w:rsid w:val="003168D0"/>
    <w:rsid w:val="00316DAE"/>
    <w:rsid w:val="00323130"/>
    <w:rsid w:val="00330224"/>
    <w:rsid w:val="00331148"/>
    <w:rsid w:val="00332C42"/>
    <w:rsid w:val="00334D9D"/>
    <w:rsid w:val="00335C5D"/>
    <w:rsid w:val="00346165"/>
    <w:rsid w:val="003524A9"/>
    <w:rsid w:val="00356DD2"/>
    <w:rsid w:val="00391E51"/>
    <w:rsid w:val="003A02C5"/>
    <w:rsid w:val="003A15D7"/>
    <w:rsid w:val="003A62E9"/>
    <w:rsid w:val="003B4289"/>
    <w:rsid w:val="003B6F7F"/>
    <w:rsid w:val="003C5E81"/>
    <w:rsid w:val="003D75DA"/>
    <w:rsid w:val="003E06A9"/>
    <w:rsid w:val="003E1B57"/>
    <w:rsid w:val="004036CB"/>
    <w:rsid w:val="0041116B"/>
    <w:rsid w:val="004179CE"/>
    <w:rsid w:val="00424D5F"/>
    <w:rsid w:val="004265D2"/>
    <w:rsid w:val="00436B8E"/>
    <w:rsid w:val="004376F8"/>
    <w:rsid w:val="004420DB"/>
    <w:rsid w:val="00446272"/>
    <w:rsid w:val="004559A1"/>
    <w:rsid w:val="004650A1"/>
    <w:rsid w:val="004A0293"/>
    <w:rsid w:val="004B0000"/>
    <w:rsid w:val="004D54F3"/>
    <w:rsid w:val="004E7012"/>
    <w:rsid w:val="004F7E97"/>
    <w:rsid w:val="00512B84"/>
    <w:rsid w:val="00512DB5"/>
    <w:rsid w:val="00523322"/>
    <w:rsid w:val="00524114"/>
    <w:rsid w:val="00530126"/>
    <w:rsid w:val="0055629A"/>
    <w:rsid w:val="00561589"/>
    <w:rsid w:val="00574FA9"/>
    <w:rsid w:val="00583A6D"/>
    <w:rsid w:val="005858B1"/>
    <w:rsid w:val="00587923"/>
    <w:rsid w:val="005A1B1C"/>
    <w:rsid w:val="005B1429"/>
    <w:rsid w:val="005C6108"/>
    <w:rsid w:val="005C7428"/>
    <w:rsid w:val="005D13FE"/>
    <w:rsid w:val="005E605E"/>
    <w:rsid w:val="005F4EC6"/>
    <w:rsid w:val="005F5189"/>
    <w:rsid w:val="00613A31"/>
    <w:rsid w:val="00621DCB"/>
    <w:rsid w:val="00624FB4"/>
    <w:rsid w:val="00637B3E"/>
    <w:rsid w:val="00647770"/>
    <w:rsid w:val="00654380"/>
    <w:rsid w:val="0066181E"/>
    <w:rsid w:val="00662D96"/>
    <w:rsid w:val="0067167E"/>
    <w:rsid w:val="00672B55"/>
    <w:rsid w:val="00675A68"/>
    <w:rsid w:val="006946C1"/>
    <w:rsid w:val="006C56C9"/>
    <w:rsid w:val="006C6364"/>
    <w:rsid w:val="006E37B3"/>
    <w:rsid w:val="006E4290"/>
    <w:rsid w:val="006E4842"/>
    <w:rsid w:val="006F30A9"/>
    <w:rsid w:val="0070163D"/>
    <w:rsid w:val="00715730"/>
    <w:rsid w:val="0073469A"/>
    <w:rsid w:val="00746BB6"/>
    <w:rsid w:val="0075334A"/>
    <w:rsid w:val="007627CA"/>
    <w:rsid w:val="00764758"/>
    <w:rsid w:val="00770175"/>
    <w:rsid w:val="0077289F"/>
    <w:rsid w:val="00780517"/>
    <w:rsid w:val="00784174"/>
    <w:rsid w:val="00787998"/>
    <w:rsid w:val="0079295F"/>
    <w:rsid w:val="00795761"/>
    <w:rsid w:val="007C33F2"/>
    <w:rsid w:val="007C5272"/>
    <w:rsid w:val="007C6457"/>
    <w:rsid w:val="007D24F7"/>
    <w:rsid w:val="007E58D6"/>
    <w:rsid w:val="007F2B88"/>
    <w:rsid w:val="00807577"/>
    <w:rsid w:val="008135BB"/>
    <w:rsid w:val="00817FE2"/>
    <w:rsid w:val="008230F5"/>
    <w:rsid w:val="0083048B"/>
    <w:rsid w:val="00837100"/>
    <w:rsid w:val="0085236B"/>
    <w:rsid w:val="00880F45"/>
    <w:rsid w:val="00890F29"/>
    <w:rsid w:val="00893BAB"/>
    <w:rsid w:val="00895931"/>
    <w:rsid w:val="008A041B"/>
    <w:rsid w:val="008A498F"/>
    <w:rsid w:val="008D710A"/>
    <w:rsid w:val="008E5809"/>
    <w:rsid w:val="00902933"/>
    <w:rsid w:val="0091116D"/>
    <w:rsid w:val="009174C6"/>
    <w:rsid w:val="00935B44"/>
    <w:rsid w:val="00937E84"/>
    <w:rsid w:val="009475B5"/>
    <w:rsid w:val="00953270"/>
    <w:rsid w:val="009613C1"/>
    <w:rsid w:val="009724AF"/>
    <w:rsid w:val="009803AA"/>
    <w:rsid w:val="00983C57"/>
    <w:rsid w:val="009853E1"/>
    <w:rsid w:val="00990304"/>
    <w:rsid w:val="00993335"/>
    <w:rsid w:val="009D2E5B"/>
    <w:rsid w:val="009D3A4A"/>
    <w:rsid w:val="009D6B78"/>
    <w:rsid w:val="009E2E23"/>
    <w:rsid w:val="009F47A4"/>
    <w:rsid w:val="00A10F90"/>
    <w:rsid w:val="00A12B74"/>
    <w:rsid w:val="00A22FAF"/>
    <w:rsid w:val="00A2301D"/>
    <w:rsid w:val="00A27813"/>
    <w:rsid w:val="00A465FF"/>
    <w:rsid w:val="00A4670A"/>
    <w:rsid w:val="00A74E27"/>
    <w:rsid w:val="00A806F4"/>
    <w:rsid w:val="00A844E2"/>
    <w:rsid w:val="00A9484E"/>
    <w:rsid w:val="00AA5993"/>
    <w:rsid w:val="00AC0868"/>
    <w:rsid w:val="00AC66A6"/>
    <w:rsid w:val="00AE0B44"/>
    <w:rsid w:val="00AF1EB7"/>
    <w:rsid w:val="00B25AFE"/>
    <w:rsid w:val="00B30D6C"/>
    <w:rsid w:val="00B4038B"/>
    <w:rsid w:val="00B44F00"/>
    <w:rsid w:val="00B566DB"/>
    <w:rsid w:val="00B60BCE"/>
    <w:rsid w:val="00B646B4"/>
    <w:rsid w:val="00B76770"/>
    <w:rsid w:val="00B77987"/>
    <w:rsid w:val="00B814C3"/>
    <w:rsid w:val="00B86C4D"/>
    <w:rsid w:val="00B9531D"/>
    <w:rsid w:val="00BB270B"/>
    <w:rsid w:val="00BC528F"/>
    <w:rsid w:val="00BC717F"/>
    <w:rsid w:val="00BD0B7B"/>
    <w:rsid w:val="00BF24AB"/>
    <w:rsid w:val="00BF5131"/>
    <w:rsid w:val="00BF787F"/>
    <w:rsid w:val="00C0068F"/>
    <w:rsid w:val="00C04DB2"/>
    <w:rsid w:val="00C37671"/>
    <w:rsid w:val="00C416DF"/>
    <w:rsid w:val="00C50FF6"/>
    <w:rsid w:val="00C51741"/>
    <w:rsid w:val="00C6103D"/>
    <w:rsid w:val="00C714F3"/>
    <w:rsid w:val="00C73186"/>
    <w:rsid w:val="00CB438D"/>
    <w:rsid w:val="00CC1EDA"/>
    <w:rsid w:val="00CD5C9F"/>
    <w:rsid w:val="00CD69B0"/>
    <w:rsid w:val="00CE1781"/>
    <w:rsid w:val="00CE74FE"/>
    <w:rsid w:val="00CF03FA"/>
    <w:rsid w:val="00CF6B32"/>
    <w:rsid w:val="00CF6FC6"/>
    <w:rsid w:val="00D355E8"/>
    <w:rsid w:val="00D63C06"/>
    <w:rsid w:val="00D65F89"/>
    <w:rsid w:val="00DA5F4A"/>
    <w:rsid w:val="00DC1525"/>
    <w:rsid w:val="00DC1DF1"/>
    <w:rsid w:val="00DC398C"/>
    <w:rsid w:val="00DF5BB0"/>
    <w:rsid w:val="00E02D97"/>
    <w:rsid w:val="00E143CA"/>
    <w:rsid w:val="00E22443"/>
    <w:rsid w:val="00E4006E"/>
    <w:rsid w:val="00E46DA6"/>
    <w:rsid w:val="00E4706A"/>
    <w:rsid w:val="00E5737B"/>
    <w:rsid w:val="00E60F23"/>
    <w:rsid w:val="00E72052"/>
    <w:rsid w:val="00E73751"/>
    <w:rsid w:val="00E8139C"/>
    <w:rsid w:val="00E855AC"/>
    <w:rsid w:val="00E870CD"/>
    <w:rsid w:val="00E914D7"/>
    <w:rsid w:val="00E922CA"/>
    <w:rsid w:val="00EA097D"/>
    <w:rsid w:val="00EA68D8"/>
    <w:rsid w:val="00ED5F3B"/>
    <w:rsid w:val="00EE1BD6"/>
    <w:rsid w:val="00EE793F"/>
    <w:rsid w:val="00F05E86"/>
    <w:rsid w:val="00F117A9"/>
    <w:rsid w:val="00F14AF2"/>
    <w:rsid w:val="00F16942"/>
    <w:rsid w:val="00F26BDA"/>
    <w:rsid w:val="00F2751B"/>
    <w:rsid w:val="00F61ECB"/>
    <w:rsid w:val="00F700D9"/>
    <w:rsid w:val="00F759C0"/>
    <w:rsid w:val="00F77559"/>
    <w:rsid w:val="00FA081F"/>
    <w:rsid w:val="00FE1023"/>
    <w:rsid w:val="00FE1D11"/>
    <w:rsid w:val="00FE296A"/>
    <w:rsid w:val="00FE4260"/>
    <w:rsid w:val="00FF2E47"/>
    <w:rsid w:val="00FF2EA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E440A67"/>
  <w15:docId w15:val="{BF22C322-B7F8-439F-A3EF-802E6817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paragraph" w:styleId="Sraopastraipa">
    <w:name w:val="List Paragraph"/>
    <w:basedOn w:val="prastasis"/>
    <w:link w:val="SraopastraipaDiagrama"/>
    <w:uiPriority w:val="34"/>
    <w:qFormat/>
    <w:rsid w:val="004376F8"/>
    <w:pPr>
      <w:ind w:left="720"/>
      <w:contextualSpacing/>
    </w:pPr>
  </w:style>
  <w:style w:type="paragraph" w:styleId="Betarp">
    <w:name w:val="No Spacing"/>
    <w:basedOn w:val="prastasis"/>
    <w:uiPriority w:val="1"/>
    <w:qFormat/>
    <w:rsid w:val="00027212"/>
    <w:pPr>
      <w:jc w:val="left"/>
    </w:pPr>
    <w:rPr>
      <w:rFonts w:ascii="Calibri" w:hAnsi="Calibri"/>
      <w:sz w:val="22"/>
      <w:szCs w:val="22"/>
      <w:lang w:eastAsia="ko-KR"/>
    </w:rPr>
  </w:style>
  <w:style w:type="character" w:customStyle="1" w:styleId="SraopastraipaDiagrama">
    <w:name w:val="Sąrašo pastraipa Diagrama"/>
    <w:link w:val="Sraopastraipa"/>
    <w:uiPriority w:val="34"/>
    <w:locked/>
    <w:rsid w:val="00990304"/>
    <w:rPr>
      <w:sz w:val="24"/>
      <w:lang w:eastAsia="en-US"/>
    </w:rPr>
  </w:style>
  <w:style w:type="character" w:customStyle="1" w:styleId="PuslapioinaostekstasDiagrama">
    <w:name w:val="Puslapio išnašos tekstas Diagrama"/>
    <w:aliases w:val="Car Diagrama,fn Diagrama,Footnotes Diagrama,Footnote ak Diagrama,Footnote Text Char Char Diagrama,fn Char Char Diagrama,footnote text Char Char Diagrama,Footnotes Char Char Diagrama,Footnote ak Char Char Diagrama"/>
    <w:basedOn w:val="Numatytasispastraiposriftas"/>
    <w:link w:val="Puslapioinaostekstas"/>
    <w:semiHidden/>
    <w:locked/>
    <w:rsid w:val="005C7428"/>
  </w:style>
  <w:style w:type="paragraph" w:styleId="Puslapioinaostekstas">
    <w:name w:val="footnote text"/>
    <w:aliases w:val="Car,fn,Footnotes,Footnote ak,Footnote Text Char Char,fn Char Char,footnote text Char Char,Footnotes Char Char,Footnote ak Char Char,fn Char1,footnote text Char1,Footnotes Char1,Footnote ak Char1,Diagrama1"/>
    <w:basedOn w:val="prastasis"/>
    <w:link w:val="PuslapioinaostekstasDiagrama"/>
    <w:semiHidden/>
    <w:unhideWhenUsed/>
    <w:rsid w:val="005C7428"/>
    <w:rPr>
      <w:sz w:val="20"/>
      <w:lang w:eastAsia="lt-LT"/>
    </w:rPr>
  </w:style>
  <w:style w:type="character" w:customStyle="1" w:styleId="FootnoteTextChar1">
    <w:name w:val="Footnote Text Char1"/>
    <w:basedOn w:val="Numatytasispastraiposriftas"/>
    <w:uiPriority w:val="99"/>
    <w:semiHidden/>
    <w:rsid w:val="005C7428"/>
    <w:rPr>
      <w:lang w:eastAsia="en-US"/>
    </w:rPr>
  </w:style>
  <w:style w:type="character" w:customStyle="1" w:styleId="KTpstrnumChar">
    <w:name w:val="KT pstr num Char"/>
    <w:basedOn w:val="Numatytasispastraiposriftas"/>
    <w:link w:val="KTpstrnum"/>
    <w:locked/>
    <w:rsid w:val="005C7428"/>
  </w:style>
  <w:style w:type="paragraph" w:customStyle="1" w:styleId="KTpstrnum">
    <w:name w:val="KT pstr num"/>
    <w:basedOn w:val="prastasis"/>
    <w:link w:val="KTpstrnumChar"/>
    <w:qFormat/>
    <w:rsid w:val="005C7428"/>
    <w:pPr>
      <w:numPr>
        <w:numId w:val="3"/>
      </w:numPr>
    </w:pPr>
    <w:rPr>
      <w:sz w:val="20"/>
      <w:lang w:eastAsia="lt-LT"/>
    </w:rPr>
  </w:style>
  <w:style w:type="character" w:styleId="Puslapioinaosnuoroda">
    <w:name w:val="footnote reference"/>
    <w:aliases w:val="Ref,de nota al pie,Puslapio išnašos nuoroda1"/>
    <w:basedOn w:val="Numatytasispastraiposriftas"/>
    <w:semiHidden/>
    <w:unhideWhenUsed/>
    <w:rsid w:val="005C7428"/>
    <w:rPr>
      <w:vertAlign w:val="superscript"/>
    </w:rPr>
  </w:style>
  <w:style w:type="paragraph" w:styleId="Pataisymai">
    <w:name w:val="Revision"/>
    <w:hidden/>
    <w:uiPriority w:val="99"/>
    <w:semiHidden/>
    <w:rsid w:val="0090293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0852">
      <w:bodyDiv w:val="1"/>
      <w:marLeft w:val="0"/>
      <w:marRight w:val="0"/>
      <w:marTop w:val="0"/>
      <w:marBottom w:val="0"/>
      <w:divBdr>
        <w:top w:val="none" w:sz="0" w:space="0" w:color="auto"/>
        <w:left w:val="none" w:sz="0" w:space="0" w:color="auto"/>
        <w:bottom w:val="none" w:sz="0" w:space="0" w:color="auto"/>
        <w:right w:val="none" w:sz="0" w:space="0" w:color="auto"/>
      </w:divBdr>
    </w:div>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76318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_rels/settings.xml.rels><?xml version="1.0" encoding="UTF-8" standalone="no"?>
<Relationships xmlns="http://schemas.openxmlformats.org/package/2006/relationships">
<Relationship Id="rId1" Target="file:///C:/Users/r.sabaliauskaite/AppData/Local/Microsoft/Windows/Temporary%20Internet%20Files/Content.Outlook/F7WSXT9Q/Rastas_lt_jb.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32136-3A54-4C58-8361-50F2C58AB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0</TotalTime>
  <Pages>2</Pages>
  <Words>520</Words>
  <Characters>3728</Characters>
  <Application>Microsoft Office Word</Application>
  <DocSecurity>4</DocSecurity>
  <Lines>31</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KPC</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2019-03-22T12:22:00Z</dcterms:created>
  <dc:creator>Brazeviciute Justina</dc:creator>
  <cp:lastModifiedBy>Asta Balevičiūtė</cp:lastModifiedBy>
  <cp:lastPrinted>2017-02-23T08:20:00Z</cp:lastPrinted>
  <dcterms:modified xsi:type="dcterms:W3CDTF">2019-03-22T12:22:00Z</dcterms:modified>
  <cp:revision>2</cp:revision>
</cp:coreProperties>
</file>