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25" w:rsidRPr="003B5667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3B5667">
        <w:rPr>
          <w:rFonts w:ascii="Times New Roman" w:hAnsi="Times New Roman"/>
          <w:noProof/>
          <w:lang w:eastAsia="lt-LT"/>
        </w:rPr>
        <w:drawing>
          <wp:inline distT="0" distB="0" distL="0" distR="0" wp14:anchorId="36FC4847" wp14:editId="076DAC3B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3B5667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3B5667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3B5667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3B5667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3B5667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3B5667">
        <w:rPr>
          <w:rFonts w:ascii="Times New Roman" w:hAnsi="Times New Roman"/>
          <w:b/>
          <w:sz w:val="28"/>
          <w:lang w:val="lt-LT"/>
        </w:rPr>
        <w:t>LIETUVOS RESPUBLIKOS ŽEMĖS ŪKIO MINISTERIJA</w:t>
      </w:r>
    </w:p>
    <w:p w:rsidR="006A5859" w:rsidRPr="003B5667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3B5667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3B5667"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:rsidR="00D46316" w:rsidRPr="003B5667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3B5667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  <w:r w:rsidRPr="003B5667">
        <w:rPr>
          <w:rFonts w:ascii="Times New Roman" w:hAnsi="Times New Roman"/>
          <w:lang w:val="lt-LT"/>
        </w:rPr>
        <w:tab/>
      </w:r>
    </w:p>
    <w:p w:rsidR="006E3D25" w:rsidRPr="003B5667" w:rsidRDefault="006E3D25">
      <w:pPr>
        <w:jc w:val="both"/>
        <w:rPr>
          <w:rFonts w:ascii="Times New Roman" w:hAnsi="Times New Roman"/>
          <w:lang w:val="lt-LT"/>
        </w:rPr>
      </w:pPr>
    </w:p>
    <w:p w:rsidR="0006585C" w:rsidRPr="003B5667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3B5667" w:rsidTr="00B92F23">
        <w:tc>
          <w:tcPr>
            <w:tcW w:w="2019" w:type="dxa"/>
          </w:tcPr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12" w:history="1">
              <w:r w:rsidRPr="003B5667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3B5667" w:rsidRDefault="00C137DC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3" w:history="1">
              <w:r w:rsidR="00D46316" w:rsidRPr="003B5667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2" w:name="OLE_LINK1"/>
            <w:bookmarkStart w:id="3" w:name="OLE_LINK2"/>
            <w:r w:rsidRPr="003B5667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2"/>
          <w:bookmarkEnd w:id="3"/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 w:rsidRPr="003B5667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3B5667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3B5667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3B5667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3B5667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3B5667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:rsidR="00D46316" w:rsidRPr="003B5667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 w:rsidRPr="003B5667"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1574FE25" wp14:editId="44469973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:rsidR="00D46316" w:rsidRPr="003B5667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D46316" w:rsidRPr="003B5667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Pr="003B5667" w:rsidRDefault="0006585C">
      <w:pPr>
        <w:jc w:val="both"/>
        <w:rPr>
          <w:rFonts w:ascii="Times New Roman" w:hAnsi="Times New Roman"/>
          <w:lang w:val="lt-LT"/>
        </w:rPr>
      </w:pPr>
    </w:p>
    <w:p w:rsidR="0006585C" w:rsidRPr="003B5667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96"/>
        <w:gridCol w:w="1720"/>
        <w:gridCol w:w="530"/>
        <w:gridCol w:w="2299"/>
      </w:tblGrid>
      <w:tr w:rsidR="001E15F2" w:rsidRPr="003B5667" w:rsidTr="001E15F2">
        <w:tc>
          <w:tcPr>
            <w:tcW w:w="4920" w:type="dxa"/>
            <w:vMerge w:val="restart"/>
          </w:tcPr>
          <w:p w:rsidR="001E15F2" w:rsidRPr="003B5667" w:rsidRDefault="002C3849">
            <w:pPr>
              <w:jc w:val="both"/>
              <w:rPr>
                <w:rFonts w:ascii="Times New Roman" w:hAnsi="Times New Roman"/>
                <w:lang w:val="lt-LT"/>
              </w:rPr>
            </w:pPr>
            <w:r w:rsidRPr="003B5667">
              <w:rPr>
                <w:rFonts w:ascii="Times New Roman" w:hAnsi="Times New Roman"/>
                <w:lang w:val="lt-LT"/>
              </w:rPr>
              <w:t>Teisingumo</w:t>
            </w:r>
            <w:r w:rsidR="00A25035" w:rsidRPr="003B5667">
              <w:rPr>
                <w:rFonts w:ascii="Times New Roman" w:hAnsi="Times New Roman"/>
                <w:lang w:val="lt-LT"/>
              </w:rPr>
              <w:t xml:space="preserve"> ministerijai</w:t>
            </w:r>
          </w:p>
          <w:p w:rsidR="001E15F2" w:rsidRPr="003B5667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Pr="003B5667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Pr="003B5667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Pr="003B5667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 w:rsidRPr="003B5667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Pr="003B5667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:rsidRPr="003B5667" w:rsidTr="001E15F2">
        <w:tc>
          <w:tcPr>
            <w:tcW w:w="4920" w:type="dxa"/>
            <w:vMerge/>
          </w:tcPr>
          <w:p w:rsidR="001E15F2" w:rsidRPr="003B5667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Pr="003B5667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B5667"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Pr="003B5667" w:rsidRDefault="00A25035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B5667">
              <w:rPr>
                <w:rFonts w:ascii="Times New Roman" w:hAnsi="Times New Roman"/>
                <w:lang w:val="lt-LT"/>
              </w:rPr>
              <w:t>2020-0</w:t>
            </w:r>
            <w:r w:rsidR="00087E6B" w:rsidRPr="003B5667">
              <w:rPr>
                <w:rFonts w:ascii="Times New Roman" w:hAnsi="Times New Roman"/>
                <w:lang w:val="lt-LT"/>
              </w:rPr>
              <w:t>3</w:t>
            </w:r>
            <w:r w:rsidRPr="003B5667">
              <w:rPr>
                <w:rFonts w:ascii="Times New Roman" w:hAnsi="Times New Roman"/>
                <w:lang w:val="lt-LT"/>
              </w:rPr>
              <w:t>-16</w:t>
            </w:r>
          </w:p>
        </w:tc>
        <w:tc>
          <w:tcPr>
            <w:tcW w:w="530" w:type="dxa"/>
          </w:tcPr>
          <w:p w:rsidR="001E15F2" w:rsidRPr="003B5667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B5667"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Pr="003B5667" w:rsidRDefault="00087E6B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 w:rsidRPr="003B5667">
              <w:rPr>
                <w:rFonts w:ascii="Times New Roman" w:hAnsi="Times New Roman"/>
                <w:lang w:val="lt-LT"/>
              </w:rPr>
              <w:t>(1.6E) 2T-293</w:t>
            </w:r>
          </w:p>
        </w:tc>
      </w:tr>
      <w:tr w:rsidR="001E15F2" w:rsidRPr="003B5667" w:rsidTr="001E15F2">
        <w:trPr>
          <w:trHeight w:val="113"/>
        </w:trPr>
        <w:tc>
          <w:tcPr>
            <w:tcW w:w="4920" w:type="dxa"/>
            <w:vMerge/>
          </w:tcPr>
          <w:p w:rsidR="001E15F2" w:rsidRPr="003B5667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Pr="003B5667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Pr="003B5667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Pr="003B5667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Pr="003B5667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3B5667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Pr="003B5667" w:rsidRDefault="006A5859" w:rsidP="006A5859">
      <w:pPr>
        <w:jc w:val="both"/>
        <w:rPr>
          <w:rFonts w:ascii="Times New Roman" w:hAnsi="Times New Roman"/>
          <w:lang w:val="lt-LT"/>
        </w:rPr>
      </w:pPr>
    </w:p>
    <w:p w:rsidR="007D7528" w:rsidRPr="003B5667" w:rsidRDefault="00E83E4E" w:rsidP="006A5859">
      <w:pPr>
        <w:jc w:val="both"/>
        <w:rPr>
          <w:rFonts w:ascii="Times New Roman" w:hAnsi="Times New Roman"/>
          <w:b/>
          <w:lang w:val="lt-LT"/>
        </w:rPr>
      </w:pPr>
      <w:r w:rsidRPr="003B5667">
        <w:rPr>
          <w:rFonts w:ascii="Times New Roman" w:hAnsi="Times New Roman"/>
          <w:b/>
          <w:lang w:val="lt-LT"/>
        </w:rPr>
        <w:t xml:space="preserve">DĖL LIETUVOS RESPUBLIKOS VYRIAUSYBĖS NUTARIMO „DĖL GALIOJANČIO TEISINIO REGULIAVIMO POVEIKIO </w:t>
      </w:r>
      <w:r w:rsidRPr="00164BDC">
        <w:rPr>
          <w:rFonts w:ascii="Times New Roman" w:hAnsi="Times New Roman"/>
          <w:b/>
          <w:i/>
          <w:iCs/>
          <w:lang w:val="lt-LT"/>
        </w:rPr>
        <w:t>EX POST</w:t>
      </w:r>
      <w:r w:rsidRPr="003B5667">
        <w:rPr>
          <w:rFonts w:ascii="Times New Roman" w:hAnsi="Times New Roman"/>
          <w:b/>
          <w:lang w:val="lt-LT"/>
        </w:rPr>
        <w:t xml:space="preserve"> VERTINIMO METODIKOS IR ATASKAITOS FORMOS PATVIRTINIMO“ PROJEKTO</w:t>
      </w:r>
    </w:p>
    <w:p w:rsidR="00E83E4E" w:rsidRPr="003B5667" w:rsidRDefault="00E83E4E" w:rsidP="006A5859">
      <w:pPr>
        <w:jc w:val="both"/>
        <w:rPr>
          <w:rFonts w:ascii="Times New Roman" w:hAnsi="Times New Roman"/>
          <w:sz w:val="22"/>
          <w:lang w:val="lt-LT"/>
        </w:rPr>
      </w:pPr>
    </w:p>
    <w:p w:rsidR="00A10874" w:rsidRPr="003B5667" w:rsidRDefault="00A25035" w:rsidP="00A25035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/>
        </w:rPr>
      </w:pPr>
      <w:r w:rsidRPr="003B5667">
        <w:rPr>
          <w:rFonts w:ascii="Times New Roman" w:hAnsi="Times New Roman"/>
          <w:szCs w:val="24"/>
          <w:lang w:val="lt-LT"/>
        </w:rPr>
        <w:t xml:space="preserve">Išnagrinėję </w:t>
      </w:r>
      <w:r w:rsidR="00085537" w:rsidRPr="003B5667">
        <w:rPr>
          <w:lang w:val="lt-LT" w:eastAsia="lt-LT"/>
        </w:rPr>
        <w:t xml:space="preserve">Galiojančio teisinio reguliavimo poveikio </w:t>
      </w:r>
      <w:r w:rsidR="00085537" w:rsidRPr="003B5667">
        <w:rPr>
          <w:i/>
          <w:lang w:val="lt-LT" w:eastAsia="lt-LT"/>
        </w:rPr>
        <w:t>ex post</w:t>
      </w:r>
      <w:r w:rsidR="00085537" w:rsidRPr="003B5667">
        <w:rPr>
          <w:lang w:val="lt-LT" w:eastAsia="lt-LT"/>
        </w:rPr>
        <w:t xml:space="preserve"> vertinimo metodikos </w:t>
      </w:r>
      <w:r w:rsidR="007D7528" w:rsidRPr="003B5667">
        <w:rPr>
          <w:rFonts w:ascii="Times New Roman" w:hAnsi="Times New Roman"/>
          <w:szCs w:val="24"/>
          <w:lang w:val="lt-LT"/>
        </w:rPr>
        <w:t xml:space="preserve">projektą </w:t>
      </w:r>
      <w:r w:rsidRPr="003B5667">
        <w:rPr>
          <w:rFonts w:ascii="Times New Roman" w:hAnsi="Times New Roman"/>
          <w:szCs w:val="24"/>
          <w:lang w:val="lt-LT"/>
        </w:rPr>
        <w:t xml:space="preserve">(toliau – </w:t>
      </w:r>
      <w:r w:rsidR="007D7528" w:rsidRPr="003B5667">
        <w:rPr>
          <w:rFonts w:ascii="Times New Roman" w:hAnsi="Times New Roman"/>
          <w:szCs w:val="24"/>
          <w:lang w:val="lt-LT"/>
        </w:rPr>
        <w:t>Projektas</w:t>
      </w:r>
      <w:r w:rsidRPr="003B5667">
        <w:rPr>
          <w:rFonts w:ascii="Times New Roman" w:hAnsi="Times New Roman"/>
          <w:szCs w:val="24"/>
          <w:lang w:val="lt-LT"/>
        </w:rPr>
        <w:t>), teikiame ši</w:t>
      </w:r>
      <w:r w:rsidR="007D7528" w:rsidRPr="003B5667">
        <w:rPr>
          <w:rFonts w:ascii="Times New Roman" w:hAnsi="Times New Roman"/>
          <w:szCs w:val="24"/>
          <w:lang w:val="lt-LT"/>
        </w:rPr>
        <w:t>a</w:t>
      </w:r>
      <w:r w:rsidRPr="003B5667">
        <w:rPr>
          <w:rFonts w:ascii="Times New Roman" w:hAnsi="Times New Roman"/>
          <w:szCs w:val="24"/>
          <w:lang w:val="lt-LT"/>
        </w:rPr>
        <w:t>s pas</w:t>
      </w:r>
      <w:r w:rsidR="007D7528" w:rsidRPr="003B5667">
        <w:rPr>
          <w:rFonts w:ascii="Times New Roman" w:hAnsi="Times New Roman"/>
          <w:szCs w:val="24"/>
          <w:lang w:val="lt-LT"/>
        </w:rPr>
        <w:t>tabas.</w:t>
      </w:r>
      <w:r w:rsidR="00085537" w:rsidRPr="003B5667">
        <w:rPr>
          <w:rFonts w:ascii="Times New Roman" w:hAnsi="Times New Roman"/>
          <w:szCs w:val="24"/>
          <w:lang w:val="lt-LT"/>
        </w:rPr>
        <w:t xml:space="preserve"> Kitiems teisės aktų projektams</w:t>
      </w:r>
      <w:r w:rsidR="00164BDC">
        <w:rPr>
          <w:rFonts w:ascii="Times New Roman" w:hAnsi="Times New Roman"/>
          <w:szCs w:val="24"/>
          <w:lang w:val="lt-LT"/>
        </w:rPr>
        <w:t>,</w:t>
      </w:r>
      <w:r w:rsidR="00085537" w:rsidRPr="003B5667">
        <w:rPr>
          <w:rFonts w:ascii="Times New Roman" w:hAnsi="Times New Roman"/>
          <w:szCs w:val="24"/>
          <w:lang w:val="lt-LT"/>
        </w:rPr>
        <w:t xml:space="preserve"> pateiktiems derinti</w:t>
      </w:r>
      <w:r w:rsidR="00164BDC">
        <w:rPr>
          <w:rFonts w:ascii="Times New Roman" w:hAnsi="Times New Roman"/>
          <w:szCs w:val="24"/>
          <w:lang w:val="lt-LT"/>
        </w:rPr>
        <w:t>,</w:t>
      </w:r>
      <w:r w:rsidR="00085537" w:rsidRPr="003B5667">
        <w:rPr>
          <w:rFonts w:ascii="Times New Roman" w:hAnsi="Times New Roman"/>
          <w:szCs w:val="24"/>
          <w:lang w:val="lt-LT"/>
        </w:rPr>
        <w:t xml:space="preserve"> pastabų ir pasiūlymų neturime.</w:t>
      </w:r>
    </w:p>
    <w:p w:rsidR="00881BD3" w:rsidRPr="003B5667" w:rsidRDefault="000F4BF9" w:rsidP="003B5667">
      <w:pPr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  <w:lang w:val="lt-LT" w:eastAsia="lt-LT"/>
        </w:rPr>
      </w:pPr>
      <w:r w:rsidRPr="003B5667">
        <w:rPr>
          <w:rFonts w:ascii="Times New Roman" w:hAnsi="Times New Roman"/>
          <w:szCs w:val="24"/>
          <w:lang w:val="lt-LT"/>
        </w:rPr>
        <w:t xml:space="preserve">Projekte </w:t>
      </w:r>
      <w:r w:rsidR="00796528" w:rsidRPr="003B5667">
        <w:rPr>
          <w:rFonts w:ascii="Times New Roman" w:hAnsi="Times New Roman"/>
          <w:szCs w:val="24"/>
          <w:lang w:val="lt-LT"/>
        </w:rPr>
        <w:t>yra</w:t>
      </w:r>
      <w:r w:rsidRPr="003B5667">
        <w:rPr>
          <w:rFonts w:ascii="Times New Roman" w:hAnsi="Times New Roman"/>
          <w:szCs w:val="24"/>
          <w:lang w:val="lt-LT"/>
        </w:rPr>
        <w:t xml:space="preserve"> nuostatų, kurių turinys neatskleistas ir dėl to gali kilti neaiškumų taik</w:t>
      </w:r>
      <w:r w:rsidR="00891B03">
        <w:rPr>
          <w:rFonts w:ascii="Times New Roman" w:hAnsi="Times New Roman"/>
          <w:szCs w:val="24"/>
          <w:lang w:val="lt-LT"/>
        </w:rPr>
        <w:t>ymo metu</w:t>
      </w:r>
      <w:r w:rsidR="00164BDC">
        <w:rPr>
          <w:rFonts w:ascii="Times New Roman" w:hAnsi="Times New Roman"/>
          <w:szCs w:val="24"/>
          <w:lang w:val="lt-LT"/>
        </w:rPr>
        <w:t>.</w:t>
      </w:r>
      <w:r w:rsidR="00891B03">
        <w:rPr>
          <w:rFonts w:ascii="Times New Roman" w:hAnsi="Times New Roman"/>
          <w:szCs w:val="24"/>
          <w:lang w:val="lt-LT"/>
        </w:rPr>
        <w:t xml:space="preserve"> </w:t>
      </w:r>
      <w:r w:rsidR="00164BDC">
        <w:rPr>
          <w:rFonts w:ascii="Times New Roman" w:hAnsi="Times New Roman"/>
          <w:szCs w:val="24"/>
          <w:lang w:val="lt-LT"/>
        </w:rPr>
        <w:t>P</w:t>
      </w:r>
      <w:r w:rsidRPr="003B5667">
        <w:rPr>
          <w:rFonts w:ascii="Times New Roman" w:hAnsi="Times New Roman"/>
          <w:szCs w:val="24"/>
          <w:lang w:val="lt-LT"/>
        </w:rPr>
        <w:t xml:space="preserve">avyzdžiui, </w:t>
      </w:r>
      <w:r w:rsidR="00796528" w:rsidRPr="003B5667">
        <w:rPr>
          <w:rFonts w:ascii="Times New Roman" w:hAnsi="Times New Roman"/>
          <w:szCs w:val="24"/>
          <w:lang w:val="lt-LT" w:eastAsia="lt-LT"/>
        </w:rPr>
        <w:t xml:space="preserve">7 punkte nurodoma, kad laikotarpis skaičiuojamas </w:t>
      </w:r>
      <w:bookmarkStart w:id="4" w:name="_Hlk35334243"/>
      <w:r w:rsidR="00796528" w:rsidRPr="003B5667">
        <w:rPr>
          <w:rFonts w:ascii="Times New Roman" w:hAnsi="Times New Roman"/>
          <w:i/>
          <w:iCs/>
          <w:szCs w:val="24"/>
          <w:lang w:val="lt-LT" w:eastAsia="lt-LT"/>
        </w:rPr>
        <w:t>nuo esminių pakeitimų</w:t>
      </w:r>
      <w:r w:rsidR="00796528" w:rsidRPr="003B5667">
        <w:rPr>
          <w:rFonts w:ascii="Times New Roman" w:hAnsi="Times New Roman"/>
          <w:szCs w:val="24"/>
          <w:lang w:val="lt-LT" w:eastAsia="lt-LT"/>
        </w:rPr>
        <w:t xml:space="preserve"> įsigaliojimo dienos</w:t>
      </w:r>
      <w:bookmarkEnd w:id="4"/>
      <w:r w:rsidR="00796528" w:rsidRPr="003B5667">
        <w:rPr>
          <w:rFonts w:ascii="Times New Roman" w:hAnsi="Times New Roman"/>
          <w:szCs w:val="24"/>
          <w:lang w:val="lt-LT" w:eastAsia="lt-LT"/>
        </w:rPr>
        <w:t xml:space="preserve">, tačiau neatskleidžiamas esminių pakeitimų turinys; 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11.5 papunktyje </w:t>
      </w:r>
      <w:r w:rsidR="007F5FED" w:rsidRPr="003B5667">
        <w:rPr>
          <w:rFonts w:ascii="Times New Roman" w:hAnsi="Times New Roman"/>
          <w:szCs w:val="24"/>
          <w:lang w:val="lt-LT" w:eastAsia="lt-LT"/>
        </w:rPr>
        <w:t xml:space="preserve">nurodoma, kad daromas 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didelis poveikis valstybės institucinei sandarai, kai </w:t>
      </w:r>
      <w:r w:rsidR="007F5FED" w:rsidRPr="003B5667">
        <w:rPr>
          <w:rFonts w:ascii="Times New Roman" w:hAnsi="Times New Roman"/>
          <w:szCs w:val="24"/>
          <w:lang w:val="lt-LT" w:eastAsia="lt-LT"/>
        </w:rPr>
        <w:t>&lt;…&gt;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 </w:t>
      </w:r>
      <w:r w:rsidR="005C645A" w:rsidRPr="003B5667">
        <w:rPr>
          <w:rFonts w:ascii="Times New Roman" w:hAnsi="Times New Roman"/>
          <w:i/>
          <w:iCs/>
          <w:szCs w:val="24"/>
          <w:lang w:val="lt-LT" w:eastAsia="lt-LT"/>
        </w:rPr>
        <w:t>iš esmės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 keičiama valstybės institucijų sąranga</w:t>
      </w:r>
      <w:r w:rsidR="007F5FED" w:rsidRPr="003B5667">
        <w:rPr>
          <w:rFonts w:ascii="Times New Roman" w:hAnsi="Times New Roman"/>
          <w:szCs w:val="24"/>
          <w:lang w:val="lt-LT" w:eastAsia="lt-LT"/>
        </w:rPr>
        <w:t>, tačiau neatskleidžiama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394F3F" w:rsidRPr="003B5667">
        <w:rPr>
          <w:rFonts w:ascii="Times New Roman" w:hAnsi="Times New Roman"/>
          <w:szCs w:val="24"/>
          <w:lang w:val="lt-LT" w:eastAsia="lt-LT"/>
        </w:rPr>
        <w:t xml:space="preserve"> kokiais atvejais iš esmės keičiama sąranga (</w:t>
      </w:r>
      <w:r w:rsidR="00E10659" w:rsidRPr="003B5667">
        <w:rPr>
          <w:rFonts w:ascii="Times New Roman" w:hAnsi="Times New Roman"/>
          <w:szCs w:val="24"/>
          <w:lang w:val="lt-LT" w:eastAsia="lt-LT"/>
        </w:rPr>
        <w:t>ar tai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E10659" w:rsidRPr="003B5667">
        <w:rPr>
          <w:rFonts w:ascii="Times New Roman" w:hAnsi="Times New Roman"/>
          <w:szCs w:val="24"/>
          <w:lang w:val="lt-LT" w:eastAsia="lt-LT"/>
        </w:rPr>
        <w:t xml:space="preserve"> pavyzdžiui, apimtų institucijų</w:t>
      </w:r>
      <w:r w:rsidR="00CB2CF5" w:rsidRPr="003B5667">
        <w:rPr>
          <w:rFonts w:ascii="Times New Roman" w:hAnsi="Times New Roman"/>
          <w:szCs w:val="24"/>
          <w:lang w:val="lt-LT" w:eastAsia="lt-LT"/>
        </w:rPr>
        <w:t xml:space="preserve"> pertvarkas)</w:t>
      </w:r>
      <w:r w:rsidR="005C645A" w:rsidRPr="003B5667">
        <w:rPr>
          <w:rFonts w:ascii="Times New Roman" w:hAnsi="Times New Roman"/>
          <w:szCs w:val="24"/>
          <w:lang w:val="lt-LT" w:eastAsia="lt-LT"/>
        </w:rPr>
        <w:t>;</w:t>
      </w:r>
      <w:r w:rsidR="00CB2CF5" w:rsidRPr="003B5667">
        <w:rPr>
          <w:rFonts w:ascii="Times New Roman" w:hAnsi="Times New Roman"/>
          <w:szCs w:val="24"/>
          <w:lang w:val="lt-LT" w:eastAsia="lt-LT"/>
        </w:rPr>
        <w:t xml:space="preserve"> 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11.6 </w:t>
      </w:r>
      <w:r w:rsidR="00CB2CF5" w:rsidRPr="003B5667">
        <w:rPr>
          <w:rFonts w:ascii="Times New Roman" w:hAnsi="Times New Roman"/>
          <w:szCs w:val="24"/>
          <w:lang w:val="lt-LT" w:eastAsia="lt-LT"/>
        </w:rPr>
        <w:t>papunktyje</w:t>
      </w:r>
      <w:r w:rsidR="001F7395" w:rsidRPr="003B5667">
        <w:rPr>
          <w:rFonts w:ascii="Times New Roman" w:hAnsi="Times New Roman"/>
          <w:szCs w:val="24"/>
          <w:lang w:val="lt-LT" w:eastAsia="lt-LT"/>
        </w:rPr>
        <w:t xml:space="preserve"> nurodoma, kad daromas</w:t>
      </w:r>
      <w:r w:rsidR="00CB2CF5" w:rsidRPr="003B5667">
        <w:rPr>
          <w:rFonts w:ascii="Times New Roman" w:hAnsi="Times New Roman"/>
          <w:szCs w:val="24"/>
          <w:lang w:val="lt-LT" w:eastAsia="lt-LT"/>
        </w:rPr>
        <w:t xml:space="preserve"> 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didelis poveikis aplinkai, kai teisinio reguliavimo įgyvendinimas turės </w:t>
      </w:r>
      <w:r w:rsidR="005C645A" w:rsidRPr="003B5667">
        <w:rPr>
          <w:rFonts w:ascii="Times New Roman" w:hAnsi="Times New Roman"/>
          <w:i/>
          <w:iCs/>
          <w:szCs w:val="24"/>
          <w:lang w:val="lt-LT" w:eastAsia="lt-LT"/>
        </w:rPr>
        <w:t>reikšmingos įtakos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 klimato kaitai arba aplinkos oro kokybei, gamtos ištekliams, saugomoms vertybėms ir panašiai</w:t>
      </w:r>
      <w:r w:rsidR="001F7395" w:rsidRPr="003B5667">
        <w:rPr>
          <w:rFonts w:ascii="Times New Roman" w:hAnsi="Times New Roman"/>
          <w:szCs w:val="24"/>
          <w:lang w:val="lt-LT" w:eastAsia="lt-LT"/>
        </w:rPr>
        <w:t xml:space="preserve">, neatskleidžiant reikšmingos įtakos sąvokos ir turinio; 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11.7 </w:t>
      </w:r>
      <w:r w:rsidR="00BA5655" w:rsidRPr="003B5667">
        <w:rPr>
          <w:rFonts w:ascii="Times New Roman" w:hAnsi="Times New Roman"/>
          <w:szCs w:val="24"/>
          <w:lang w:val="lt-LT" w:eastAsia="lt-LT"/>
        </w:rPr>
        <w:t xml:space="preserve">papunktyje nurodoma, kad daromas 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didelis poveikis regionams, kai teisinis reguliavimas </w:t>
      </w:r>
      <w:r w:rsidR="005C645A" w:rsidRPr="003B5667">
        <w:rPr>
          <w:rFonts w:ascii="Times New Roman" w:hAnsi="Times New Roman"/>
          <w:i/>
          <w:iCs/>
          <w:szCs w:val="24"/>
          <w:lang w:val="lt-LT" w:eastAsia="lt-LT"/>
        </w:rPr>
        <w:t>reikšmingai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 paveiks viešųjų paslaugų pasiekiamumą, prieinamumą ir kokybę arba </w:t>
      </w:r>
      <w:r w:rsidR="005C645A" w:rsidRPr="003B5667">
        <w:rPr>
          <w:rFonts w:ascii="Times New Roman" w:hAnsi="Times New Roman"/>
          <w:i/>
          <w:iCs/>
          <w:szCs w:val="24"/>
          <w:lang w:val="lt-LT" w:eastAsia="lt-LT"/>
        </w:rPr>
        <w:t>turės įtakos</w:t>
      </w:r>
      <w:r w:rsidR="005C645A" w:rsidRPr="003B5667">
        <w:rPr>
          <w:rFonts w:ascii="Times New Roman" w:hAnsi="Times New Roman"/>
          <w:szCs w:val="24"/>
          <w:lang w:val="lt-LT" w:eastAsia="lt-LT"/>
        </w:rPr>
        <w:t xml:space="preserve"> investiciniam klimatui tam tikrose teritorijose, paveiks ūkio sektorius, kuriems būdinga regioninė specializacija ir panašiai</w:t>
      </w:r>
      <w:r w:rsidR="00164BDC">
        <w:rPr>
          <w:rFonts w:ascii="Times New Roman" w:hAnsi="Times New Roman"/>
          <w:szCs w:val="24"/>
          <w:lang w:val="lt-LT" w:eastAsia="lt-LT"/>
        </w:rPr>
        <w:t>;</w:t>
      </w:r>
      <w:r w:rsidR="00BA5655" w:rsidRPr="003B5667">
        <w:rPr>
          <w:rFonts w:ascii="Times New Roman" w:hAnsi="Times New Roman"/>
          <w:szCs w:val="24"/>
          <w:lang w:val="lt-LT" w:eastAsia="lt-LT"/>
        </w:rPr>
        <w:t xml:space="preserve"> analogiškai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BA5655" w:rsidRPr="003B5667">
        <w:rPr>
          <w:rFonts w:ascii="Times New Roman" w:hAnsi="Times New Roman"/>
          <w:szCs w:val="24"/>
          <w:lang w:val="lt-LT" w:eastAsia="lt-LT"/>
        </w:rPr>
        <w:t xml:space="preserve"> kaip ir minėtuose punktuose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BA5655" w:rsidRPr="003B5667">
        <w:rPr>
          <w:rFonts w:ascii="Times New Roman" w:hAnsi="Times New Roman"/>
          <w:szCs w:val="24"/>
          <w:lang w:val="lt-LT" w:eastAsia="lt-LT"/>
        </w:rPr>
        <w:t xml:space="preserve"> neatskleidžiant </w:t>
      </w:r>
      <w:r w:rsidR="00BA5655" w:rsidRPr="003B5667">
        <w:rPr>
          <w:rFonts w:ascii="Times New Roman" w:hAnsi="Times New Roman"/>
          <w:i/>
          <w:iCs/>
          <w:szCs w:val="24"/>
          <w:lang w:val="lt-LT" w:eastAsia="lt-LT"/>
        </w:rPr>
        <w:t>reikšmingai</w:t>
      </w:r>
      <w:r w:rsidR="00BA5655" w:rsidRPr="003B5667">
        <w:rPr>
          <w:rFonts w:ascii="Times New Roman" w:hAnsi="Times New Roman"/>
          <w:szCs w:val="24"/>
          <w:lang w:val="lt-LT" w:eastAsia="lt-LT"/>
        </w:rPr>
        <w:t xml:space="preserve">, </w:t>
      </w:r>
      <w:r w:rsidR="00BA5655" w:rsidRPr="003B5667">
        <w:rPr>
          <w:rFonts w:ascii="Times New Roman" w:hAnsi="Times New Roman"/>
          <w:i/>
          <w:iCs/>
          <w:szCs w:val="24"/>
          <w:lang w:val="lt-LT" w:eastAsia="lt-LT"/>
        </w:rPr>
        <w:t>turės įtakos</w:t>
      </w:r>
      <w:r w:rsidR="00BA5655" w:rsidRPr="003B5667">
        <w:rPr>
          <w:rFonts w:ascii="Times New Roman" w:hAnsi="Times New Roman"/>
          <w:szCs w:val="24"/>
          <w:lang w:val="lt-LT" w:eastAsia="lt-LT"/>
        </w:rPr>
        <w:t xml:space="preserve"> sąvokų, jų turinio</w:t>
      </w:r>
      <w:r w:rsidR="003F38AC" w:rsidRPr="003B5667">
        <w:rPr>
          <w:rFonts w:ascii="Times New Roman" w:hAnsi="Times New Roman"/>
          <w:szCs w:val="24"/>
          <w:lang w:val="lt-LT" w:eastAsia="lt-LT"/>
        </w:rPr>
        <w:t xml:space="preserve">, bei sąvokų </w:t>
      </w:r>
      <w:r w:rsidR="003F38AC" w:rsidRPr="003B5667">
        <w:rPr>
          <w:rFonts w:ascii="Times New Roman" w:hAnsi="Times New Roman"/>
          <w:i/>
          <w:iCs/>
          <w:szCs w:val="24"/>
          <w:lang w:val="lt-LT" w:eastAsia="lt-LT"/>
        </w:rPr>
        <w:t>turės reikšmingos įtakos, turės įtakos</w:t>
      </w:r>
      <w:r w:rsidR="003F38AC" w:rsidRPr="003B5667">
        <w:rPr>
          <w:rFonts w:ascii="Times New Roman" w:hAnsi="Times New Roman"/>
          <w:szCs w:val="24"/>
          <w:lang w:val="lt-LT" w:eastAsia="lt-LT"/>
        </w:rPr>
        <w:t xml:space="preserve"> skirtumų</w:t>
      </w:r>
      <w:r w:rsidR="00881BD3" w:rsidRPr="003B5667">
        <w:rPr>
          <w:rFonts w:ascii="Times New Roman" w:hAnsi="Times New Roman"/>
          <w:szCs w:val="24"/>
          <w:lang w:val="lt-LT" w:eastAsia="lt-LT"/>
        </w:rPr>
        <w:t xml:space="preserve">; 17.2 papunktyje nurodoma, kad </w:t>
      </w:r>
      <w:r w:rsidR="00164BDC">
        <w:rPr>
          <w:rFonts w:ascii="Times New Roman" w:hAnsi="Times New Roman"/>
          <w:szCs w:val="24"/>
          <w:lang w:val="lt-LT" w:eastAsia="lt-LT"/>
        </w:rPr>
        <w:t>m</w:t>
      </w:r>
      <w:r w:rsidR="00DA0B39" w:rsidRPr="003B5667">
        <w:rPr>
          <w:rFonts w:ascii="Times New Roman" w:hAnsi="Times New Roman"/>
          <w:szCs w:val="24"/>
          <w:lang w:val="lt-LT" w:eastAsia="lt-LT"/>
        </w:rPr>
        <w:t>inistro sprendimas gali būti priimamas, kai</w:t>
      </w:r>
      <w:r w:rsidR="00881BD3" w:rsidRPr="003B5667">
        <w:rPr>
          <w:rFonts w:ascii="Times New Roman" w:hAnsi="Times New Roman"/>
          <w:szCs w:val="24"/>
          <w:lang w:val="lt-LT" w:eastAsia="lt-LT"/>
        </w:rPr>
        <w:t xml:space="preserve"> gaunama </w:t>
      </w:r>
      <w:r w:rsidR="00881BD3" w:rsidRPr="003B5667">
        <w:rPr>
          <w:rFonts w:ascii="Times New Roman" w:hAnsi="Times New Roman"/>
          <w:i/>
          <w:iCs/>
          <w:szCs w:val="24"/>
          <w:lang w:val="lt-LT" w:eastAsia="lt-LT"/>
        </w:rPr>
        <w:t>daug skundų</w:t>
      </w:r>
      <w:r w:rsidR="00881BD3" w:rsidRPr="003B5667">
        <w:rPr>
          <w:rFonts w:ascii="Times New Roman" w:hAnsi="Times New Roman"/>
          <w:szCs w:val="24"/>
          <w:lang w:val="lt-LT" w:eastAsia="lt-LT"/>
        </w:rPr>
        <w:t xml:space="preserve"> dėl teisinio reguliavimo taikymo problemų arba inicijuojami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881BD3" w:rsidRPr="003B5667">
        <w:rPr>
          <w:rFonts w:ascii="Times New Roman" w:hAnsi="Times New Roman"/>
          <w:szCs w:val="24"/>
          <w:lang w:val="lt-LT" w:eastAsia="lt-LT"/>
        </w:rPr>
        <w:t xml:space="preserve"> ar gali būti inicijuoti teisminiai procesai</w:t>
      </w:r>
      <w:r w:rsidR="00DA0B39" w:rsidRPr="003B5667">
        <w:rPr>
          <w:rFonts w:ascii="Times New Roman" w:hAnsi="Times New Roman"/>
          <w:szCs w:val="24"/>
          <w:lang w:val="lt-LT" w:eastAsia="lt-LT"/>
        </w:rPr>
        <w:t>, nenurodant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DA0B39" w:rsidRPr="003B5667">
        <w:rPr>
          <w:rFonts w:ascii="Times New Roman" w:hAnsi="Times New Roman"/>
          <w:szCs w:val="24"/>
          <w:lang w:val="lt-LT" w:eastAsia="lt-LT"/>
        </w:rPr>
        <w:t xml:space="preserve"> koks skundų ar teisminių procesų kiekis laikomas pakankamu</w:t>
      </w:r>
      <w:r w:rsidR="00891B03">
        <w:rPr>
          <w:rFonts w:ascii="Times New Roman" w:hAnsi="Times New Roman"/>
          <w:szCs w:val="24"/>
          <w:lang w:val="lt-LT" w:eastAsia="lt-LT"/>
        </w:rPr>
        <w:t>.</w:t>
      </w:r>
      <w:r w:rsidR="00DA0B39" w:rsidRPr="003B5667">
        <w:rPr>
          <w:rFonts w:ascii="Times New Roman" w:hAnsi="Times New Roman"/>
          <w:szCs w:val="24"/>
          <w:lang w:val="lt-LT" w:eastAsia="lt-LT"/>
        </w:rPr>
        <w:t xml:space="preserve"> </w:t>
      </w:r>
    </w:p>
    <w:p w:rsidR="005B12DC" w:rsidRPr="003B5667" w:rsidRDefault="005B12DC" w:rsidP="003B5667">
      <w:pPr>
        <w:widowControl w:val="0"/>
        <w:spacing w:line="360" w:lineRule="auto"/>
        <w:ind w:firstLine="851"/>
        <w:jc w:val="both"/>
        <w:rPr>
          <w:rFonts w:ascii="Times New Roman" w:hAnsi="Times New Roman"/>
          <w:szCs w:val="24"/>
          <w:lang w:val="lt-LT" w:eastAsia="lt-LT"/>
        </w:rPr>
      </w:pPr>
      <w:r w:rsidRPr="003B5667">
        <w:rPr>
          <w:rFonts w:ascii="Times New Roman" w:hAnsi="Times New Roman"/>
          <w:szCs w:val="24"/>
          <w:lang w:val="lt-LT" w:eastAsia="lt-LT"/>
        </w:rPr>
        <w:lastRenderedPageBreak/>
        <w:t>Taip pat manome, kad Projekto 12.2</w:t>
      </w:r>
      <w:r w:rsidR="0020376D" w:rsidRPr="003B5667">
        <w:rPr>
          <w:rFonts w:ascii="Times New Roman" w:hAnsi="Times New Roman"/>
          <w:szCs w:val="24"/>
          <w:lang w:val="lt-LT" w:eastAsia="lt-LT"/>
        </w:rPr>
        <w:t xml:space="preserve"> papunktyje įtvirtintas</w:t>
      </w:r>
      <w:r w:rsidR="00DA0B39" w:rsidRPr="003B5667">
        <w:rPr>
          <w:rFonts w:ascii="Times New Roman" w:hAnsi="Times New Roman"/>
          <w:szCs w:val="24"/>
          <w:lang w:val="lt-LT" w:eastAsia="lt-LT"/>
        </w:rPr>
        <w:t xml:space="preserve"> atvejis</w:t>
      </w:r>
      <w:r w:rsidR="00164BDC">
        <w:rPr>
          <w:rFonts w:ascii="Times New Roman" w:hAnsi="Times New Roman"/>
          <w:szCs w:val="24"/>
          <w:lang w:val="lt-LT" w:eastAsia="lt-LT"/>
        </w:rPr>
        <w:t>,</w:t>
      </w:r>
      <w:r w:rsidR="000776C1" w:rsidRPr="003B5667">
        <w:rPr>
          <w:rFonts w:ascii="Times New Roman" w:hAnsi="Times New Roman"/>
          <w:szCs w:val="24"/>
          <w:lang w:val="lt-LT" w:eastAsia="lt-LT"/>
        </w:rPr>
        <w:t xml:space="preserve"> kuomet į įstatymą rekomenduotina įtraukti peržiūros nuostatą </w:t>
      </w:r>
      <w:r w:rsidR="0020376D" w:rsidRPr="003B5667">
        <w:rPr>
          <w:rFonts w:ascii="Times New Roman" w:hAnsi="Times New Roman"/>
          <w:szCs w:val="24"/>
          <w:lang w:val="lt-LT" w:eastAsia="lt-LT"/>
        </w:rPr>
        <w:t xml:space="preserve"> </w:t>
      </w:r>
      <w:r w:rsidR="000227DF">
        <w:rPr>
          <w:rFonts w:ascii="Times New Roman" w:hAnsi="Times New Roman"/>
          <w:szCs w:val="24"/>
          <w:lang w:val="lt-LT" w:eastAsia="lt-LT"/>
        </w:rPr>
        <w:t>„</w:t>
      </w:r>
      <w:r w:rsidRPr="003B5667">
        <w:rPr>
          <w:rFonts w:ascii="Times New Roman" w:hAnsi="Times New Roman"/>
          <w:szCs w:val="24"/>
          <w:lang w:val="lt-LT" w:eastAsia="lt-LT"/>
        </w:rPr>
        <w:t>kai rengiant įstatymo projektą gaunami labai prieštaringi institucijų, ekspertų, suinteresuotų asmenų vertinimai dėl siūlomo priimti teisinio reguliavimo, numatomos esminės teisinio reguliavimo įgyvendinimo kliūtys ar panašiai</w:t>
      </w:r>
      <w:r w:rsidR="00891B03">
        <w:rPr>
          <w:rFonts w:ascii="Times New Roman" w:hAnsi="Times New Roman"/>
          <w:szCs w:val="24"/>
          <w:lang w:val="lt-LT" w:eastAsia="lt-LT"/>
        </w:rPr>
        <w:t>“</w:t>
      </w:r>
      <w:r w:rsidR="003B5667">
        <w:rPr>
          <w:rFonts w:ascii="Times New Roman" w:hAnsi="Times New Roman"/>
          <w:szCs w:val="24"/>
          <w:lang w:val="lt-LT" w:eastAsia="lt-LT"/>
        </w:rPr>
        <w:t xml:space="preserve">, yra pernelyg neapibrėžtas </w:t>
      </w:r>
      <w:r w:rsidR="00891B03">
        <w:rPr>
          <w:rFonts w:ascii="Times New Roman" w:hAnsi="Times New Roman"/>
          <w:szCs w:val="24"/>
          <w:lang w:val="lt-LT" w:eastAsia="lt-LT"/>
        </w:rPr>
        <w:t xml:space="preserve">ir galimai </w:t>
      </w:r>
      <w:r w:rsidR="00D23A5B">
        <w:rPr>
          <w:rFonts w:ascii="Times New Roman" w:hAnsi="Times New Roman"/>
          <w:szCs w:val="24"/>
          <w:lang w:val="lt-LT" w:eastAsia="lt-LT"/>
        </w:rPr>
        <w:t xml:space="preserve">dėl to </w:t>
      </w:r>
      <w:r w:rsidR="00891B03">
        <w:rPr>
          <w:rFonts w:ascii="Times New Roman" w:hAnsi="Times New Roman"/>
          <w:szCs w:val="24"/>
          <w:lang w:val="lt-LT" w:eastAsia="lt-LT"/>
        </w:rPr>
        <w:t>į itin didelį skaičių įstatymų būtų įtraukiamos peržiūros nuostatos.</w:t>
      </w:r>
    </w:p>
    <w:p w:rsidR="003F31F2" w:rsidRPr="003B5667" w:rsidRDefault="00372CBD" w:rsidP="002B4C5C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/>
        </w:rPr>
      </w:pPr>
      <w:r w:rsidRPr="003B5667">
        <w:rPr>
          <w:rFonts w:ascii="Times New Roman" w:hAnsi="Times New Roman"/>
          <w:szCs w:val="24"/>
          <w:lang w:val="lt-LT"/>
        </w:rPr>
        <w:t>Taip pat atkreipiame</w:t>
      </w:r>
      <w:r w:rsidR="00164BDC">
        <w:rPr>
          <w:rFonts w:ascii="Times New Roman" w:hAnsi="Times New Roman"/>
          <w:szCs w:val="24"/>
          <w:lang w:val="lt-LT"/>
        </w:rPr>
        <w:t xml:space="preserve"> dėmesį</w:t>
      </w:r>
      <w:r w:rsidRPr="003B5667">
        <w:rPr>
          <w:rFonts w:ascii="Times New Roman" w:hAnsi="Times New Roman"/>
          <w:szCs w:val="24"/>
          <w:lang w:val="lt-LT"/>
        </w:rPr>
        <w:t>, kad</w:t>
      </w:r>
      <w:r w:rsidR="003F31F2" w:rsidRPr="003B5667">
        <w:rPr>
          <w:rFonts w:ascii="Times New Roman" w:hAnsi="Times New Roman"/>
          <w:szCs w:val="24"/>
          <w:lang w:val="lt-LT"/>
        </w:rPr>
        <w:t xml:space="preserve"> Projekte </w:t>
      </w:r>
      <w:r w:rsidR="002C3849" w:rsidRPr="003B5667">
        <w:rPr>
          <w:rFonts w:ascii="Times New Roman" w:hAnsi="Times New Roman"/>
          <w:szCs w:val="24"/>
          <w:lang w:val="lt-LT"/>
        </w:rPr>
        <w:t>nuorodos į Europos Sąjungos teisės aktus turėtų būti pateikiamos</w:t>
      </w:r>
      <w:r w:rsidR="008E4E59" w:rsidRPr="003B5667">
        <w:rPr>
          <w:rFonts w:ascii="Times New Roman" w:hAnsi="Times New Roman"/>
          <w:szCs w:val="24"/>
          <w:lang w:val="lt-LT"/>
        </w:rPr>
        <w:t xml:space="preserve"> taip</w:t>
      </w:r>
      <w:r w:rsidR="00164BDC">
        <w:rPr>
          <w:rFonts w:ascii="Times New Roman" w:hAnsi="Times New Roman"/>
          <w:szCs w:val="24"/>
          <w:lang w:val="lt-LT"/>
        </w:rPr>
        <w:t>,</w:t>
      </w:r>
      <w:r w:rsidR="008E4E59" w:rsidRPr="003B5667">
        <w:rPr>
          <w:rFonts w:ascii="Times New Roman" w:hAnsi="Times New Roman"/>
          <w:szCs w:val="24"/>
          <w:lang w:val="lt-LT"/>
        </w:rPr>
        <w:t xml:space="preserve"> kaip įtvirtinta </w:t>
      </w:r>
      <w:r w:rsidR="003F31F2" w:rsidRPr="003B5667">
        <w:rPr>
          <w:rFonts w:ascii="Times New Roman" w:hAnsi="Times New Roman"/>
          <w:szCs w:val="24"/>
          <w:lang w:val="lt-LT"/>
        </w:rPr>
        <w:t xml:space="preserve">Nuorodų į Europos Sąjungos teisės aktus teikimo teisės aktuose reikalavimų apraše, patvirtintame Lietuvos Respublikos teisingumo ministro 2020 m. kovo 6 d. įsakymu Nr. 1R-72 „Dėl </w:t>
      </w:r>
      <w:r w:rsidR="003F38AC" w:rsidRPr="003B5667">
        <w:rPr>
          <w:rFonts w:ascii="Times New Roman" w:hAnsi="Times New Roman"/>
          <w:szCs w:val="24"/>
          <w:lang w:val="lt-LT"/>
        </w:rPr>
        <w:t>N</w:t>
      </w:r>
      <w:r w:rsidR="003F31F2" w:rsidRPr="003B5667">
        <w:rPr>
          <w:rFonts w:ascii="Times New Roman" w:hAnsi="Times New Roman"/>
          <w:szCs w:val="24"/>
          <w:lang w:val="lt-LT"/>
        </w:rPr>
        <w:t>uorodų į Europos Sąjungos teisės aktus teikimo teisės aktuose reikalavimų aprašo patvirtinimo“.</w:t>
      </w:r>
    </w:p>
    <w:p w:rsidR="002408EE" w:rsidRPr="003B5667" w:rsidRDefault="002408EE" w:rsidP="002B4C5C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/>
        </w:rPr>
      </w:pPr>
      <w:r w:rsidRPr="003B5667">
        <w:rPr>
          <w:rFonts w:ascii="Times New Roman" w:hAnsi="Times New Roman"/>
          <w:szCs w:val="24"/>
          <w:lang w:val="lt-LT"/>
        </w:rPr>
        <w:t>Dėkojame už bendradarbiavimą.</w:t>
      </w:r>
    </w:p>
    <w:p w:rsidR="00B86346" w:rsidRPr="003B5667" w:rsidRDefault="00B86346" w:rsidP="00A25035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/>
        </w:rPr>
      </w:pPr>
    </w:p>
    <w:p w:rsidR="00A25035" w:rsidRPr="003B5667" w:rsidRDefault="007D7528" w:rsidP="007D7528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3B5667">
        <w:rPr>
          <w:rFonts w:ascii="Times New Roman" w:hAnsi="Times New Roman"/>
          <w:szCs w:val="24"/>
          <w:lang w:val="lt-LT"/>
        </w:rPr>
        <w:t>Ministerijos kanclerė</w:t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</w:r>
      <w:r w:rsidRPr="003B5667">
        <w:rPr>
          <w:rFonts w:ascii="Times New Roman" w:hAnsi="Times New Roman"/>
          <w:szCs w:val="24"/>
          <w:lang w:val="lt-LT"/>
        </w:rPr>
        <w:tab/>
        <w:t xml:space="preserve">         Lina Zinkevičienė</w:t>
      </w:r>
    </w:p>
    <w:p w:rsidR="00BC4E84" w:rsidRPr="003B5667" w:rsidRDefault="00BC4E84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125D85" w:rsidRPr="003B5667" w:rsidRDefault="00125D85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BC4E84" w:rsidRPr="003B5667" w:rsidRDefault="00BC4E84" w:rsidP="00A25035">
      <w:pPr>
        <w:spacing w:line="360" w:lineRule="auto"/>
        <w:jc w:val="both"/>
        <w:rPr>
          <w:rFonts w:ascii="Times New Roman" w:hAnsi="Times New Roman"/>
          <w:lang w:val="lt-LT"/>
        </w:rPr>
      </w:pPr>
    </w:p>
    <w:p w:rsidR="00A25035" w:rsidRPr="003B5667" w:rsidRDefault="00A25035" w:rsidP="00BC4E84">
      <w:pPr>
        <w:jc w:val="both"/>
        <w:rPr>
          <w:rFonts w:ascii="Times New Roman" w:hAnsi="Times New Roman"/>
          <w:lang w:val="lt-LT"/>
        </w:rPr>
      </w:pPr>
      <w:r w:rsidRPr="003B5667">
        <w:rPr>
          <w:rFonts w:ascii="Times New Roman" w:hAnsi="Times New Roman"/>
          <w:lang w:val="lt-LT"/>
        </w:rPr>
        <w:t xml:space="preserve">Rūta Slidžiauskaitė, tel. 239 1054, el. p. </w:t>
      </w:r>
      <w:hyperlink r:id="rId15" w:history="1">
        <w:r w:rsidRPr="003B5667">
          <w:rPr>
            <w:rStyle w:val="Hipersaitas"/>
            <w:rFonts w:ascii="Times New Roman" w:hAnsi="Times New Roman"/>
            <w:lang w:val="lt-LT"/>
          </w:rPr>
          <w:t>ruta.slidziauskaite@zum.lt</w:t>
        </w:r>
      </w:hyperlink>
    </w:p>
    <w:sectPr w:rsidR="00A25035" w:rsidRPr="003B5667" w:rsidSect="00BC4E84">
      <w:headerReference w:type="default" r:id="rId16"/>
      <w:footerReference w:type="default" r:id="rId17"/>
      <w:pgSz w:w="11907" w:h="16840" w:code="9"/>
      <w:pgMar w:top="1247" w:right="567" w:bottom="568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7DC" w:rsidRDefault="00C137DC">
      <w:r>
        <w:separator/>
      </w:r>
    </w:p>
  </w:endnote>
  <w:endnote w:type="continuationSeparator" w:id="0">
    <w:p w:rsidR="00C137DC" w:rsidRDefault="00C1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7DC" w:rsidRDefault="00C137DC">
      <w:bookmarkStart w:id="0" w:name="_Hlk483820012"/>
      <w:bookmarkEnd w:id="0"/>
      <w:r>
        <w:separator/>
      </w:r>
    </w:p>
  </w:footnote>
  <w:footnote w:type="continuationSeparator" w:id="0">
    <w:p w:rsidR="00C137DC" w:rsidRDefault="00C1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660554"/>
      <w:docPartObj>
        <w:docPartGallery w:val="Page Numbers (Top of Page)"/>
        <w:docPartUnique/>
      </w:docPartObj>
    </w:sdtPr>
    <w:sdtEndPr/>
    <w:sdtContent>
      <w:p w:rsidR="00BC4E84" w:rsidRDefault="00BC4E8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03B" w:rsidRPr="00E0703B">
          <w:rPr>
            <w:noProof/>
            <w:lang w:val="lt-LT"/>
          </w:rPr>
          <w:t>2</w:t>
        </w:r>
        <w:r>
          <w:fldChar w:fldCharType="end"/>
        </w:r>
      </w:p>
    </w:sdtContent>
  </w:sdt>
  <w:p w:rsidR="00BC4E84" w:rsidRDefault="00BC4E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45C18"/>
    <w:multiLevelType w:val="hybridMultilevel"/>
    <w:tmpl w:val="4D38F3B4"/>
    <w:lvl w:ilvl="0" w:tplc="BA969A58">
      <w:start w:val="1"/>
      <w:numFmt w:val="decimal"/>
      <w:lvlText w:val="%1)"/>
      <w:lvlJc w:val="left"/>
      <w:pPr>
        <w:ind w:left="1436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062A83"/>
    <w:multiLevelType w:val="hybridMultilevel"/>
    <w:tmpl w:val="1B6A11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35"/>
    <w:rsid w:val="00011A7F"/>
    <w:rsid w:val="000227DF"/>
    <w:rsid w:val="00035096"/>
    <w:rsid w:val="000526CC"/>
    <w:rsid w:val="000574A9"/>
    <w:rsid w:val="0006585C"/>
    <w:rsid w:val="00071121"/>
    <w:rsid w:val="000776C1"/>
    <w:rsid w:val="00081F87"/>
    <w:rsid w:val="00085537"/>
    <w:rsid w:val="00085AAF"/>
    <w:rsid w:val="00087E6B"/>
    <w:rsid w:val="000A4093"/>
    <w:rsid w:val="000A7C0D"/>
    <w:rsid w:val="000B41D8"/>
    <w:rsid w:val="000B642C"/>
    <w:rsid w:val="000C776B"/>
    <w:rsid w:val="000D72F7"/>
    <w:rsid w:val="000F4BF9"/>
    <w:rsid w:val="001124C2"/>
    <w:rsid w:val="00116844"/>
    <w:rsid w:val="00117CD3"/>
    <w:rsid w:val="00125D85"/>
    <w:rsid w:val="001315AB"/>
    <w:rsid w:val="00132001"/>
    <w:rsid w:val="00133AAD"/>
    <w:rsid w:val="00144F21"/>
    <w:rsid w:val="00150FA5"/>
    <w:rsid w:val="00155135"/>
    <w:rsid w:val="001647FA"/>
    <w:rsid w:val="00164BDC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1F7395"/>
    <w:rsid w:val="0020376D"/>
    <w:rsid w:val="002408EE"/>
    <w:rsid w:val="00243C0A"/>
    <w:rsid w:val="0025222D"/>
    <w:rsid w:val="002850C7"/>
    <w:rsid w:val="002B11CF"/>
    <w:rsid w:val="002B4C5C"/>
    <w:rsid w:val="002C3849"/>
    <w:rsid w:val="002C5FAF"/>
    <w:rsid w:val="002D7DE4"/>
    <w:rsid w:val="002E04AA"/>
    <w:rsid w:val="002E4FE0"/>
    <w:rsid w:val="002E6516"/>
    <w:rsid w:val="002E6AE4"/>
    <w:rsid w:val="002F3CCB"/>
    <w:rsid w:val="00304731"/>
    <w:rsid w:val="00305A62"/>
    <w:rsid w:val="0033660B"/>
    <w:rsid w:val="003421E3"/>
    <w:rsid w:val="0035168A"/>
    <w:rsid w:val="00372CBD"/>
    <w:rsid w:val="00384960"/>
    <w:rsid w:val="00394F3F"/>
    <w:rsid w:val="0039714C"/>
    <w:rsid w:val="003B5667"/>
    <w:rsid w:val="003E0159"/>
    <w:rsid w:val="003F31F2"/>
    <w:rsid w:val="003F38AC"/>
    <w:rsid w:val="003F3D65"/>
    <w:rsid w:val="00412143"/>
    <w:rsid w:val="0042659E"/>
    <w:rsid w:val="004555D8"/>
    <w:rsid w:val="00457E8F"/>
    <w:rsid w:val="0047204B"/>
    <w:rsid w:val="00473D2C"/>
    <w:rsid w:val="0048474E"/>
    <w:rsid w:val="00490433"/>
    <w:rsid w:val="004A1F23"/>
    <w:rsid w:val="004C08F6"/>
    <w:rsid w:val="004C3F1E"/>
    <w:rsid w:val="004C4A63"/>
    <w:rsid w:val="004D0D53"/>
    <w:rsid w:val="004D1E15"/>
    <w:rsid w:val="004D41C2"/>
    <w:rsid w:val="004D5163"/>
    <w:rsid w:val="004E3C5F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B12DC"/>
    <w:rsid w:val="005C645A"/>
    <w:rsid w:val="005D7CD8"/>
    <w:rsid w:val="005E3297"/>
    <w:rsid w:val="005E7F8E"/>
    <w:rsid w:val="005F5FDE"/>
    <w:rsid w:val="0061481F"/>
    <w:rsid w:val="00647362"/>
    <w:rsid w:val="006476E9"/>
    <w:rsid w:val="00675CC3"/>
    <w:rsid w:val="00680CEF"/>
    <w:rsid w:val="006904A3"/>
    <w:rsid w:val="006A3FC3"/>
    <w:rsid w:val="006A5859"/>
    <w:rsid w:val="006B24F6"/>
    <w:rsid w:val="006C2323"/>
    <w:rsid w:val="006E3D25"/>
    <w:rsid w:val="006F3BB4"/>
    <w:rsid w:val="006F76E9"/>
    <w:rsid w:val="00701011"/>
    <w:rsid w:val="00764FAB"/>
    <w:rsid w:val="007867FB"/>
    <w:rsid w:val="00787874"/>
    <w:rsid w:val="00796528"/>
    <w:rsid w:val="007B07EB"/>
    <w:rsid w:val="007C6D29"/>
    <w:rsid w:val="007D7528"/>
    <w:rsid w:val="007F5FED"/>
    <w:rsid w:val="00813491"/>
    <w:rsid w:val="00813A5D"/>
    <w:rsid w:val="0082366D"/>
    <w:rsid w:val="00825EE1"/>
    <w:rsid w:val="0085461F"/>
    <w:rsid w:val="008634C0"/>
    <w:rsid w:val="00867626"/>
    <w:rsid w:val="00881BD3"/>
    <w:rsid w:val="00891B03"/>
    <w:rsid w:val="008A374A"/>
    <w:rsid w:val="008B4DA2"/>
    <w:rsid w:val="008C0248"/>
    <w:rsid w:val="008D31B9"/>
    <w:rsid w:val="008E084A"/>
    <w:rsid w:val="008E4E59"/>
    <w:rsid w:val="00910A21"/>
    <w:rsid w:val="0091780F"/>
    <w:rsid w:val="009343CD"/>
    <w:rsid w:val="009357A6"/>
    <w:rsid w:val="009503C7"/>
    <w:rsid w:val="009505A7"/>
    <w:rsid w:val="00954E61"/>
    <w:rsid w:val="009858A8"/>
    <w:rsid w:val="009934A3"/>
    <w:rsid w:val="009C19DA"/>
    <w:rsid w:val="009C57BC"/>
    <w:rsid w:val="00A0679C"/>
    <w:rsid w:val="00A10874"/>
    <w:rsid w:val="00A14ECF"/>
    <w:rsid w:val="00A25035"/>
    <w:rsid w:val="00A3556D"/>
    <w:rsid w:val="00A544F3"/>
    <w:rsid w:val="00A60F59"/>
    <w:rsid w:val="00AE6CDA"/>
    <w:rsid w:val="00AF4D82"/>
    <w:rsid w:val="00B020E7"/>
    <w:rsid w:val="00B056EF"/>
    <w:rsid w:val="00B247FE"/>
    <w:rsid w:val="00B86346"/>
    <w:rsid w:val="00B92F23"/>
    <w:rsid w:val="00BA15C7"/>
    <w:rsid w:val="00BA5655"/>
    <w:rsid w:val="00BB6ED3"/>
    <w:rsid w:val="00BC4E84"/>
    <w:rsid w:val="00BD055F"/>
    <w:rsid w:val="00C06856"/>
    <w:rsid w:val="00C137DC"/>
    <w:rsid w:val="00C45B1B"/>
    <w:rsid w:val="00C50256"/>
    <w:rsid w:val="00C506F5"/>
    <w:rsid w:val="00C97FE4"/>
    <w:rsid w:val="00CA103D"/>
    <w:rsid w:val="00CA26FA"/>
    <w:rsid w:val="00CB2CF5"/>
    <w:rsid w:val="00CE31BF"/>
    <w:rsid w:val="00CF0BC4"/>
    <w:rsid w:val="00CF17D6"/>
    <w:rsid w:val="00CF31BC"/>
    <w:rsid w:val="00D20084"/>
    <w:rsid w:val="00D23A5B"/>
    <w:rsid w:val="00D3073A"/>
    <w:rsid w:val="00D46316"/>
    <w:rsid w:val="00D54D71"/>
    <w:rsid w:val="00D572A3"/>
    <w:rsid w:val="00D9577D"/>
    <w:rsid w:val="00DA0B39"/>
    <w:rsid w:val="00DD78DB"/>
    <w:rsid w:val="00DF251E"/>
    <w:rsid w:val="00E0703B"/>
    <w:rsid w:val="00E10659"/>
    <w:rsid w:val="00E12D5B"/>
    <w:rsid w:val="00E17BDE"/>
    <w:rsid w:val="00E35BEE"/>
    <w:rsid w:val="00E83E4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D1115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D8FD54-5549-4178-A9F6-2E08D815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25035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57E8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57E8F"/>
    <w:rPr>
      <w:rFonts w:ascii="TimesLT" w:hAnsi="TimesLT"/>
      <w:lang w:val="en-GB" w:eastAsia="en-US"/>
    </w:rPr>
  </w:style>
  <w:style w:type="character" w:styleId="Puslapioinaosnuoroda">
    <w:name w:val="footnote reference"/>
    <w:basedOn w:val="Numatytasispastraiposriftas"/>
    <w:semiHidden/>
    <w:unhideWhenUsed/>
    <w:rsid w:val="00457E8F"/>
    <w:rPr>
      <w:vertAlign w:val="superscrip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C4E84"/>
    <w:rPr>
      <w:rFonts w:ascii="TimesLT" w:hAnsi="TimesLT"/>
      <w:sz w:val="24"/>
      <w:lang w:val="en-GB" w:eastAsia="en-US"/>
    </w:rPr>
  </w:style>
  <w:style w:type="character" w:styleId="Komentaronuoroda">
    <w:name w:val="annotation reference"/>
    <w:semiHidden/>
    <w:rsid w:val="00796528"/>
    <w:rPr>
      <w:sz w:val="16"/>
    </w:rPr>
  </w:style>
  <w:style w:type="paragraph" w:styleId="Komentarotekstas">
    <w:name w:val="annotation text"/>
    <w:basedOn w:val="prastasis"/>
    <w:link w:val="KomentarotekstasDiagrama"/>
    <w:semiHidden/>
    <w:rsid w:val="00796528"/>
    <w:pPr>
      <w:overflowPunct/>
      <w:autoSpaceDE/>
      <w:autoSpaceDN/>
      <w:adjustRightInd/>
      <w:ind w:firstLine="720"/>
      <w:textAlignment w:val="auto"/>
    </w:pPr>
    <w:rPr>
      <w:rFonts w:ascii="Arial" w:hAnsi="Arial" w:cs="Arial"/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652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mailto:zum@zum.lt" TargetMode="External"
                 Type="http://schemas.openxmlformats.org/officeDocument/2006/relationships/hyperlink"/>
   <Relationship Id="rId13" Target="http://www.zum.lt" TargetMode="External"
                 Type="http://schemas.openxmlformats.org/officeDocument/2006/relationships/hyperlink"/>
   <Relationship Id="rId14" Target="media/image2.jpeg"
                 Type="http://schemas.openxmlformats.org/officeDocument/2006/relationships/image"/>
   <Relationship Id="rId15" Target="mailto:ruta.slidziauskaite@zum.lt" TargetMode="External"
                 Type="http://schemas.openxmlformats.org/officeDocument/2006/relationships/hyperlink"/>
   <Relationship Id="rId16" Target="header1.xml"
                 Type="http://schemas.openxmlformats.org/officeDocument/2006/relationships/header"/>
   <Relationship Id="rId17" Target="footer1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A568C5C5D546808D0EF3843DE7C6" ma:contentTypeVersion="8" ma:contentTypeDescription="Create a new document." ma:contentTypeScope="" ma:versionID="04b27f272e997a287b058fdf669084ee">
  <xsd:schema xmlns:xsd="http://www.w3.org/2001/XMLSchema" xmlns:xs="http://www.w3.org/2001/XMLSchema" xmlns:p="http://schemas.microsoft.com/office/2006/metadata/properties" xmlns:ns3="a629193d-70fc-4de0-8a90-6bd92ef6b334" xmlns:ns4="fb41d78e-8adc-4cea-b189-fbafc3f729e0" targetNamespace="http://schemas.microsoft.com/office/2006/metadata/properties" ma:root="true" ma:fieldsID="4e69be8ceadf36eab9c39746c24c0d2c" ns3:_="" ns4:_="">
    <xsd:import namespace="a629193d-70fc-4de0-8a90-6bd92ef6b334"/>
    <xsd:import namespace="fb41d78e-8adc-4cea-b189-fbafc3f72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93d-70fc-4de0-8a90-6bd92ef6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d78e-8adc-4cea-b189-fbafc3f72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1DFD-D1D0-4065-974D-4CBBFD249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FB9B5-B25B-4FC4-9320-F41C6BFBD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5A59FA-DD29-4BCE-940F-E272A91D7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9193d-70fc-4de0-8a90-6bd92ef6b334"/>
    <ds:schemaRef ds:uri="fb41d78e-8adc-4cea-b189-fbafc3f72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4AD35-3AF1-4BD0-928A-AA8F6D79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2020-06-16T11:27:00Z</dcterms:created>
  <dc:creator>Rūta Slidžiauskaitė</dc:creator>
  <cp:lastModifiedBy>Inga Grigienė</cp:lastModifiedBy>
  <dcterms:modified xsi:type="dcterms:W3CDTF">2020-06-16T11:27:00Z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0x0101007FFCA568C5C5D546808D0EF3843DE7C6</vt:lpwstr>
  </property>
</Properties>
</file>