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thumbnail.emf"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5CB732" w14:textId="40C67116" w:rsidR="00BC610C" w:rsidRPr="006B5583" w:rsidRDefault="00BC610C" w:rsidP="00DC75A7">
      <w:pPr>
        <w:jc w:val="center"/>
        <w:rPr>
          <w:b/>
          <w:caps/>
          <w:noProof w:val="0"/>
        </w:rPr>
      </w:pPr>
      <w:r w:rsidRPr="006B5583">
        <w:rPr>
          <w:b/>
          <w:caps/>
          <w:noProof w:val="0"/>
        </w:rPr>
        <w:t xml:space="preserve">PAŽYMA </w:t>
      </w:r>
      <w:r w:rsidR="00A96C91">
        <w:rPr>
          <w:b/>
          <w:caps/>
          <w:noProof w:val="0"/>
        </w:rPr>
        <w:t xml:space="preserve">apie </w:t>
      </w:r>
      <w:r w:rsidR="00A96C91" w:rsidRPr="00A96C91">
        <w:rPr>
          <w:b/>
          <w:bCs/>
          <w:caps/>
          <w:noProof w:val="0"/>
        </w:rPr>
        <w:t>Lietuvos Respublikos Vyriausybės nutarimo „Dėl Lietuvos Respublikos Vyriausybės 2016 m. balandžio 13 d. nutarimo Nr. 364 „Dėl Už antrinės teisinės pagalbos teikimą, koordinavimą ir mediaciją mokamo užmokesčio dydžių ir mokėjimo taisyklių p</w:t>
      </w:r>
      <w:r w:rsidR="00F81A08">
        <w:rPr>
          <w:b/>
          <w:bCs/>
          <w:caps/>
          <w:noProof w:val="0"/>
        </w:rPr>
        <w:t>atvirtinimo“ pakeitimo“ PROJEKTO</w:t>
      </w:r>
      <w:r w:rsidR="00A96C91" w:rsidRPr="00A96C91">
        <w:rPr>
          <w:b/>
          <w:bCs/>
          <w:caps/>
          <w:noProof w:val="0"/>
        </w:rPr>
        <w:t xml:space="preserve"> DERINIM</w:t>
      </w:r>
      <w:r w:rsidR="00A96C91">
        <w:rPr>
          <w:b/>
          <w:bCs/>
          <w:caps/>
          <w:noProof w:val="0"/>
        </w:rPr>
        <w:t>Ą</w:t>
      </w:r>
    </w:p>
    <w:p w14:paraId="3FFA49ED" w14:textId="77777777" w:rsidR="00A96C91" w:rsidRDefault="00A96C91" w:rsidP="00DC75A7">
      <w:pPr>
        <w:snapToGrid w:val="0"/>
        <w:jc w:val="center"/>
        <w:rPr>
          <w:b/>
          <w:caps/>
          <w:noProof w:val="0"/>
        </w:rPr>
      </w:pPr>
    </w:p>
    <w:tbl>
      <w:tblPr>
        <w:tblW w:w="15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9072"/>
        <w:gridCol w:w="4658"/>
        <w:gridCol w:w="19"/>
      </w:tblGrid>
      <w:tr w:rsidR="00112520" w:rsidRPr="00E8297F" w14:paraId="71B59902" w14:textId="77777777" w:rsidTr="007B32EA">
        <w:trPr>
          <w:gridAfter w:val="1"/>
          <w:wAfter w:w="19" w:type="dxa"/>
          <w:trHeight w:val="49"/>
        </w:trPr>
        <w:tc>
          <w:tcPr>
            <w:tcW w:w="1696" w:type="dxa"/>
          </w:tcPr>
          <w:p w14:paraId="41A01279" w14:textId="77777777" w:rsidR="00112520" w:rsidRPr="00E8297F" w:rsidRDefault="00112520" w:rsidP="00DC75A7">
            <w:pPr>
              <w:jc w:val="both"/>
              <w:rPr>
                <w:noProof w:val="0"/>
              </w:rPr>
            </w:pPr>
            <w:r w:rsidRPr="00E8297F">
              <w:rPr>
                <w:b/>
                <w:noProof w:val="0"/>
              </w:rPr>
              <w:t>Institucijos pavadinimas (rašto data ir Nr.)</w:t>
            </w:r>
          </w:p>
        </w:tc>
        <w:tc>
          <w:tcPr>
            <w:tcW w:w="9072" w:type="dxa"/>
          </w:tcPr>
          <w:p w14:paraId="34F18BDE" w14:textId="77777777" w:rsidR="00112520" w:rsidRPr="00E8297F" w:rsidRDefault="00112520" w:rsidP="00DC75A7">
            <w:pPr>
              <w:jc w:val="both"/>
              <w:rPr>
                <w:noProof w:val="0"/>
              </w:rPr>
            </w:pPr>
            <w:r w:rsidRPr="00E8297F">
              <w:rPr>
                <w:b/>
                <w:noProof w:val="0"/>
              </w:rPr>
              <w:t>Pasiūlymas/pastaba</w:t>
            </w:r>
          </w:p>
        </w:tc>
        <w:tc>
          <w:tcPr>
            <w:tcW w:w="4658" w:type="dxa"/>
          </w:tcPr>
          <w:p w14:paraId="318F8A4F" w14:textId="77777777" w:rsidR="00112520" w:rsidRPr="00E8297F" w:rsidRDefault="00516071" w:rsidP="00DC75A7">
            <w:pPr>
              <w:jc w:val="both"/>
              <w:rPr>
                <w:b/>
                <w:noProof w:val="0"/>
              </w:rPr>
            </w:pPr>
            <w:r w:rsidRPr="00E8297F">
              <w:rPr>
                <w:b/>
                <w:noProof w:val="0"/>
              </w:rPr>
              <w:t>Komentarai</w:t>
            </w:r>
          </w:p>
          <w:p w14:paraId="6AB9B730" w14:textId="77777777" w:rsidR="00112520" w:rsidRPr="00E8297F" w:rsidRDefault="00112520" w:rsidP="00DC75A7">
            <w:pPr>
              <w:jc w:val="both"/>
              <w:rPr>
                <w:noProof w:val="0"/>
              </w:rPr>
            </w:pPr>
          </w:p>
        </w:tc>
      </w:tr>
      <w:tr w:rsidR="00646375" w:rsidRPr="00E8297F" w14:paraId="03CEA150" w14:textId="77777777" w:rsidTr="007B32EA">
        <w:trPr>
          <w:gridAfter w:val="1"/>
          <w:wAfter w:w="19" w:type="dxa"/>
          <w:trHeight w:val="49"/>
        </w:trPr>
        <w:tc>
          <w:tcPr>
            <w:tcW w:w="1696" w:type="dxa"/>
          </w:tcPr>
          <w:p w14:paraId="688AD600" w14:textId="47CA797A" w:rsidR="00646375" w:rsidRPr="00E8297F" w:rsidRDefault="00127914" w:rsidP="00DC75A7">
            <w:pPr>
              <w:jc w:val="both"/>
              <w:rPr>
                <w:b/>
                <w:noProof w:val="0"/>
              </w:rPr>
            </w:pPr>
            <w:r w:rsidRPr="00E8297F">
              <w:rPr>
                <w:noProof w:val="0"/>
              </w:rPr>
              <w:t>Valstybės garantuojamos teisinės pagalbos tarnybos 2019-11-12 raštas Nr. (1.21)NO-2-6406</w:t>
            </w:r>
          </w:p>
        </w:tc>
        <w:tc>
          <w:tcPr>
            <w:tcW w:w="9072" w:type="dxa"/>
          </w:tcPr>
          <w:p w14:paraId="13B6DDBF" w14:textId="79728674" w:rsidR="005F0EA9" w:rsidRPr="00E8297F" w:rsidRDefault="005F0EA9" w:rsidP="005F0EA9">
            <w:pPr>
              <w:jc w:val="both"/>
              <w:rPr>
                <w:noProof w:val="0"/>
              </w:rPr>
            </w:pPr>
            <w:r w:rsidRPr="00E8297F">
              <w:rPr>
                <w:noProof w:val="0"/>
              </w:rPr>
              <w:t xml:space="preserve">Projekte nurodoma, jog jeigu antrinė teisinė pagalba ar </w:t>
            </w:r>
            <w:proofErr w:type="spellStart"/>
            <w:r w:rsidRPr="00E8297F">
              <w:rPr>
                <w:noProof w:val="0"/>
              </w:rPr>
              <w:t>mediacija</w:t>
            </w:r>
            <w:proofErr w:type="spellEnd"/>
            <w:r w:rsidRPr="00E8297F">
              <w:rPr>
                <w:noProof w:val="0"/>
              </w:rPr>
              <w:t xml:space="preserve">, pradėtos teikti pagal sprendimus dėl antrinės teisinės pagalbos teikimo ar </w:t>
            </w:r>
            <w:proofErr w:type="spellStart"/>
            <w:r w:rsidRPr="00E8297F">
              <w:rPr>
                <w:noProof w:val="0"/>
              </w:rPr>
              <w:t>mediacijos</w:t>
            </w:r>
            <w:proofErr w:type="spellEnd"/>
            <w:r w:rsidRPr="00E8297F">
              <w:rPr>
                <w:noProof w:val="0"/>
              </w:rPr>
              <w:t xml:space="preserve"> vykdymo, priimtus iki šio nutarimo įsigaliojimo, toliau teikiamos įsigaliojus šiam nutarimui, apskaičiuojant užmokestį už antrinę teisinę pagalbą ar </w:t>
            </w:r>
            <w:proofErr w:type="spellStart"/>
            <w:r w:rsidRPr="00E8297F">
              <w:rPr>
                <w:noProof w:val="0"/>
              </w:rPr>
              <w:t>mediaciją</w:t>
            </w:r>
            <w:proofErr w:type="spellEnd"/>
            <w:r w:rsidRPr="00E8297F">
              <w:rPr>
                <w:noProof w:val="0"/>
              </w:rPr>
              <w:t>, suteiktą po šio nutarimo įsigaliojimo, taikomas šiuo nutarimu nustatytas užmokesčio bazinis dydis (Taisyklių 3.2. papunktis).</w:t>
            </w:r>
          </w:p>
          <w:p w14:paraId="3140BBBB" w14:textId="4118F300" w:rsidR="00646375" w:rsidRPr="00E8297F" w:rsidRDefault="005F0EA9" w:rsidP="00542FA3">
            <w:pPr>
              <w:jc w:val="both"/>
              <w:rPr>
                <w:noProof w:val="0"/>
              </w:rPr>
            </w:pPr>
            <w:r w:rsidRPr="00E8297F">
              <w:rPr>
                <w:noProof w:val="0"/>
              </w:rPr>
              <w:t xml:space="preserve">Yra advokatų, kuriems yra išmokėtas dalinis užmokestis. Tokiu atveju, užmokestis advokatams turės bus perskaičiuotas pagal šio Projekto nuostatas, jeigu antrinės teisinės pagalbos teikimas bus baigtas jau įsigaliojus šiam Projektui. </w:t>
            </w:r>
          </w:p>
        </w:tc>
        <w:tc>
          <w:tcPr>
            <w:tcW w:w="4658" w:type="dxa"/>
          </w:tcPr>
          <w:p w14:paraId="555681E4" w14:textId="77777777" w:rsidR="001E4C63" w:rsidRPr="00E8297F" w:rsidRDefault="00D21B56" w:rsidP="009B2FFB">
            <w:pPr>
              <w:jc w:val="both"/>
              <w:rPr>
                <w:b/>
                <w:noProof w:val="0"/>
              </w:rPr>
            </w:pPr>
            <w:r w:rsidRPr="00E8297F">
              <w:rPr>
                <w:b/>
                <w:noProof w:val="0"/>
              </w:rPr>
              <w:t xml:space="preserve">Neatsižvelgta. </w:t>
            </w:r>
          </w:p>
          <w:p w14:paraId="1B6EC6D5" w14:textId="72C1D9CC" w:rsidR="00646375" w:rsidRPr="00E8297F" w:rsidRDefault="009B2FFB" w:rsidP="009B2FFB">
            <w:pPr>
              <w:jc w:val="both"/>
              <w:rPr>
                <w:noProof w:val="0"/>
              </w:rPr>
            </w:pPr>
            <w:r w:rsidRPr="00E8297F">
              <w:rPr>
                <w:noProof w:val="0"/>
              </w:rPr>
              <w:t xml:space="preserve">Pažymėtina, kad naujas teisinis reguliavimas būtų taikomas tik užmokesčio apskaičiavimui už veiksmus, atliktus po siūlomų pakeitimų įsigaliojimo. Užmokestis, apskaičiuotas pagal šiuo metu galiojantį teisinį reguliavimą, neturės būti perskaičiuojamas. </w:t>
            </w:r>
          </w:p>
        </w:tc>
      </w:tr>
      <w:tr w:rsidR="00646375" w:rsidRPr="00E8297F" w14:paraId="7393983F" w14:textId="77777777" w:rsidTr="007B32EA">
        <w:trPr>
          <w:gridAfter w:val="1"/>
          <w:wAfter w:w="19" w:type="dxa"/>
          <w:trHeight w:val="49"/>
        </w:trPr>
        <w:tc>
          <w:tcPr>
            <w:tcW w:w="1696" w:type="dxa"/>
          </w:tcPr>
          <w:p w14:paraId="79071639" w14:textId="277787DF" w:rsidR="00646375" w:rsidRPr="00E8297F" w:rsidRDefault="00646375" w:rsidP="00DC75A7">
            <w:pPr>
              <w:jc w:val="both"/>
              <w:rPr>
                <w:b/>
                <w:noProof w:val="0"/>
              </w:rPr>
            </w:pPr>
          </w:p>
        </w:tc>
        <w:tc>
          <w:tcPr>
            <w:tcW w:w="9072" w:type="dxa"/>
          </w:tcPr>
          <w:p w14:paraId="71E4F155" w14:textId="0B74C6CB" w:rsidR="00076C11" w:rsidRPr="00E8297F" w:rsidRDefault="00076C11" w:rsidP="00076C11">
            <w:pPr>
              <w:jc w:val="both"/>
              <w:rPr>
                <w:i/>
                <w:noProof w:val="0"/>
              </w:rPr>
            </w:pPr>
            <w:r w:rsidRPr="00E8297F">
              <w:rPr>
                <w:noProof w:val="0"/>
                <w:color w:val="000000"/>
              </w:rPr>
              <w:t xml:space="preserve">Taisyklių 50 punkte numatyta, kad užmokestis mediatoriams už teisminę </w:t>
            </w:r>
            <w:proofErr w:type="spellStart"/>
            <w:r w:rsidRPr="00E8297F">
              <w:rPr>
                <w:noProof w:val="0"/>
                <w:color w:val="000000"/>
              </w:rPr>
              <w:t>mediaciją</w:t>
            </w:r>
            <w:proofErr w:type="spellEnd"/>
            <w:r w:rsidRPr="00E8297F">
              <w:rPr>
                <w:noProof w:val="0"/>
                <w:color w:val="000000"/>
              </w:rPr>
              <w:t xml:space="preserve"> apskaičiuojamas ir mokamas </w:t>
            </w:r>
            <w:proofErr w:type="spellStart"/>
            <w:r w:rsidRPr="00E8297F">
              <w:rPr>
                <w:i/>
                <w:noProof w:val="0"/>
                <w:color w:val="000000"/>
              </w:rPr>
              <w:t>mutatis</w:t>
            </w:r>
            <w:proofErr w:type="spellEnd"/>
            <w:r w:rsidRPr="00E8297F">
              <w:rPr>
                <w:i/>
                <w:noProof w:val="0"/>
                <w:color w:val="000000"/>
              </w:rPr>
              <w:t xml:space="preserve"> </w:t>
            </w:r>
            <w:proofErr w:type="spellStart"/>
            <w:r w:rsidRPr="00E8297F">
              <w:rPr>
                <w:i/>
                <w:noProof w:val="0"/>
                <w:color w:val="000000"/>
              </w:rPr>
              <w:t>mutandis</w:t>
            </w:r>
            <w:proofErr w:type="spellEnd"/>
            <w:r w:rsidRPr="00E8297F">
              <w:rPr>
                <w:noProof w:val="0"/>
                <w:color w:val="000000"/>
              </w:rPr>
              <w:t xml:space="preserve"> taikant Taisyklių 41, 46–49 punktus.</w:t>
            </w:r>
            <w:r w:rsidRPr="00E8297F">
              <w:rPr>
                <w:noProof w:val="0"/>
              </w:rPr>
              <w:t xml:space="preserve"> </w:t>
            </w:r>
          </w:p>
          <w:p w14:paraId="770B322D" w14:textId="77777777" w:rsidR="00076C11" w:rsidRPr="00E8297F" w:rsidRDefault="00076C11" w:rsidP="00076C11">
            <w:pPr>
              <w:jc w:val="both"/>
              <w:rPr>
                <w:noProof w:val="0"/>
                <w:color w:val="000000"/>
              </w:rPr>
            </w:pPr>
            <w:r w:rsidRPr="00E8297F">
              <w:rPr>
                <w:noProof w:val="0"/>
              </w:rPr>
              <w:t xml:space="preserve">Mokant užmokestį mediatoriams </w:t>
            </w:r>
            <w:r w:rsidRPr="00E8297F">
              <w:rPr>
                <w:noProof w:val="0"/>
                <w:color w:val="000000"/>
              </w:rPr>
              <w:t xml:space="preserve">už teisminę </w:t>
            </w:r>
            <w:proofErr w:type="spellStart"/>
            <w:r w:rsidRPr="00E8297F">
              <w:rPr>
                <w:noProof w:val="0"/>
                <w:color w:val="000000"/>
              </w:rPr>
              <w:t>mediaciją</w:t>
            </w:r>
            <w:proofErr w:type="spellEnd"/>
            <w:r w:rsidRPr="00E8297F">
              <w:rPr>
                <w:noProof w:val="0"/>
                <w:color w:val="000000"/>
              </w:rPr>
              <w:t xml:space="preserve"> nėra numatyti atliktų veiksmų ir jiems skirto laiko ribojimai, kadangi tai yra numatyta Taisyklių 42 – 45 punktuose, kurie netaikomi apskaičiuojant mediatoriams užmokestį už teisminę </w:t>
            </w:r>
            <w:proofErr w:type="spellStart"/>
            <w:r w:rsidRPr="00E8297F">
              <w:rPr>
                <w:noProof w:val="0"/>
                <w:color w:val="000000"/>
              </w:rPr>
              <w:t>mediaciją</w:t>
            </w:r>
            <w:proofErr w:type="spellEnd"/>
            <w:r w:rsidRPr="00E8297F">
              <w:rPr>
                <w:noProof w:val="0"/>
                <w:color w:val="000000"/>
              </w:rPr>
              <w:t>.</w:t>
            </w:r>
          </w:p>
          <w:p w14:paraId="1FEC8936" w14:textId="0390E28F" w:rsidR="00646375" w:rsidRPr="00E8297F" w:rsidRDefault="00076C11" w:rsidP="00076C11">
            <w:pPr>
              <w:jc w:val="both"/>
              <w:rPr>
                <w:noProof w:val="0"/>
                <w:color w:val="000000"/>
              </w:rPr>
            </w:pPr>
            <w:r w:rsidRPr="00E8297F">
              <w:rPr>
                <w:noProof w:val="0"/>
                <w:color w:val="000000"/>
              </w:rPr>
              <w:t>Taisyklių 50 punkte, kaip ir Taisyklių 42 – 45 punktuose, turėtų būti numatytas  atliktų veiksmų ir jiems skirto laiko ribojimai.</w:t>
            </w:r>
          </w:p>
        </w:tc>
        <w:tc>
          <w:tcPr>
            <w:tcW w:w="4658" w:type="dxa"/>
          </w:tcPr>
          <w:p w14:paraId="3519449A" w14:textId="77777777" w:rsidR="00646375" w:rsidRPr="00E8297F" w:rsidRDefault="00317DD5" w:rsidP="00DC75A7">
            <w:pPr>
              <w:jc w:val="both"/>
              <w:rPr>
                <w:b/>
                <w:noProof w:val="0"/>
              </w:rPr>
            </w:pPr>
            <w:r w:rsidRPr="00E8297F">
              <w:rPr>
                <w:b/>
                <w:noProof w:val="0"/>
              </w:rPr>
              <w:t>Neatsižvelgta.</w:t>
            </w:r>
          </w:p>
          <w:p w14:paraId="5058A3E0" w14:textId="23115585" w:rsidR="00317DD5" w:rsidRPr="00E8297F" w:rsidRDefault="00317DD5" w:rsidP="001E4C63">
            <w:pPr>
              <w:jc w:val="both"/>
              <w:rPr>
                <w:noProof w:val="0"/>
              </w:rPr>
            </w:pPr>
            <w:r w:rsidRPr="00E8297F">
              <w:rPr>
                <w:noProof w:val="0"/>
              </w:rPr>
              <w:t xml:space="preserve">Pažymėtina, kad teisminės </w:t>
            </w:r>
            <w:proofErr w:type="spellStart"/>
            <w:r w:rsidRPr="00E8297F">
              <w:rPr>
                <w:noProof w:val="0"/>
              </w:rPr>
              <w:t>mediacijos</w:t>
            </w:r>
            <w:proofErr w:type="spellEnd"/>
            <w:r w:rsidRPr="00E8297F">
              <w:rPr>
                <w:noProof w:val="0"/>
              </w:rPr>
              <w:t xml:space="preserve"> ir privalomosios </w:t>
            </w:r>
            <w:proofErr w:type="spellStart"/>
            <w:r w:rsidRPr="00E8297F">
              <w:rPr>
                <w:noProof w:val="0"/>
              </w:rPr>
              <w:t>mediacijos</w:t>
            </w:r>
            <w:proofErr w:type="spellEnd"/>
            <w:r w:rsidRPr="00E8297F">
              <w:rPr>
                <w:noProof w:val="0"/>
              </w:rPr>
              <w:t xml:space="preserve"> atveju atliktų veiksmų, už kuriuos gali būti mokamas užmokestis mediatoriui, ir jiems skirto laiko ribojimai yra įtvirtinti Lietuvos Respublikos </w:t>
            </w:r>
            <w:proofErr w:type="spellStart"/>
            <w:r w:rsidRPr="00E8297F">
              <w:rPr>
                <w:noProof w:val="0"/>
              </w:rPr>
              <w:t>mediacijos</w:t>
            </w:r>
            <w:proofErr w:type="spellEnd"/>
            <w:r w:rsidRPr="00E8297F">
              <w:rPr>
                <w:noProof w:val="0"/>
              </w:rPr>
              <w:t xml:space="preserve"> įstatymo </w:t>
            </w:r>
            <w:r w:rsidR="001E4C63" w:rsidRPr="00E8297F">
              <w:rPr>
                <w:noProof w:val="0"/>
              </w:rPr>
              <w:t xml:space="preserve">(toliau – MĮ) </w:t>
            </w:r>
            <w:r w:rsidR="00D67FA8" w:rsidRPr="00E8297F">
              <w:rPr>
                <w:noProof w:val="0"/>
              </w:rPr>
              <w:t xml:space="preserve">22 ir 23 straipsniuose (22 straipsnio nuostatos įsigalios 2020 m. sausio 1 d.). Taigi teisminės </w:t>
            </w:r>
            <w:proofErr w:type="spellStart"/>
            <w:r w:rsidR="00D67FA8" w:rsidRPr="00E8297F">
              <w:rPr>
                <w:noProof w:val="0"/>
              </w:rPr>
              <w:t>mediacijos</w:t>
            </w:r>
            <w:proofErr w:type="spellEnd"/>
            <w:r w:rsidR="00D67FA8" w:rsidRPr="00E8297F">
              <w:rPr>
                <w:noProof w:val="0"/>
              </w:rPr>
              <w:t xml:space="preserve"> ir privalomosios </w:t>
            </w:r>
            <w:proofErr w:type="spellStart"/>
            <w:r w:rsidR="00D67FA8" w:rsidRPr="00E8297F">
              <w:rPr>
                <w:noProof w:val="0"/>
              </w:rPr>
              <w:t>mediacijos</w:t>
            </w:r>
            <w:proofErr w:type="spellEnd"/>
            <w:r w:rsidR="00D67FA8" w:rsidRPr="00E8297F">
              <w:rPr>
                <w:noProof w:val="0"/>
              </w:rPr>
              <w:t xml:space="preserve"> atveju </w:t>
            </w:r>
            <w:r w:rsidR="00091B6E" w:rsidRPr="00E8297F">
              <w:rPr>
                <w:noProof w:val="0"/>
              </w:rPr>
              <w:t xml:space="preserve">Už antrinės teisinės pagalbos teikimą, koordinavimą ir </w:t>
            </w:r>
            <w:proofErr w:type="spellStart"/>
            <w:r w:rsidR="00091B6E" w:rsidRPr="00E8297F">
              <w:rPr>
                <w:noProof w:val="0"/>
              </w:rPr>
              <w:t>mediaciją</w:t>
            </w:r>
            <w:proofErr w:type="spellEnd"/>
            <w:r w:rsidR="00091B6E" w:rsidRPr="00E8297F">
              <w:rPr>
                <w:noProof w:val="0"/>
              </w:rPr>
              <w:t xml:space="preserve"> mokamo užmokesčio dydžių ir mokėjimo taisykl</w:t>
            </w:r>
            <w:r w:rsidR="001E4C63" w:rsidRPr="00E8297F">
              <w:rPr>
                <w:noProof w:val="0"/>
              </w:rPr>
              <w:t>ėse (toliau – taisyklės)</w:t>
            </w:r>
            <w:r w:rsidR="00091B6E" w:rsidRPr="00E8297F">
              <w:rPr>
                <w:noProof w:val="0"/>
              </w:rPr>
              <w:t xml:space="preserve"> </w:t>
            </w:r>
            <w:r w:rsidR="00D67FA8" w:rsidRPr="00E8297F">
              <w:rPr>
                <w:noProof w:val="0"/>
              </w:rPr>
              <w:t xml:space="preserve">negali būti įtvirtintos nuostatos, analogiškos </w:t>
            </w:r>
            <w:r w:rsidR="001E4C63" w:rsidRPr="00E8297F">
              <w:rPr>
                <w:noProof w:val="0"/>
              </w:rPr>
              <w:t>t</w:t>
            </w:r>
            <w:r w:rsidR="00D67FA8" w:rsidRPr="00E8297F">
              <w:rPr>
                <w:noProof w:val="0"/>
              </w:rPr>
              <w:t xml:space="preserve">aisyklių 42-45 punktuose įtvirtintoms nuostatoms, kadangi, pirma, </w:t>
            </w:r>
            <w:r w:rsidR="001E4C63" w:rsidRPr="00E8297F">
              <w:rPr>
                <w:noProof w:val="0"/>
              </w:rPr>
              <w:t>MĮ</w:t>
            </w:r>
            <w:r w:rsidR="00D67FA8" w:rsidRPr="00E8297F">
              <w:rPr>
                <w:noProof w:val="0"/>
              </w:rPr>
              <w:t xml:space="preserve"> nuostatos neturi būti kartojamos įgyvendinamuosiuose teisės aktuose, antra, </w:t>
            </w:r>
            <w:r w:rsidR="001E4C63" w:rsidRPr="00E8297F">
              <w:rPr>
                <w:noProof w:val="0"/>
              </w:rPr>
              <w:t>t</w:t>
            </w:r>
            <w:r w:rsidR="00D67FA8" w:rsidRPr="00E8297F">
              <w:rPr>
                <w:noProof w:val="0"/>
              </w:rPr>
              <w:t xml:space="preserve">aisyklių 44 punkto nuostatos apskritai neatitiktų </w:t>
            </w:r>
            <w:r w:rsidR="001E4C63" w:rsidRPr="00E8297F">
              <w:rPr>
                <w:noProof w:val="0"/>
              </w:rPr>
              <w:t>MĮ</w:t>
            </w:r>
            <w:r w:rsidR="00D67FA8" w:rsidRPr="00E8297F">
              <w:rPr>
                <w:noProof w:val="0"/>
              </w:rPr>
              <w:t xml:space="preserve"> 22 ir 23 straipsnių nuostatų.</w:t>
            </w:r>
          </w:p>
        </w:tc>
      </w:tr>
      <w:tr w:rsidR="001E4C63" w:rsidRPr="00E8297F" w14:paraId="0399ADF7" w14:textId="77777777" w:rsidTr="007B32EA">
        <w:trPr>
          <w:gridAfter w:val="1"/>
          <w:wAfter w:w="19" w:type="dxa"/>
          <w:trHeight w:val="49"/>
        </w:trPr>
        <w:tc>
          <w:tcPr>
            <w:tcW w:w="1696" w:type="dxa"/>
          </w:tcPr>
          <w:p w14:paraId="7306A44D" w14:textId="465B4ED5" w:rsidR="001E4C63" w:rsidRPr="00E8297F" w:rsidRDefault="001E4C63" w:rsidP="001E4C63">
            <w:pPr>
              <w:jc w:val="both"/>
              <w:rPr>
                <w:b/>
                <w:noProof w:val="0"/>
              </w:rPr>
            </w:pPr>
            <w:r w:rsidRPr="00E8297F">
              <w:rPr>
                <w:noProof w:val="0"/>
              </w:rPr>
              <w:lastRenderedPageBreak/>
              <w:t>Lietuvos mediatorių rūmų 2019-11-12 raštas</w:t>
            </w:r>
          </w:p>
        </w:tc>
        <w:tc>
          <w:tcPr>
            <w:tcW w:w="9072" w:type="dxa"/>
          </w:tcPr>
          <w:p w14:paraId="31FDB389" w14:textId="77777777" w:rsidR="001E4C63" w:rsidRPr="00E8297F" w:rsidRDefault="001E4C63" w:rsidP="00AE499F">
            <w:pPr>
              <w:widowControl w:val="0"/>
              <w:pBdr>
                <w:top w:val="none" w:sz="0" w:space="0" w:color="000000"/>
                <w:left w:val="none" w:sz="0" w:space="0" w:color="000000"/>
                <w:bottom w:val="none" w:sz="0" w:space="0" w:color="000000"/>
                <w:right w:val="none" w:sz="0" w:space="0" w:color="000000"/>
                <w:between w:val="none" w:sz="0" w:space="0" w:color="000000"/>
              </w:pBdr>
              <w:tabs>
                <w:tab w:val="left" w:pos="7075"/>
              </w:tabs>
              <w:jc w:val="both"/>
              <w:rPr>
                <w:noProof w:val="0"/>
                <w:kern w:val="20"/>
                <w:lang w:eastAsia="en-US"/>
              </w:rPr>
            </w:pPr>
            <w:r w:rsidRPr="00E8297F">
              <w:rPr>
                <w:bCs/>
                <w:noProof w:val="0"/>
                <w:lang w:eastAsia="en-US"/>
              </w:rPr>
              <w:t xml:space="preserve">Dėl užmokesčio bazinio dydžio (toliau – UBD) </w:t>
            </w:r>
            <w:r w:rsidRPr="00E8297F">
              <w:rPr>
                <w:noProof w:val="0"/>
                <w:lang w:eastAsia="en-US"/>
              </w:rPr>
              <w:t xml:space="preserve">manome, kad šiuo metu nustatytas mediatorių darbo laiko įkainis 13 eurų už darbo valandą nėra pakankamas, neskatina Lietuvos mediatorių teikti privalomosios </w:t>
            </w:r>
            <w:proofErr w:type="spellStart"/>
            <w:r w:rsidRPr="00E8297F">
              <w:rPr>
                <w:noProof w:val="0"/>
                <w:lang w:eastAsia="en-US"/>
              </w:rPr>
              <w:t>mediacijos</w:t>
            </w:r>
            <w:proofErr w:type="spellEnd"/>
            <w:r w:rsidRPr="00E8297F">
              <w:rPr>
                <w:noProof w:val="0"/>
                <w:lang w:eastAsia="en-US"/>
              </w:rPr>
              <w:t xml:space="preserve"> paslaugas ir privalo būti koreguotinas atsižvelgiant į esamą </w:t>
            </w:r>
            <w:proofErr w:type="spellStart"/>
            <w:r w:rsidRPr="00E8297F">
              <w:rPr>
                <w:noProof w:val="0"/>
                <w:lang w:eastAsia="en-US"/>
              </w:rPr>
              <w:t>mediacijos</w:t>
            </w:r>
            <w:proofErr w:type="spellEnd"/>
            <w:r w:rsidRPr="00E8297F">
              <w:rPr>
                <w:noProof w:val="0"/>
                <w:lang w:eastAsia="en-US"/>
              </w:rPr>
              <w:t xml:space="preserve"> paslaugų įkainių situaciją. Pavyzdžiui,  šiuo metu daugelyje Lietuvos Respublikos savivaldybių, įgyvendinant kompleksinių paslaugų šeimoms projektuose mediatorių atlyginimas už valandą svyruoja nuo 25 iki 50 eurų, privačiai teikiamų šeimos ginčų </w:t>
            </w:r>
            <w:proofErr w:type="spellStart"/>
            <w:r w:rsidRPr="00E8297F">
              <w:rPr>
                <w:noProof w:val="0"/>
                <w:lang w:eastAsia="en-US"/>
              </w:rPr>
              <w:t>mediacijos</w:t>
            </w:r>
            <w:proofErr w:type="spellEnd"/>
            <w:r w:rsidRPr="00E8297F">
              <w:rPr>
                <w:noProof w:val="0"/>
                <w:lang w:eastAsia="en-US"/>
              </w:rPr>
              <w:t xml:space="preserve"> paslaugų vidutinė kaina rinkoje siekia 30-40 eurų, o verslo – 60-100 eurų. </w:t>
            </w:r>
            <w:r w:rsidRPr="00E8297F">
              <w:rPr>
                <w:noProof w:val="0"/>
                <w:kern w:val="20"/>
                <w:lang w:eastAsia="en-US"/>
              </w:rPr>
              <w:t xml:space="preserve"> </w:t>
            </w:r>
          </w:p>
          <w:p w14:paraId="60DA0A78" w14:textId="1754035C" w:rsidR="001E4C63" w:rsidRPr="00E8297F" w:rsidRDefault="001E4C63" w:rsidP="00AE499F">
            <w:pPr>
              <w:widowControl w:val="0"/>
              <w:pBdr>
                <w:top w:val="none" w:sz="0" w:space="0" w:color="000000"/>
                <w:left w:val="none" w:sz="0" w:space="0" w:color="000000"/>
                <w:bottom w:val="none" w:sz="0" w:space="0" w:color="000000"/>
                <w:right w:val="none" w:sz="0" w:space="0" w:color="000000"/>
                <w:between w:val="none" w:sz="0" w:space="0" w:color="000000"/>
              </w:pBdr>
              <w:tabs>
                <w:tab w:val="left" w:pos="7075"/>
              </w:tabs>
              <w:jc w:val="both"/>
              <w:rPr>
                <w:b/>
                <w:noProof w:val="0"/>
                <w:lang w:eastAsia="en-US"/>
              </w:rPr>
            </w:pPr>
            <w:r w:rsidRPr="00E8297F">
              <w:rPr>
                <w:noProof w:val="0"/>
                <w:lang w:eastAsia="en-US"/>
              </w:rPr>
              <w:t xml:space="preserve">Taip pat svarbu pažymėti, kad šeimos ginčai yra ypatingai jautrūs ir reikalaujantys aukštos kvalifikacijos ir profesionalių </w:t>
            </w:r>
            <w:proofErr w:type="spellStart"/>
            <w:r w:rsidRPr="00E8297F">
              <w:rPr>
                <w:noProof w:val="0"/>
                <w:lang w:eastAsia="en-US"/>
              </w:rPr>
              <w:t>mediacijos</w:t>
            </w:r>
            <w:proofErr w:type="spellEnd"/>
            <w:r w:rsidRPr="00E8297F">
              <w:rPr>
                <w:noProof w:val="0"/>
                <w:lang w:eastAsia="en-US"/>
              </w:rPr>
              <w:t xml:space="preserve"> paslaugų. Valstybė tam tikruose ginčuose numatydama privalomos </w:t>
            </w:r>
            <w:proofErr w:type="spellStart"/>
            <w:r w:rsidRPr="00E8297F">
              <w:rPr>
                <w:noProof w:val="0"/>
                <w:lang w:eastAsia="en-US"/>
              </w:rPr>
              <w:t>mediacijos</w:t>
            </w:r>
            <w:proofErr w:type="spellEnd"/>
            <w:r w:rsidRPr="00E8297F">
              <w:rPr>
                <w:noProof w:val="0"/>
                <w:lang w:eastAsia="en-US"/>
              </w:rPr>
              <w:t xml:space="preserve"> reikalavimą, įsipareigoja, kad privalomos </w:t>
            </w:r>
            <w:proofErr w:type="spellStart"/>
            <w:r w:rsidRPr="00E8297F">
              <w:rPr>
                <w:noProof w:val="0"/>
                <w:lang w:eastAsia="en-US"/>
              </w:rPr>
              <w:t>mediacijos</w:t>
            </w:r>
            <w:proofErr w:type="spellEnd"/>
            <w:r w:rsidRPr="00E8297F">
              <w:rPr>
                <w:noProof w:val="0"/>
                <w:lang w:eastAsia="en-US"/>
              </w:rPr>
              <w:t xml:space="preserve"> paslaugas teiks reikiamas žinias ir kompetencijas turintys mediatoriai. </w:t>
            </w:r>
            <w:proofErr w:type="spellStart"/>
            <w:r w:rsidRPr="00E8297F">
              <w:rPr>
                <w:noProof w:val="0"/>
                <w:lang w:eastAsia="en-US"/>
              </w:rPr>
              <w:t>Mediacijos</w:t>
            </w:r>
            <w:proofErr w:type="spellEnd"/>
            <w:r w:rsidRPr="00E8297F">
              <w:rPr>
                <w:noProof w:val="0"/>
                <w:lang w:eastAsia="en-US"/>
              </w:rPr>
              <w:t xml:space="preserve"> įstatyme yra numatyti aukšti kvalifikaciniai reikalavimai asmenims siekiantiems tapti mediatoriais ir vykdyti </w:t>
            </w:r>
            <w:proofErr w:type="spellStart"/>
            <w:r w:rsidRPr="00E8297F">
              <w:rPr>
                <w:noProof w:val="0"/>
                <w:lang w:eastAsia="en-US"/>
              </w:rPr>
              <w:t>mediacijos</w:t>
            </w:r>
            <w:proofErr w:type="spellEnd"/>
            <w:r w:rsidRPr="00E8297F">
              <w:rPr>
                <w:noProof w:val="0"/>
                <w:lang w:eastAsia="en-US"/>
              </w:rPr>
              <w:t xml:space="preserve"> veiklą. Taigi, siekiant užtikrinti </w:t>
            </w:r>
            <w:proofErr w:type="spellStart"/>
            <w:r w:rsidRPr="00E8297F">
              <w:rPr>
                <w:noProof w:val="0"/>
                <w:lang w:eastAsia="en-US"/>
              </w:rPr>
              <w:t>mediacijos</w:t>
            </w:r>
            <w:proofErr w:type="spellEnd"/>
            <w:r w:rsidRPr="00E8297F">
              <w:rPr>
                <w:noProof w:val="0"/>
                <w:lang w:eastAsia="en-US"/>
              </w:rPr>
              <w:t xml:space="preserve"> paslaugų kokybę bei mediatorių aktyvumą, ypač teikiant privalomosios </w:t>
            </w:r>
            <w:proofErr w:type="spellStart"/>
            <w:r w:rsidRPr="00E8297F">
              <w:rPr>
                <w:noProof w:val="0"/>
                <w:lang w:eastAsia="en-US"/>
              </w:rPr>
              <w:t>mediacijos</w:t>
            </w:r>
            <w:proofErr w:type="spellEnd"/>
            <w:r w:rsidRPr="00E8297F">
              <w:rPr>
                <w:noProof w:val="0"/>
                <w:lang w:eastAsia="en-US"/>
              </w:rPr>
              <w:t xml:space="preserve"> paslaugas, prašome pakeisti esamą  UBD dydį, kuris šiuo metu yra 13 eurų už vieną darbo valandą, ir  nuo 2020 m. sausio 1 d. nustatyti UBD ne mažesnį nei 20 eurų. </w:t>
            </w:r>
          </w:p>
        </w:tc>
        <w:tc>
          <w:tcPr>
            <w:tcW w:w="4658" w:type="dxa"/>
          </w:tcPr>
          <w:p w14:paraId="3DAC8630" w14:textId="77777777" w:rsidR="001E4C63" w:rsidRPr="00E8297F" w:rsidRDefault="001E4C63" w:rsidP="001E4C63">
            <w:pPr>
              <w:jc w:val="both"/>
              <w:rPr>
                <w:b/>
                <w:noProof w:val="0"/>
              </w:rPr>
            </w:pPr>
            <w:r w:rsidRPr="00E8297F">
              <w:rPr>
                <w:b/>
                <w:noProof w:val="0"/>
              </w:rPr>
              <w:t xml:space="preserve">Neatsižvelgta. </w:t>
            </w:r>
          </w:p>
          <w:p w14:paraId="27D07809" w14:textId="47AA32B9" w:rsidR="001E4C63" w:rsidRPr="00AE499F" w:rsidRDefault="001E4C63" w:rsidP="001E4C63">
            <w:pPr>
              <w:jc w:val="both"/>
              <w:rPr>
                <w:noProof w:val="0"/>
              </w:rPr>
            </w:pPr>
            <w:r w:rsidRPr="00E8297F">
              <w:rPr>
                <w:noProof w:val="0"/>
              </w:rPr>
              <w:t xml:space="preserve">Pastebėtina, kad siūlomu Lietuvos Respublikos  Vyriausybės 2016 m. balandžio 13 d. nutarimo Nr. 364 „Dėl už antrinės teisinės pagalbos teikimą, koordinavimą ir </w:t>
            </w:r>
            <w:proofErr w:type="spellStart"/>
            <w:r w:rsidRPr="00E8297F">
              <w:rPr>
                <w:noProof w:val="0"/>
              </w:rPr>
              <w:t>mediaciją</w:t>
            </w:r>
            <w:proofErr w:type="spellEnd"/>
            <w:r w:rsidRPr="00E8297F">
              <w:rPr>
                <w:noProof w:val="0"/>
              </w:rPr>
              <w:t xml:space="preserve"> mokamo užmokesčio dydžių ir mokėjimo taisyklių patvirtinimo“ </w:t>
            </w:r>
            <w:r w:rsidR="001C5D08" w:rsidRPr="00E8297F">
              <w:rPr>
                <w:noProof w:val="0"/>
              </w:rPr>
              <w:t xml:space="preserve">(toliau – projektas) </w:t>
            </w:r>
            <w:r w:rsidRPr="00E8297F">
              <w:rPr>
                <w:noProof w:val="0"/>
              </w:rPr>
              <w:t xml:space="preserve">pakeitimu, užmokesčio už </w:t>
            </w:r>
            <w:proofErr w:type="spellStart"/>
            <w:r w:rsidRPr="00E8297F">
              <w:rPr>
                <w:noProof w:val="0"/>
              </w:rPr>
              <w:t>mediacijos</w:t>
            </w:r>
            <w:proofErr w:type="spellEnd"/>
            <w:r w:rsidRPr="00E8297F">
              <w:rPr>
                <w:noProof w:val="0"/>
              </w:rPr>
              <w:t xml:space="preserve"> paslaugų teikimą atlyginimo dydis už valandą jau yra didinamas iki 16 eurų ir taip yra didinamas </w:t>
            </w:r>
            <w:proofErr w:type="spellStart"/>
            <w:r w:rsidRPr="00E8297F">
              <w:rPr>
                <w:noProof w:val="0"/>
              </w:rPr>
              <w:t>mediacijos</w:t>
            </w:r>
            <w:proofErr w:type="spellEnd"/>
            <w:r w:rsidRPr="00E8297F">
              <w:rPr>
                <w:noProof w:val="0"/>
              </w:rPr>
              <w:t xml:space="preserve"> paslaugų teikimo patrauklumas. Pažymėtina, kad biudžeto asignavimai, skiriami už antrinės teisinės pagalbos teikimą ir </w:t>
            </w:r>
            <w:proofErr w:type="spellStart"/>
            <w:r w:rsidRPr="00E8297F">
              <w:rPr>
                <w:noProof w:val="0"/>
              </w:rPr>
              <w:t>mediaciją</w:t>
            </w:r>
            <w:proofErr w:type="spellEnd"/>
            <w:r w:rsidRPr="00E8297F">
              <w:rPr>
                <w:noProof w:val="0"/>
              </w:rPr>
              <w:t xml:space="preserve"> sumokėti yra riboti, todėl nėra galimybės užmokesčio bazinio dydžio didinti iki 20 </w:t>
            </w:r>
            <w:proofErr w:type="spellStart"/>
            <w:r w:rsidRPr="00E8297F">
              <w:rPr>
                <w:noProof w:val="0"/>
              </w:rPr>
              <w:t>Eur</w:t>
            </w:r>
            <w:proofErr w:type="spellEnd"/>
            <w:r w:rsidRPr="00E8297F">
              <w:rPr>
                <w:noProof w:val="0"/>
              </w:rPr>
              <w:t>.</w:t>
            </w:r>
          </w:p>
        </w:tc>
      </w:tr>
      <w:tr w:rsidR="001E4C63" w:rsidRPr="00E8297F" w14:paraId="166C977D" w14:textId="77777777" w:rsidTr="007B32EA">
        <w:trPr>
          <w:gridAfter w:val="1"/>
          <w:wAfter w:w="19" w:type="dxa"/>
          <w:trHeight w:val="49"/>
        </w:trPr>
        <w:tc>
          <w:tcPr>
            <w:tcW w:w="1696" w:type="dxa"/>
          </w:tcPr>
          <w:p w14:paraId="70B42204" w14:textId="77777777" w:rsidR="001E4C63" w:rsidRPr="00E8297F" w:rsidRDefault="001E4C63" w:rsidP="001E4C63">
            <w:pPr>
              <w:jc w:val="both"/>
              <w:rPr>
                <w:b/>
                <w:noProof w:val="0"/>
              </w:rPr>
            </w:pPr>
          </w:p>
        </w:tc>
        <w:tc>
          <w:tcPr>
            <w:tcW w:w="9072" w:type="dxa"/>
          </w:tcPr>
          <w:p w14:paraId="3E20EB18" w14:textId="77777777" w:rsidR="001E4C63" w:rsidRPr="00E8297F" w:rsidRDefault="001E4C63" w:rsidP="001E4C63">
            <w:pPr>
              <w:widowControl w:val="0"/>
              <w:pBdr>
                <w:top w:val="none" w:sz="0" w:space="0" w:color="000000"/>
                <w:left w:val="none" w:sz="0" w:space="0" w:color="000000"/>
                <w:bottom w:val="none" w:sz="0" w:space="0" w:color="000000"/>
                <w:right w:val="none" w:sz="0" w:space="0" w:color="000000"/>
                <w:between w:val="none" w:sz="0" w:space="0" w:color="000000"/>
              </w:pBdr>
              <w:tabs>
                <w:tab w:val="left" w:pos="7075"/>
              </w:tabs>
              <w:jc w:val="both"/>
              <w:rPr>
                <w:noProof w:val="0"/>
                <w:lang w:eastAsia="en-US"/>
              </w:rPr>
            </w:pPr>
            <w:r w:rsidRPr="00E8297F">
              <w:rPr>
                <w:noProof w:val="0"/>
                <w:lang w:eastAsia="en-US"/>
              </w:rPr>
              <w:t xml:space="preserve">Statistinių duomenų analizė rodo, kad vidutiniškai per metus santuoką nutraukia per 8000 porų.  Kasmet teismuose nagrinėjama per 5000 ginčų susijusių su vaiko gyvenamosios vietos,  bendravimo tvarkos, išlaikymo dydžio, mokėjimo tvarkos nustatymu. Atsižvelgiant į tai tikėtinas didelis prašymų dėl neteisminės </w:t>
            </w:r>
            <w:proofErr w:type="spellStart"/>
            <w:r w:rsidRPr="00E8297F">
              <w:rPr>
                <w:noProof w:val="0"/>
                <w:lang w:eastAsia="en-US"/>
              </w:rPr>
              <w:t>mediacijos</w:t>
            </w:r>
            <w:proofErr w:type="spellEnd"/>
            <w:r w:rsidRPr="00E8297F">
              <w:rPr>
                <w:noProof w:val="0"/>
                <w:lang w:eastAsia="en-US"/>
              </w:rPr>
              <w:t xml:space="preserve"> vykdymo ir mediatoriaus paskyrimo skaičius. Akivaizdu, kad dėl nepakankamo neteisminę </w:t>
            </w:r>
            <w:proofErr w:type="spellStart"/>
            <w:r w:rsidRPr="00E8297F">
              <w:rPr>
                <w:noProof w:val="0"/>
                <w:lang w:eastAsia="en-US"/>
              </w:rPr>
              <w:t>mediaciją</w:t>
            </w:r>
            <w:proofErr w:type="spellEnd"/>
            <w:r w:rsidRPr="00E8297F">
              <w:rPr>
                <w:noProof w:val="0"/>
                <w:lang w:eastAsia="en-US"/>
              </w:rPr>
              <w:t xml:space="preserve"> vykdančių mediatorių skaičiaus gali kilti poreikis skirti mediatorių veikiantį kitoje, nei pareiškėjai teritorijoje. Todėl tikslinga numatyti, kad į </w:t>
            </w:r>
            <w:proofErr w:type="spellStart"/>
            <w:r w:rsidRPr="00E8297F">
              <w:rPr>
                <w:noProof w:val="0"/>
                <w:lang w:eastAsia="en-US"/>
              </w:rPr>
              <w:t>mediacijos</w:t>
            </w:r>
            <w:proofErr w:type="spellEnd"/>
            <w:r w:rsidRPr="00E8297F">
              <w:rPr>
                <w:noProof w:val="0"/>
                <w:lang w:eastAsia="en-US"/>
              </w:rPr>
              <w:t xml:space="preserve"> vykdymo laiką įskaičiuojamas ir kelionės į </w:t>
            </w:r>
            <w:proofErr w:type="spellStart"/>
            <w:r w:rsidRPr="00E8297F">
              <w:rPr>
                <w:noProof w:val="0"/>
                <w:lang w:eastAsia="en-US"/>
              </w:rPr>
              <w:t>mediacijos</w:t>
            </w:r>
            <w:proofErr w:type="spellEnd"/>
            <w:r w:rsidRPr="00E8297F">
              <w:rPr>
                <w:noProof w:val="0"/>
                <w:lang w:eastAsia="en-US"/>
              </w:rPr>
              <w:t xml:space="preserve"> vykdymo vietą ir atgal skirtas laikas.</w:t>
            </w:r>
          </w:p>
          <w:p w14:paraId="0FE7D53C" w14:textId="77777777" w:rsidR="001E4C63" w:rsidRPr="00E8297F" w:rsidRDefault="001E4C63" w:rsidP="001E4C63">
            <w:pPr>
              <w:widowControl w:val="0"/>
              <w:pBdr>
                <w:top w:val="none" w:sz="0" w:space="0" w:color="000000"/>
                <w:left w:val="none" w:sz="0" w:space="0" w:color="000000"/>
                <w:bottom w:val="none" w:sz="0" w:space="0" w:color="000000"/>
                <w:right w:val="none" w:sz="0" w:space="0" w:color="000000"/>
                <w:between w:val="none" w:sz="0" w:space="0" w:color="000000"/>
              </w:pBdr>
              <w:tabs>
                <w:tab w:val="left" w:pos="7075"/>
              </w:tabs>
              <w:jc w:val="both"/>
              <w:rPr>
                <w:noProof w:val="0"/>
                <w:lang w:eastAsia="en-US"/>
              </w:rPr>
            </w:pPr>
            <w:r w:rsidRPr="00E8297F">
              <w:rPr>
                <w:noProof w:val="0"/>
                <w:lang w:eastAsia="en-US"/>
              </w:rPr>
              <w:t>Siūlome 3.2. papunktį išdėstyti sekančiai:</w:t>
            </w:r>
          </w:p>
          <w:p w14:paraId="4989E352" w14:textId="4BEC0649" w:rsidR="001E4C63" w:rsidRPr="00E8297F" w:rsidRDefault="001E4C63" w:rsidP="001E4C63">
            <w:pPr>
              <w:jc w:val="both"/>
              <w:rPr>
                <w:noProof w:val="0"/>
                <w:color w:val="000000"/>
              </w:rPr>
            </w:pPr>
            <w:r w:rsidRPr="00E8297F">
              <w:rPr>
                <w:b/>
                <w:bCs/>
                <w:noProof w:val="0"/>
                <w:lang w:eastAsia="en-US"/>
              </w:rPr>
              <w:t xml:space="preserve">Faktinis </w:t>
            </w:r>
            <w:proofErr w:type="spellStart"/>
            <w:r w:rsidRPr="00E8297F">
              <w:rPr>
                <w:b/>
                <w:bCs/>
                <w:noProof w:val="0"/>
                <w:lang w:eastAsia="en-US"/>
              </w:rPr>
              <w:t>mediacijos</w:t>
            </w:r>
            <w:proofErr w:type="spellEnd"/>
            <w:r w:rsidRPr="00E8297F">
              <w:rPr>
                <w:b/>
                <w:bCs/>
                <w:noProof w:val="0"/>
                <w:lang w:eastAsia="en-US"/>
              </w:rPr>
              <w:t xml:space="preserve"> vykdymo laikas</w:t>
            </w:r>
            <w:r w:rsidRPr="00E8297F">
              <w:rPr>
                <w:bCs/>
                <w:noProof w:val="0"/>
                <w:lang w:eastAsia="en-US"/>
              </w:rPr>
              <w:t xml:space="preserve"> – laikas, skirtas</w:t>
            </w:r>
            <w:r w:rsidRPr="00E8297F">
              <w:rPr>
                <w:noProof w:val="0"/>
                <w:lang w:eastAsia="en-US"/>
              </w:rPr>
              <w:t xml:space="preserve"> </w:t>
            </w:r>
            <w:proofErr w:type="spellStart"/>
            <w:r w:rsidRPr="00E8297F">
              <w:rPr>
                <w:noProof w:val="0"/>
                <w:lang w:eastAsia="en-US"/>
              </w:rPr>
              <w:t>mediacijai</w:t>
            </w:r>
            <w:proofErr w:type="spellEnd"/>
            <w:r w:rsidRPr="00E8297F">
              <w:rPr>
                <w:b/>
                <w:noProof w:val="0"/>
                <w:lang w:eastAsia="en-US"/>
              </w:rPr>
              <w:t xml:space="preserve"> </w:t>
            </w:r>
            <w:r w:rsidRPr="00E8297F">
              <w:rPr>
                <w:noProof w:val="0"/>
                <w:lang w:eastAsia="en-US"/>
              </w:rPr>
              <w:t xml:space="preserve">pasirengti (susipažinti su ginčo medžiaga, pranešimams ginčo šalims rengti), kelionei į </w:t>
            </w:r>
            <w:proofErr w:type="spellStart"/>
            <w:r w:rsidRPr="00E8297F">
              <w:rPr>
                <w:noProof w:val="0"/>
                <w:lang w:eastAsia="en-US"/>
              </w:rPr>
              <w:t>mediacijos</w:t>
            </w:r>
            <w:proofErr w:type="spellEnd"/>
            <w:r w:rsidRPr="00E8297F">
              <w:rPr>
                <w:noProof w:val="0"/>
                <w:lang w:eastAsia="en-US"/>
              </w:rPr>
              <w:t xml:space="preserve"> paslaugų teikimo vietą ir atgal skirtas laikas, </w:t>
            </w:r>
            <w:proofErr w:type="spellStart"/>
            <w:r w:rsidRPr="00E8297F">
              <w:rPr>
                <w:noProof w:val="0"/>
                <w:lang w:eastAsia="en-US"/>
              </w:rPr>
              <w:t>mediacijai</w:t>
            </w:r>
            <w:proofErr w:type="spellEnd"/>
            <w:r w:rsidRPr="00E8297F">
              <w:rPr>
                <w:noProof w:val="0"/>
                <w:lang w:eastAsia="en-US"/>
              </w:rPr>
              <w:t xml:space="preserve"> vykdyti</w:t>
            </w:r>
            <w:r w:rsidRPr="00E8297F">
              <w:rPr>
                <w:b/>
                <w:noProof w:val="0"/>
                <w:lang w:eastAsia="en-US"/>
              </w:rPr>
              <w:t xml:space="preserve"> </w:t>
            </w:r>
            <w:r w:rsidRPr="00E8297F">
              <w:rPr>
                <w:noProof w:val="0"/>
                <w:lang w:eastAsia="en-US"/>
              </w:rPr>
              <w:t xml:space="preserve">(dalyvauti </w:t>
            </w:r>
            <w:proofErr w:type="spellStart"/>
            <w:r w:rsidRPr="00E8297F">
              <w:rPr>
                <w:noProof w:val="0"/>
                <w:lang w:eastAsia="en-US"/>
              </w:rPr>
              <w:t>mediacijos</w:t>
            </w:r>
            <w:proofErr w:type="spellEnd"/>
            <w:r w:rsidRPr="00E8297F">
              <w:rPr>
                <w:b/>
                <w:noProof w:val="0"/>
                <w:lang w:eastAsia="en-US"/>
              </w:rPr>
              <w:t xml:space="preserve"> </w:t>
            </w:r>
            <w:r w:rsidRPr="00E8297F">
              <w:rPr>
                <w:noProof w:val="0"/>
                <w:lang w:eastAsia="en-US"/>
              </w:rPr>
              <w:t xml:space="preserve">susitikimuose tiesiogiai ar naudojantis informacinėmis ir elektroninių ryšių technologijomis) ir </w:t>
            </w:r>
            <w:proofErr w:type="spellStart"/>
            <w:r w:rsidRPr="00E8297F">
              <w:rPr>
                <w:noProof w:val="0"/>
                <w:lang w:eastAsia="en-US"/>
              </w:rPr>
              <w:t>mediacijos</w:t>
            </w:r>
            <w:proofErr w:type="spellEnd"/>
            <w:r w:rsidRPr="00E8297F">
              <w:rPr>
                <w:noProof w:val="0"/>
                <w:lang w:eastAsia="en-US"/>
              </w:rPr>
              <w:t xml:space="preserve"> rezultatams įforminti</w:t>
            </w:r>
            <w:r w:rsidRPr="00E8297F">
              <w:rPr>
                <w:b/>
                <w:noProof w:val="0"/>
                <w:lang w:eastAsia="en-US"/>
              </w:rPr>
              <w:t xml:space="preserve"> </w:t>
            </w:r>
            <w:r w:rsidRPr="00E8297F">
              <w:rPr>
                <w:noProof w:val="0"/>
                <w:lang w:eastAsia="en-US"/>
              </w:rPr>
              <w:t>(taikos sutarties projektui rengti, pranešimams Valstybės garantuojamos teisinės pagalbos tarnybai ar teismui rengti).</w:t>
            </w:r>
          </w:p>
        </w:tc>
        <w:tc>
          <w:tcPr>
            <w:tcW w:w="4658" w:type="dxa"/>
          </w:tcPr>
          <w:p w14:paraId="33602DAC" w14:textId="77777777" w:rsidR="001E4C63" w:rsidRPr="00E8297F" w:rsidRDefault="001E4C63" w:rsidP="001E4C63">
            <w:pPr>
              <w:pStyle w:val="kopija"/>
              <w:spacing w:before="0" w:beforeAutospacing="0" w:after="0" w:afterAutospacing="0"/>
              <w:jc w:val="both"/>
              <w:rPr>
                <w:b/>
                <w:lang w:eastAsia="en-US"/>
              </w:rPr>
            </w:pPr>
            <w:r w:rsidRPr="00E8297F">
              <w:rPr>
                <w:b/>
                <w:lang w:eastAsia="en-US"/>
              </w:rPr>
              <w:t>Neatsižvelgta.</w:t>
            </w:r>
          </w:p>
          <w:p w14:paraId="0BC4F821" w14:textId="3C591CBB" w:rsidR="001E4C63" w:rsidRPr="00E8297F" w:rsidRDefault="001E4C63" w:rsidP="001E4C63">
            <w:pPr>
              <w:pStyle w:val="kopija"/>
              <w:spacing w:before="0" w:beforeAutospacing="0" w:after="0" w:afterAutospacing="0"/>
              <w:jc w:val="both"/>
            </w:pPr>
            <w:r w:rsidRPr="00E8297F">
              <w:t xml:space="preserve">Vadovaujantis MĮ 6 straipsnio 3 dalies 1 punktu, asmuo, siekiantis būti įrašytas į Lietuvos Respublikos mediatorių sąrašą, Valstybės garantuojamos teisinės pagalbos tarnybai pateikiamame prašyme pats nurodo savo veiklos teritoriją (teritorijas), taigi mediatorius pats pasirenka, kokiose veiklos teritorijose jam būtų patogu teikti </w:t>
            </w:r>
            <w:proofErr w:type="spellStart"/>
            <w:r w:rsidRPr="00E8297F">
              <w:t>mediacijos</w:t>
            </w:r>
            <w:proofErr w:type="spellEnd"/>
            <w:r w:rsidRPr="00E8297F">
              <w:t xml:space="preserve"> paslaugas, įvertindamas ir galimų kelionių trukmę. </w:t>
            </w:r>
          </w:p>
          <w:p w14:paraId="49E2A1F9" w14:textId="1E6FB8E5" w:rsidR="001E4C63" w:rsidRPr="00E8297F" w:rsidRDefault="001E4C63" w:rsidP="001E4C63">
            <w:pPr>
              <w:jc w:val="both"/>
              <w:rPr>
                <w:b/>
                <w:noProof w:val="0"/>
              </w:rPr>
            </w:pPr>
            <w:r w:rsidRPr="00E8297F">
              <w:t>Be to, yra nuolat siekiama, kad kuo daugiau mediatorių teisės aktų nustatyta tvarka sudarytų sutartis su Valstybės garantuojamos teisinės pagalbos tarnyba dėl valstybės užtikrinamos neteisminės mediacijos ir privalomosios mediacijos paslaugų teikimo.</w:t>
            </w:r>
          </w:p>
        </w:tc>
      </w:tr>
      <w:tr w:rsidR="001E4C63" w:rsidRPr="00E8297F" w14:paraId="7468DA71" w14:textId="77777777" w:rsidTr="007B32EA">
        <w:tblPrEx>
          <w:tblLook w:val="0000" w:firstRow="0" w:lastRow="0" w:firstColumn="0" w:lastColumn="0" w:noHBand="0" w:noVBand="0"/>
        </w:tblPrEx>
        <w:trPr>
          <w:trHeight w:val="1971"/>
        </w:trPr>
        <w:tc>
          <w:tcPr>
            <w:tcW w:w="1696" w:type="dxa"/>
          </w:tcPr>
          <w:p w14:paraId="1D8053F7" w14:textId="72EE6CAC" w:rsidR="001E4C63" w:rsidRPr="00E8297F" w:rsidRDefault="001E4C63" w:rsidP="001E4C63">
            <w:pPr>
              <w:jc w:val="both"/>
              <w:rPr>
                <w:noProof w:val="0"/>
              </w:rPr>
            </w:pPr>
          </w:p>
        </w:tc>
        <w:tc>
          <w:tcPr>
            <w:tcW w:w="9072" w:type="dxa"/>
            <w:shd w:val="clear" w:color="auto" w:fill="auto"/>
          </w:tcPr>
          <w:p w14:paraId="5F21E67C" w14:textId="10BFCE50" w:rsidR="001E4C63" w:rsidRPr="00E8297F" w:rsidRDefault="001E4C63" w:rsidP="001E4C63">
            <w:pPr>
              <w:widowControl w:val="0"/>
              <w:pBdr>
                <w:top w:val="none" w:sz="0" w:space="0" w:color="000000"/>
                <w:left w:val="none" w:sz="0" w:space="0" w:color="000000"/>
                <w:bottom w:val="none" w:sz="0" w:space="0" w:color="000000"/>
                <w:right w:val="none" w:sz="0" w:space="0" w:color="000000"/>
                <w:between w:val="none" w:sz="0" w:space="0" w:color="000000"/>
              </w:pBdr>
              <w:tabs>
                <w:tab w:val="left" w:pos="7075"/>
              </w:tabs>
              <w:jc w:val="both"/>
              <w:rPr>
                <w:noProof w:val="0"/>
                <w:lang w:eastAsia="en-US"/>
              </w:rPr>
            </w:pPr>
            <w:r w:rsidRPr="00E8297F">
              <w:rPr>
                <w:noProof w:val="0"/>
                <w:lang w:eastAsia="en-US"/>
              </w:rPr>
              <w:t xml:space="preserve">Taip pat siūlome peržiūrėti Taisyklių 42 punktą, kuriame nurodoma, kad valstybė finansuoja 6 UBD (6 valandas) neteisminės </w:t>
            </w:r>
            <w:proofErr w:type="spellStart"/>
            <w:r w:rsidRPr="00E8297F">
              <w:rPr>
                <w:noProof w:val="0"/>
                <w:lang w:eastAsia="en-US"/>
              </w:rPr>
              <w:t>mediacijos</w:t>
            </w:r>
            <w:proofErr w:type="spellEnd"/>
            <w:r w:rsidRPr="00E8297F">
              <w:rPr>
                <w:noProof w:val="0"/>
                <w:lang w:eastAsia="en-US"/>
              </w:rPr>
              <w:t xml:space="preserve">. Kaip rodo ilgametė praktika, kokybiškai įgyvendinti </w:t>
            </w:r>
            <w:proofErr w:type="spellStart"/>
            <w:r w:rsidRPr="00E8297F">
              <w:rPr>
                <w:noProof w:val="0"/>
                <w:lang w:eastAsia="en-US"/>
              </w:rPr>
              <w:t>mediacijos</w:t>
            </w:r>
            <w:proofErr w:type="spellEnd"/>
            <w:r w:rsidRPr="00E8297F">
              <w:rPr>
                <w:noProof w:val="0"/>
                <w:lang w:eastAsia="en-US"/>
              </w:rPr>
              <w:t xml:space="preserve"> procesą per 6 valandas yra neįmanoma. Vidutinė </w:t>
            </w:r>
            <w:proofErr w:type="spellStart"/>
            <w:r w:rsidRPr="00E8297F">
              <w:rPr>
                <w:noProof w:val="0"/>
                <w:lang w:eastAsia="en-US"/>
              </w:rPr>
              <w:t>mediacijos</w:t>
            </w:r>
            <w:proofErr w:type="spellEnd"/>
            <w:r w:rsidRPr="00E8297F">
              <w:rPr>
                <w:noProof w:val="0"/>
                <w:lang w:eastAsia="en-US"/>
              </w:rPr>
              <w:t xml:space="preserve"> proceso trukmė siekia 10 valandų, neskaitant taikos sutarties projekto parengimo bei suderinimo su šalimis, kas taip pat trunka ne mažiau nei 4 valandas. Siekiant teikiamų </w:t>
            </w:r>
            <w:proofErr w:type="spellStart"/>
            <w:r w:rsidRPr="00E8297F">
              <w:rPr>
                <w:noProof w:val="0"/>
                <w:lang w:eastAsia="en-US"/>
              </w:rPr>
              <w:t>mediacijos</w:t>
            </w:r>
            <w:proofErr w:type="spellEnd"/>
            <w:r w:rsidRPr="00E8297F">
              <w:rPr>
                <w:noProof w:val="0"/>
                <w:lang w:eastAsia="en-US"/>
              </w:rPr>
              <w:t xml:space="preserve"> paslaugų kokybės ir tinkamo įstatymų leidėjo iškeltų privalomosios </w:t>
            </w:r>
            <w:proofErr w:type="spellStart"/>
            <w:r w:rsidRPr="00E8297F">
              <w:rPr>
                <w:noProof w:val="0"/>
                <w:lang w:eastAsia="en-US"/>
              </w:rPr>
              <w:t>mediacijos</w:t>
            </w:r>
            <w:proofErr w:type="spellEnd"/>
            <w:r w:rsidRPr="00E8297F">
              <w:rPr>
                <w:noProof w:val="0"/>
                <w:lang w:eastAsia="en-US"/>
              </w:rPr>
              <w:t xml:space="preserve"> tikslų įgyvendinimo, siūlome didinti valandas, kurios gali būti skiriamos neteisminės </w:t>
            </w:r>
            <w:proofErr w:type="spellStart"/>
            <w:r w:rsidRPr="00E8297F">
              <w:rPr>
                <w:noProof w:val="0"/>
                <w:lang w:eastAsia="en-US"/>
              </w:rPr>
              <w:t>mediacijos</w:t>
            </w:r>
            <w:proofErr w:type="spellEnd"/>
            <w:r w:rsidRPr="00E8297F">
              <w:rPr>
                <w:noProof w:val="0"/>
                <w:lang w:eastAsia="en-US"/>
              </w:rPr>
              <w:t xml:space="preserve"> įgyvendinimui. </w:t>
            </w:r>
          </w:p>
        </w:tc>
        <w:tc>
          <w:tcPr>
            <w:tcW w:w="4677" w:type="dxa"/>
            <w:gridSpan w:val="2"/>
            <w:shd w:val="clear" w:color="auto" w:fill="auto"/>
          </w:tcPr>
          <w:p w14:paraId="5E37E2D1" w14:textId="77777777" w:rsidR="001E4C63" w:rsidRPr="00E8297F" w:rsidRDefault="001E4C63" w:rsidP="001E4C63">
            <w:pPr>
              <w:pStyle w:val="kopija"/>
              <w:spacing w:before="0" w:beforeAutospacing="0" w:after="0" w:afterAutospacing="0"/>
              <w:jc w:val="both"/>
              <w:rPr>
                <w:b/>
              </w:rPr>
            </w:pPr>
            <w:r w:rsidRPr="00E8297F">
              <w:rPr>
                <w:b/>
              </w:rPr>
              <w:t>Neatsižvelgta.</w:t>
            </w:r>
          </w:p>
          <w:p w14:paraId="32940AA3" w14:textId="4A4B2D62" w:rsidR="001E4C63" w:rsidRPr="00E8297F" w:rsidRDefault="001E4C63" w:rsidP="00542FA3">
            <w:pPr>
              <w:pStyle w:val="kopija"/>
              <w:spacing w:before="0" w:beforeAutospacing="0" w:after="0" w:afterAutospacing="0"/>
              <w:jc w:val="both"/>
              <w:rPr>
                <w:lang w:eastAsia="en-US"/>
              </w:rPr>
            </w:pPr>
            <w:r w:rsidRPr="00E8297F">
              <w:t xml:space="preserve">Teisminės </w:t>
            </w:r>
            <w:proofErr w:type="spellStart"/>
            <w:r w:rsidRPr="00E8297F">
              <w:t>mediacijos</w:t>
            </w:r>
            <w:proofErr w:type="spellEnd"/>
            <w:r w:rsidRPr="00E8297F">
              <w:t xml:space="preserve"> ir privalomosios </w:t>
            </w:r>
            <w:proofErr w:type="spellStart"/>
            <w:r w:rsidRPr="00E8297F">
              <w:t>mediacijos</w:t>
            </w:r>
            <w:proofErr w:type="spellEnd"/>
            <w:r w:rsidRPr="00E8297F">
              <w:t xml:space="preserve"> atveju atliktų veiksmų, už kuriuos gali būti mokamas užmokestis mediatoriui, ir jiems skirto laiko ribojimai yra įtvirtinti MĮ 22 ir 23 straipsniuose</w:t>
            </w:r>
            <w:r w:rsidR="00542FA3">
              <w:t>.</w:t>
            </w:r>
            <w:r w:rsidRPr="00E8297F">
              <w:t xml:space="preserve"> MĮ įtvirtinant </w:t>
            </w:r>
            <w:proofErr w:type="spellStart"/>
            <w:r w:rsidRPr="00E8297F">
              <w:t>mediacijos</w:t>
            </w:r>
            <w:proofErr w:type="spellEnd"/>
            <w:r w:rsidRPr="00E8297F">
              <w:t xml:space="preserve"> paslaugų teikimo laiko, už kurį gali būti apmokama iš valstybės biudžeto lėšų, ribojimus, buvo įvertintos ribotos valstybės biudžeto lėšų skyrimo galimybės.</w:t>
            </w:r>
          </w:p>
        </w:tc>
      </w:tr>
      <w:tr w:rsidR="001E4C63" w:rsidRPr="00E8297F" w14:paraId="2D8CFFD3" w14:textId="77777777" w:rsidTr="007B32EA">
        <w:tblPrEx>
          <w:tblLook w:val="0000" w:firstRow="0" w:lastRow="0" w:firstColumn="0" w:lastColumn="0" w:noHBand="0" w:noVBand="0"/>
        </w:tblPrEx>
        <w:trPr>
          <w:trHeight w:val="1971"/>
        </w:trPr>
        <w:tc>
          <w:tcPr>
            <w:tcW w:w="1696" w:type="dxa"/>
          </w:tcPr>
          <w:p w14:paraId="3A4471EF" w14:textId="65B0B009" w:rsidR="001E4C63" w:rsidRPr="00E8297F" w:rsidRDefault="001E4C63" w:rsidP="001E4C63">
            <w:pPr>
              <w:jc w:val="both"/>
              <w:rPr>
                <w:noProof w:val="0"/>
              </w:rPr>
            </w:pPr>
          </w:p>
        </w:tc>
        <w:tc>
          <w:tcPr>
            <w:tcW w:w="9072" w:type="dxa"/>
            <w:shd w:val="clear" w:color="auto" w:fill="auto"/>
          </w:tcPr>
          <w:p w14:paraId="39BBCA45" w14:textId="77777777" w:rsidR="001E4C63" w:rsidRPr="00E8297F" w:rsidRDefault="001E4C63" w:rsidP="001E4C63">
            <w:pPr>
              <w:widowControl w:val="0"/>
              <w:pBdr>
                <w:top w:val="none" w:sz="0" w:space="0" w:color="000000"/>
                <w:left w:val="none" w:sz="0" w:space="0" w:color="000000"/>
                <w:bottom w:val="none" w:sz="0" w:space="0" w:color="000000"/>
                <w:right w:val="none" w:sz="0" w:space="0" w:color="000000"/>
                <w:between w:val="none" w:sz="0" w:space="0" w:color="000000"/>
              </w:pBdr>
              <w:tabs>
                <w:tab w:val="left" w:pos="7075"/>
              </w:tabs>
              <w:jc w:val="both"/>
              <w:rPr>
                <w:noProof w:val="0"/>
                <w:lang w:eastAsia="en-US"/>
              </w:rPr>
            </w:pPr>
            <w:r w:rsidRPr="00E8297F">
              <w:rPr>
                <w:noProof w:val="0"/>
                <w:lang w:eastAsia="en-US"/>
              </w:rPr>
              <w:t xml:space="preserve">Taisyklių 46 p. įtvirtinta, kad Tarnyba apmoka arba kompensuoja išlaidas, susijusias su neteismine </w:t>
            </w:r>
            <w:proofErr w:type="spellStart"/>
            <w:r w:rsidRPr="00E8297F">
              <w:rPr>
                <w:noProof w:val="0"/>
                <w:lang w:eastAsia="en-US"/>
              </w:rPr>
              <w:t>mediacija</w:t>
            </w:r>
            <w:proofErr w:type="spellEnd"/>
            <w:r w:rsidRPr="00E8297F">
              <w:rPr>
                <w:noProof w:val="0"/>
                <w:lang w:eastAsia="en-US"/>
              </w:rPr>
              <w:t xml:space="preserve">, tik po to, kai pateikiami šias išlaidas patvirtinantys dokumentai. Išlaidas, susijusias su neteismine </w:t>
            </w:r>
            <w:proofErr w:type="spellStart"/>
            <w:r w:rsidRPr="00E8297F">
              <w:rPr>
                <w:noProof w:val="0"/>
                <w:lang w:eastAsia="en-US"/>
              </w:rPr>
              <w:t>mediacija</w:t>
            </w:r>
            <w:proofErr w:type="spellEnd"/>
            <w:r w:rsidRPr="00E8297F">
              <w:rPr>
                <w:noProof w:val="0"/>
                <w:lang w:eastAsia="en-US"/>
              </w:rPr>
              <w:t xml:space="preserve">, sudaro dokumentų kopijavimo, įforminimo, vertimo ir panašios išlaidos. </w:t>
            </w:r>
          </w:p>
          <w:p w14:paraId="744B95D3" w14:textId="77777777" w:rsidR="001E4C63" w:rsidRPr="00E8297F" w:rsidRDefault="001E4C63" w:rsidP="001E4C63">
            <w:pPr>
              <w:widowControl w:val="0"/>
              <w:pBdr>
                <w:top w:val="none" w:sz="0" w:space="0" w:color="000000"/>
                <w:left w:val="none" w:sz="0" w:space="0" w:color="000000"/>
                <w:bottom w:val="none" w:sz="0" w:space="0" w:color="000000"/>
                <w:right w:val="none" w:sz="0" w:space="0" w:color="000000"/>
                <w:between w:val="none" w:sz="0" w:space="0" w:color="000000"/>
              </w:pBdr>
              <w:tabs>
                <w:tab w:val="left" w:pos="7075"/>
              </w:tabs>
              <w:jc w:val="both"/>
              <w:rPr>
                <w:noProof w:val="0"/>
                <w:lang w:eastAsia="en-US"/>
              </w:rPr>
            </w:pPr>
            <w:r w:rsidRPr="00E8297F">
              <w:rPr>
                <w:noProof w:val="0"/>
                <w:lang w:eastAsia="en-US"/>
              </w:rPr>
              <w:t xml:space="preserve">Lietuvos mediatorių rūmai pastebi, kad tikslinga nustatyti galimybę mediatoriams gauti kompensaciją už </w:t>
            </w:r>
            <w:proofErr w:type="spellStart"/>
            <w:r w:rsidRPr="00E8297F">
              <w:rPr>
                <w:noProof w:val="0"/>
                <w:lang w:eastAsia="en-US"/>
              </w:rPr>
              <w:t>mediacijos</w:t>
            </w:r>
            <w:proofErr w:type="spellEnd"/>
            <w:r w:rsidRPr="00E8297F">
              <w:rPr>
                <w:noProof w:val="0"/>
                <w:lang w:eastAsia="en-US"/>
              </w:rPr>
              <w:t xml:space="preserve"> patalpų nuomą. Nepaisant to, kad Valstybės garantuojamos teisinės pagalbos tarnyba yra įpareigota užtikrinti patalpas valstybės užtikrinamai ir privalomai </w:t>
            </w:r>
            <w:proofErr w:type="spellStart"/>
            <w:r w:rsidRPr="00E8297F">
              <w:rPr>
                <w:noProof w:val="0"/>
                <w:lang w:eastAsia="en-US"/>
              </w:rPr>
              <w:t>mediacijai</w:t>
            </w:r>
            <w:proofErr w:type="spellEnd"/>
            <w:r w:rsidRPr="00E8297F">
              <w:rPr>
                <w:noProof w:val="0"/>
                <w:lang w:eastAsia="en-US"/>
              </w:rPr>
              <w:t xml:space="preserve">, artėjant 2020 m. sausio 1 d, kai bus pradėta taikyti privaloma </w:t>
            </w:r>
            <w:proofErr w:type="spellStart"/>
            <w:r w:rsidRPr="00E8297F">
              <w:rPr>
                <w:noProof w:val="0"/>
                <w:lang w:eastAsia="en-US"/>
              </w:rPr>
              <w:t>mediacija</w:t>
            </w:r>
            <w:proofErr w:type="spellEnd"/>
            <w:r w:rsidRPr="00E8297F">
              <w:rPr>
                <w:noProof w:val="0"/>
                <w:lang w:eastAsia="en-US"/>
              </w:rPr>
              <w:t xml:space="preserve">, tikėtina, kad patalpų pritrūks. LMR skaičiavimais ateinančiais metais privalomos </w:t>
            </w:r>
            <w:proofErr w:type="spellStart"/>
            <w:r w:rsidRPr="00E8297F">
              <w:rPr>
                <w:noProof w:val="0"/>
                <w:lang w:eastAsia="en-US"/>
              </w:rPr>
              <w:t>mediacijos</w:t>
            </w:r>
            <w:proofErr w:type="spellEnd"/>
            <w:r w:rsidRPr="00E8297F">
              <w:rPr>
                <w:noProof w:val="0"/>
                <w:lang w:eastAsia="en-US"/>
              </w:rPr>
              <w:t xml:space="preserve"> paslauga turės būti suteikta 15 000 ginčų. Siekiant užtikrinti nenutrūkstamą ir operatyvų šių ginčų nagrinėjimą, būtina nustatyti alternatyvią </w:t>
            </w:r>
            <w:proofErr w:type="spellStart"/>
            <w:r w:rsidRPr="00E8297F">
              <w:rPr>
                <w:noProof w:val="0"/>
                <w:lang w:eastAsia="en-US"/>
              </w:rPr>
              <w:t>mediacijos</w:t>
            </w:r>
            <w:proofErr w:type="spellEnd"/>
            <w:r w:rsidRPr="00E8297F">
              <w:rPr>
                <w:noProof w:val="0"/>
                <w:lang w:eastAsia="en-US"/>
              </w:rPr>
              <w:t xml:space="preserve"> patalpų užtikrinimo tvarką.</w:t>
            </w:r>
          </w:p>
          <w:p w14:paraId="12BFBAEA" w14:textId="77777777" w:rsidR="001E4C63" w:rsidRPr="00E8297F" w:rsidRDefault="001E4C63" w:rsidP="001E4C63">
            <w:pPr>
              <w:widowControl w:val="0"/>
              <w:pBdr>
                <w:top w:val="none" w:sz="0" w:space="0" w:color="000000"/>
                <w:left w:val="none" w:sz="0" w:space="0" w:color="000000"/>
                <w:bottom w:val="none" w:sz="0" w:space="0" w:color="000000"/>
                <w:right w:val="none" w:sz="0" w:space="0" w:color="000000"/>
                <w:between w:val="none" w:sz="0" w:space="0" w:color="000000"/>
              </w:pBdr>
              <w:tabs>
                <w:tab w:val="left" w:pos="7075"/>
              </w:tabs>
              <w:jc w:val="both"/>
              <w:rPr>
                <w:lang w:eastAsia="en-US"/>
              </w:rPr>
            </w:pPr>
            <w:r w:rsidRPr="00E8297F">
              <w:rPr>
                <w:noProof w:val="0"/>
                <w:lang w:eastAsia="en-US"/>
              </w:rPr>
              <w:t xml:space="preserve">Paminėtina ir tai, kad siekiant garantuoti valstybės užtikrinamos ir privalomosios </w:t>
            </w:r>
            <w:proofErr w:type="spellStart"/>
            <w:r w:rsidRPr="00E8297F">
              <w:rPr>
                <w:noProof w:val="0"/>
                <w:lang w:eastAsia="en-US"/>
              </w:rPr>
              <w:t>mediacijos</w:t>
            </w:r>
            <w:proofErr w:type="spellEnd"/>
            <w:r w:rsidRPr="00E8297F">
              <w:rPr>
                <w:noProof w:val="0"/>
                <w:lang w:eastAsia="en-US"/>
              </w:rPr>
              <w:t xml:space="preserve"> paslaugų teikimo sistemos veikimą, būtina griežtai reglamentuoti apmokėjimo už mediatorių darbo valandas bei jų patirtų išlaidų kompensavimo terminus bei jų laikytis. Mediatoriaus profesijos formavimuisi Lietuvoje būtinos garantijos, užtikrintumas, kad už darbą bus atlyginta protingu terminu. Šiuo metu mediatoriai, teikiantys valstybės užtikrinamos </w:t>
            </w:r>
            <w:proofErr w:type="spellStart"/>
            <w:r w:rsidRPr="00E8297F">
              <w:rPr>
                <w:noProof w:val="0"/>
                <w:lang w:eastAsia="en-US"/>
              </w:rPr>
              <w:t>mediacijos</w:t>
            </w:r>
            <w:proofErr w:type="spellEnd"/>
            <w:r w:rsidRPr="00E8297F">
              <w:rPr>
                <w:noProof w:val="0"/>
                <w:lang w:eastAsia="en-US"/>
              </w:rPr>
              <w:t xml:space="preserve"> paslaugas</w:t>
            </w:r>
            <w:r w:rsidRPr="00E8297F">
              <w:rPr>
                <w:lang w:eastAsia="en-US"/>
              </w:rPr>
              <w:t xml:space="preserve"> užmokesčio už jas turi laukti apie pusę metų, kas yra nepateisinama ir nekuria prielaidų tvarios valstybės užtikrinamos ir privalomos mediacijos paslaugų teikimo sisitemos sukūrimui.</w:t>
            </w:r>
          </w:p>
          <w:p w14:paraId="6ED3C24D" w14:textId="60724ED7" w:rsidR="001E4C63" w:rsidRPr="00E8297F" w:rsidRDefault="001E4C63" w:rsidP="001E4C63">
            <w:pPr>
              <w:widowControl w:val="0"/>
              <w:pBdr>
                <w:top w:val="none" w:sz="0" w:space="0" w:color="000000"/>
                <w:left w:val="none" w:sz="0" w:space="0" w:color="000000"/>
                <w:bottom w:val="none" w:sz="0" w:space="0" w:color="000000"/>
                <w:right w:val="none" w:sz="0" w:space="0" w:color="000000"/>
                <w:between w:val="none" w:sz="0" w:space="0" w:color="000000"/>
              </w:pBdr>
              <w:tabs>
                <w:tab w:val="left" w:pos="7075"/>
              </w:tabs>
              <w:jc w:val="both"/>
              <w:rPr>
                <w:noProof w:val="0"/>
              </w:rPr>
            </w:pPr>
            <w:r w:rsidRPr="00E8297F">
              <w:rPr>
                <w:lang w:eastAsia="en-US"/>
              </w:rPr>
              <w:t>Maloniai prašome nuosekliai apsvarstyti šiuos LMR pateikus siūlymus. Esant poreikiui LMR atstovai yra pasirengusi dalyvauti diskusijuose šiais klausimais, ar pateikti papildomą informaciją. Kviečiame kartu kurti efektyvią valstybės užtikrinamos ir privalomos mediacijos paslaugų teikimo sistemą, orientuotą į geriausią Lietuvos gyventojų poreikių užtikrinimą, sklandžią valstybės raidą bei orų mediatoriaus profesijos formavimąsi.</w:t>
            </w:r>
          </w:p>
        </w:tc>
        <w:tc>
          <w:tcPr>
            <w:tcW w:w="4677" w:type="dxa"/>
            <w:gridSpan w:val="2"/>
            <w:shd w:val="clear" w:color="auto" w:fill="auto"/>
          </w:tcPr>
          <w:p w14:paraId="2D8EE979" w14:textId="77777777" w:rsidR="001E4C63" w:rsidRPr="00E8297F" w:rsidRDefault="001E4C63" w:rsidP="001E4C63">
            <w:pPr>
              <w:pStyle w:val="kopija"/>
              <w:spacing w:before="0" w:beforeAutospacing="0" w:after="0" w:afterAutospacing="0"/>
              <w:ind w:left="33"/>
              <w:jc w:val="both"/>
              <w:rPr>
                <w:b/>
              </w:rPr>
            </w:pPr>
            <w:r w:rsidRPr="00E8297F">
              <w:rPr>
                <w:b/>
              </w:rPr>
              <w:t>Neatsižvelgta.</w:t>
            </w:r>
          </w:p>
          <w:p w14:paraId="5E9F9914" w14:textId="1913429A" w:rsidR="001E4C63" w:rsidRPr="00E8297F" w:rsidRDefault="001E4C63" w:rsidP="00184C86">
            <w:pPr>
              <w:jc w:val="both"/>
              <w:rPr>
                <w:rFonts w:eastAsia="Calibri"/>
                <w:noProof w:val="0"/>
              </w:rPr>
            </w:pPr>
            <w:r w:rsidRPr="00E8297F">
              <w:t>Kompensacijos mediatoriams už mediacijos patalpų nuomą mokėjimas šiuo metu nebūtų galimas, atsižvelgiant į ribotas valstybės biudžeto lėšų skyrimo galimybes. Manytina, kad toks siūlymas galėtų būti papildomai vertinamas ateityje, įvertinus Valstybės garantuojamos teisinės pagalbos tarnybos suteikiamų patalpų privalomosios mediacijos paslaugų teikimui užimtumą ir kitas susijusias aplinkybes.</w:t>
            </w:r>
            <w:r w:rsidRPr="00E8297F">
              <w:rPr>
                <w:rFonts w:eastAsia="Calibri"/>
                <w:noProof w:val="0"/>
              </w:rPr>
              <w:t xml:space="preserve"> Pažymėtina, kad privalomajai </w:t>
            </w:r>
            <w:proofErr w:type="spellStart"/>
            <w:r w:rsidRPr="00E8297F">
              <w:rPr>
                <w:rFonts w:eastAsia="Calibri"/>
                <w:noProof w:val="0"/>
              </w:rPr>
              <w:t>mediacijai</w:t>
            </w:r>
            <w:proofErr w:type="spellEnd"/>
            <w:r w:rsidRPr="00E8297F">
              <w:rPr>
                <w:rFonts w:eastAsia="Calibri"/>
                <w:noProof w:val="0"/>
              </w:rPr>
              <w:t xml:space="preserve"> vykdyti dabar yra įrenginėjamos 9 patalpos: </w:t>
            </w:r>
            <w:r w:rsidRPr="001E4C63">
              <w:rPr>
                <w:rFonts w:eastAsia="Calibri"/>
                <w:noProof w:val="0"/>
              </w:rPr>
              <w:t xml:space="preserve">Vilniuje – 2, Kaune – 2, </w:t>
            </w:r>
            <w:r w:rsidRPr="00E8297F">
              <w:rPr>
                <w:rFonts w:eastAsia="Calibri"/>
                <w:noProof w:val="0"/>
              </w:rPr>
              <w:t xml:space="preserve">Panevėžyje – 2, Šiauliuose – 2 ir </w:t>
            </w:r>
            <w:r w:rsidRPr="001E4C63">
              <w:rPr>
                <w:rFonts w:eastAsia="Calibri"/>
                <w:noProof w:val="0"/>
              </w:rPr>
              <w:t xml:space="preserve">Klaipėdoje – 1. </w:t>
            </w:r>
          </w:p>
          <w:p w14:paraId="19FB09DA" w14:textId="15757B1B" w:rsidR="001E4C63" w:rsidRPr="00E230B5" w:rsidRDefault="001E4C63" w:rsidP="001E4C63">
            <w:pPr>
              <w:pStyle w:val="kopija"/>
              <w:spacing w:before="0" w:beforeAutospacing="0" w:after="0" w:afterAutospacing="0"/>
              <w:jc w:val="both"/>
            </w:pPr>
            <w:r w:rsidRPr="00E8297F">
              <w:t xml:space="preserve">Teisingumo ministerija, vertindama galimų privalomosios </w:t>
            </w:r>
            <w:proofErr w:type="spellStart"/>
            <w:r w:rsidRPr="00E8297F">
              <w:t>mediacijos</w:t>
            </w:r>
            <w:proofErr w:type="spellEnd"/>
            <w:r w:rsidRPr="00E8297F">
              <w:t xml:space="preserve"> atvejų skaičių (t. y. šiuo metu </w:t>
            </w:r>
            <w:r w:rsidRPr="00E8297F">
              <w:rPr>
                <w:i/>
              </w:rPr>
              <w:t>ginčo teisena</w:t>
            </w:r>
            <w:r w:rsidRPr="00E8297F">
              <w:t xml:space="preserve"> išnagrinėjamų šeimos bylų skaičių), rėmėsi Nacionalinės teismų administracijos Teisingumo ministerijai pateiktais statistiniais duomenimis. Remiantis šiais duomenimis, šeimos bylų, nagrinėjamų ginčo teisena, skaičius nevir</w:t>
            </w:r>
            <w:r w:rsidR="00542FA3">
              <w:t>šija 8000 bylų per metus, todėl</w:t>
            </w:r>
            <w:r w:rsidRPr="00E8297F">
              <w:t xml:space="preserve"> </w:t>
            </w:r>
            <w:r w:rsidR="00542FA3">
              <w:t>abejotinas</w:t>
            </w:r>
            <w:r w:rsidRPr="00E8297F">
              <w:t xml:space="preserve"> teiginys, kad „</w:t>
            </w:r>
            <w:r w:rsidRPr="00E230B5">
              <w:t xml:space="preserve">ateinančiais metais privalomos </w:t>
            </w:r>
            <w:proofErr w:type="spellStart"/>
            <w:r w:rsidRPr="00E230B5">
              <w:t>mediacijos</w:t>
            </w:r>
            <w:proofErr w:type="spellEnd"/>
            <w:r w:rsidRPr="00E230B5">
              <w:t xml:space="preserve"> paslauga turės būti suteikta 15 000 ginčų“.</w:t>
            </w:r>
          </w:p>
          <w:p w14:paraId="4CD1F411" w14:textId="64020DAD" w:rsidR="00A92012" w:rsidRPr="00E230B5" w:rsidRDefault="00A92012" w:rsidP="00E230B5">
            <w:pPr>
              <w:pStyle w:val="kopija"/>
              <w:spacing w:before="0" w:beforeAutospacing="0" w:after="0" w:afterAutospacing="0"/>
              <w:jc w:val="both"/>
              <w:rPr>
                <w:b/>
              </w:rPr>
            </w:pPr>
            <w:r w:rsidRPr="00E230B5">
              <w:t xml:space="preserve">Pastebėtina, kad </w:t>
            </w:r>
            <w:r w:rsidR="00E230B5" w:rsidRPr="00E230B5">
              <w:t>2020 m.</w:t>
            </w:r>
            <w:r w:rsidRPr="00E230B5">
              <w:t xml:space="preserve"> numatyta atskira finansų priemonė, kuri skirta tik mediato</w:t>
            </w:r>
            <w:r w:rsidR="00E230B5" w:rsidRPr="00E230B5">
              <w:t xml:space="preserve">rių paslaugoms apmokėti, todėl </w:t>
            </w:r>
            <w:r w:rsidRPr="00E230B5">
              <w:t xml:space="preserve">problemų </w:t>
            </w:r>
            <w:r w:rsidR="00E230B5" w:rsidRPr="00E230B5">
              <w:t xml:space="preserve">dėl ilgo apmokėjimo laukimo </w:t>
            </w:r>
            <w:r w:rsidRPr="00E230B5">
              <w:t>neturėtų kilti</w:t>
            </w:r>
            <w:r w:rsidR="00E230B5" w:rsidRPr="00E230B5">
              <w:t>. Be to, 2019 m. duomenimis, tik išskirtiniais atvejais mediatoriams užmokesčio laukti reikėjo daugiau kaip 4 mėn.</w:t>
            </w:r>
          </w:p>
        </w:tc>
      </w:tr>
      <w:tr w:rsidR="001E4C63" w:rsidRPr="00E8297F" w14:paraId="480D2307" w14:textId="77777777" w:rsidTr="007B32EA">
        <w:tblPrEx>
          <w:tblLook w:val="0000" w:firstRow="0" w:lastRow="0" w:firstColumn="0" w:lastColumn="0" w:noHBand="0" w:noVBand="0"/>
        </w:tblPrEx>
        <w:trPr>
          <w:trHeight w:val="58"/>
        </w:trPr>
        <w:tc>
          <w:tcPr>
            <w:tcW w:w="1696" w:type="dxa"/>
          </w:tcPr>
          <w:p w14:paraId="489CBDE9" w14:textId="493B0B1E" w:rsidR="001E4C63" w:rsidRPr="00E8297F" w:rsidRDefault="001E4C63" w:rsidP="001E4C63">
            <w:pPr>
              <w:jc w:val="both"/>
              <w:rPr>
                <w:noProof w:val="0"/>
              </w:rPr>
            </w:pPr>
            <w:r w:rsidRPr="00E8297F">
              <w:rPr>
                <w:noProof w:val="0"/>
              </w:rPr>
              <w:t>Lietuvos advokatūros 2019-11-07 raštas Nr. 917</w:t>
            </w:r>
          </w:p>
        </w:tc>
        <w:tc>
          <w:tcPr>
            <w:tcW w:w="9072" w:type="dxa"/>
            <w:shd w:val="clear" w:color="auto" w:fill="auto"/>
          </w:tcPr>
          <w:p w14:paraId="402E6983" w14:textId="537A1E93" w:rsidR="001E4C63" w:rsidRPr="00E8297F" w:rsidRDefault="001E4C63" w:rsidP="001E4C63">
            <w:pPr>
              <w:pStyle w:val="x"/>
              <w:jc w:val="both"/>
            </w:pPr>
            <w:r w:rsidRPr="00E8297F">
              <w:t xml:space="preserve">Pirmiausia svarbu pažymėti, jog šiuo metu nustatytas darbo laiko įkainis 13 </w:t>
            </w:r>
            <w:proofErr w:type="spellStart"/>
            <w:r w:rsidRPr="00E8297F">
              <w:t>Eur</w:t>
            </w:r>
            <w:proofErr w:type="spellEnd"/>
            <w:r w:rsidRPr="00E8297F">
              <w:t xml:space="preserve"> už darbo valandą yra nesuderinamas su konstitucinėmis garantijomis įtvirtintomis Lietuvos Respublikos Konstitucijos 48 straipsnyje. Atkreiptinas dėmesys, jog, pavyzdžiui, individualaus konstitucinio skundo parengimą Teisingumo ministerija siūlo įvertinti 91 euru (7 x UBD (13 </w:t>
            </w:r>
            <w:proofErr w:type="spellStart"/>
            <w:r w:rsidRPr="00E8297F">
              <w:t>Eur</w:t>
            </w:r>
            <w:proofErr w:type="spellEnd"/>
            <w:r w:rsidRPr="00E8297F">
              <w:t>)) [</w:t>
            </w:r>
            <w:proofErr w:type="spellStart"/>
            <w:r w:rsidRPr="00E8297F">
              <w:t>bruto</w:t>
            </w:r>
            <w:proofErr w:type="spellEnd"/>
            <w:r w:rsidRPr="00E8297F">
              <w:t xml:space="preserve">], kurie po advokato sumokamų mokesčių tampa pajamomis, nesiekiančiomis net 50 </w:t>
            </w:r>
            <w:proofErr w:type="spellStart"/>
            <w:r w:rsidRPr="00E8297F">
              <w:t>Eur</w:t>
            </w:r>
            <w:proofErr w:type="spellEnd"/>
            <w:r w:rsidRPr="00E8297F">
              <w:t xml:space="preserve"> [</w:t>
            </w:r>
            <w:proofErr w:type="spellStart"/>
            <w:r w:rsidRPr="00E8297F">
              <w:t>neto</w:t>
            </w:r>
            <w:proofErr w:type="spellEnd"/>
            <w:r w:rsidRPr="00E8297F">
              <w:t xml:space="preserve">]. Lietuvos advokatūros nuomone, toks siūlomas atlygis galėtų būti vertintinas kaip nepagarba tiek teisei į teisingą teismą, tiek advokato profesijai, tiek ir Konstituciniam Teismui. Kita vertus, išeitis iš tokios padėties galėtų būti reali UBD peržiūra. Lietuvos Advokatūra, dar 2018 m. rugpjūčio 29 d. raštu Nr. 742 teikė siūlymą UBD didinti iki 16,86 </w:t>
            </w:r>
            <w:proofErr w:type="spellStart"/>
            <w:r w:rsidRPr="00E8297F">
              <w:t>Eur</w:t>
            </w:r>
            <w:proofErr w:type="spellEnd"/>
            <w:r w:rsidRPr="00E8297F">
              <w:t xml:space="preserve">. Atsižvelgiant į Lietuvos oficialios statistikos portalo duomenis, vidutinė 2019 m. metinė infliacija, apskaičiuota pagal suderintą vartotojų kainų indeksą (SVKI) sudarė 2,5 proc., o </w:t>
            </w:r>
            <w:proofErr w:type="spellStart"/>
            <w:r w:rsidRPr="00E8297F">
              <w:t>bruto</w:t>
            </w:r>
            <w:proofErr w:type="spellEnd"/>
            <w:r w:rsidRPr="00E8297F">
              <w:t xml:space="preserve"> darbo užmokestis išaugo 9,4 proc., todėl 2019 m. rugpjūčio 13 d. Lietuvos advokatūra raštu Nr. 659 prašė UBD nustatyti bent jau 18,90 </w:t>
            </w:r>
            <w:proofErr w:type="spellStart"/>
            <w:r w:rsidRPr="00E8297F">
              <w:t>Eur</w:t>
            </w:r>
            <w:proofErr w:type="spellEnd"/>
            <w:r w:rsidRPr="00E8297F">
              <w:t xml:space="preserve">., kas vis dar būtų žemiausias įkainis ES. Atsižvelgiant į tai prašome pakeisti UBD dydį, kuris būtų taikomas nuo 2020 m. sausio 1 d. </w:t>
            </w:r>
          </w:p>
        </w:tc>
        <w:tc>
          <w:tcPr>
            <w:tcW w:w="4677" w:type="dxa"/>
            <w:gridSpan w:val="2"/>
            <w:shd w:val="clear" w:color="auto" w:fill="auto"/>
          </w:tcPr>
          <w:p w14:paraId="4AFC7800" w14:textId="77777777" w:rsidR="001C5D08" w:rsidRPr="00E8297F" w:rsidRDefault="001E4C63" w:rsidP="001E4C63">
            <w:pPr>
              <w:pStyle w:val="kopija"/>
              <w:spacing w:before="0" w:beforeAutospacing="0" w:after="0" w:afterAutospacing="0"/>
              <w:ind w:left="34"/>
              <w:jc w:val="both"/>
              <w:rPr>
                <w:b/>
              </w:rPr>
            </w:pPr>
            <w:r w:rsidRPr="00E8297F">
              <w:rPr>
                <w:b/>
              </w:rPr>
              <w:t>Neatsižvelgta.</w:t>
            </w:r>
          </w:p>
          <w:p w14:paraId="4F92A693" w14:textId="692CD7FA" w:rsidR="001E4C63" w:rsidRPr="00E8297F" w:rsidRDefault="001C5D08" w:rsidP="007B32EA">
            <w:pPr>
              <w:pStyle w:val="kopija"/>
              <w:spacing w:before="0" w:beforeAutospacing="0" w:after="0" w:afterAutospacing="0"/>
              <w:ind w:left="34"/>
              <w:jc w:val="both"/>
              <w:rPr>
                <w:b/>
              </w:rPr>
            </w:pPr>
            <w:r w:rsidRPr="00E8297F">
              <w:t>Pažymėtina, kad siūlomais pakeitimais užmokesčio bazinis dydis didina</w:t>
            </w:r>
            <w:r w:rsidR="00542FA3">
              <w:t xml:space="preserve">mas nuo 13 iki 16 </w:t>
            </w:r>
            <w:proofErr w:type="spellStart"/>
            <w:r w:rsidR="00542FA3">
              <w:t>Eur</w:t>
            </w:r>
            <w:proofErr w:type="spellEnd"/>
            <w:r w:rsidR="00542FA3">
              <w:t>.</w:t>
            </w:r>
            <w:r w:rsidRPr="00E8297F">
              <w:t xml:space="preserve"> </w:t>
            </w:r>
            <w:r w:rsidR="00542FA3" w:rsidRPr="00E8297F">
              <w:rPr>
                <w:lang w:eastAsia="en-US"/>
              </w:rPr>
              <w:t xml:space="preserve">18,90 </w:t>
            </w:r>
            <w:proofErr w:type="spellStart"/>
            <w:r w:rsidR="00542FA3" w:rsidRPr="00E8297F">
              <w:rPr>
                <w:lang w:eastAsia="en-US"/>
              </w:rPr>
              <w:t>Eur</w:t>
            </w:r>
            <w:proofErr w:type="spellEnd"/>
            <w:r w:rsidR="00542FA3" w:rsidRPr="00E8297F">
              <w:t xml:space="preserve"> mokėjimas šiuo metu nebūtų galimas, atsižvelgiant į ribotas valstybės </w:t>
            </w:r>
            <w:r w:rsidR="00542FA3">
              <w:t>biudžeto lėšų skyrimo galimybes</w:t>
            </w:r>
            <w:r w:rsidR="00542FA3" w:rsidRPr="00E8297F">
              <w:t xml:space="preserve"> </w:t>
            </w:r>
            <w:r w:rsidR="001E4C63" w:rsidRPr="00E8297F">
              <w:rPr>
                <w:lang w:eastAsia="en-US"/>
              </w:rPr>
              <w:t>an</w:t>
            </w:r>
            <w:r w:rsidR="00542FA3">
              <w:rPr>
                <w:lang w:eastAsia="en-US"/>
              </w:rPr>
              <w:t xml:space="preserve">trinės teisinės pagalbos teikimui ir </w:t>
            </w:r>
            <w:proofErr w:type="spellStart"/>
            <w:r w:rsidR="00542FA3">
              <w:rPr>
                <w:lang w:eastAsia="en-US"/>
              </w:rPr>
              <w:t>mediacijai</w:t>
            </w:r>
            <w:proofErr w:type="spellEnd"/>
            <w:r w:rsidR="00542FA3">
              <w:rPr>
                <w:lang w:eastAsia="en-US"/>
              </w:rPr>
              <w:t>.</w:t>
            </w:r>
            <w:r w:rsidR="001E4C63" w:rsidRPr="00E8297F">
              <w:rPr>
                <w:lang w:eastAsia="en-US"/>
              </w:rPr>
              <w:t xml:space="preserve"> </w:t>
            </w:r>
            <w:bookmarkStart w:id="0" w:name="_GoBack"/>
            <w:bookmarkEnd w:id="0"/>
          </w:p>
        </w:tc>
      </w:tr>
      <w:tr w:rsidR="001E4C63" w:rsidRPr="00E8297F" w14:paraId="23482425" w14:textId="77777777" w:rsidTr="007B32EA">
        <w:tblPrEx>
          <w:tblLook w:val="0000" w:firstRow="0" w:lastRow="0" w:firstColumn="0" w:lastColumn="0" w:noHBand="0" w:noVBand="0"/>
        </w:tblPrEx>
        <w:trPr>
          <w:trHeight w:val="58"/>
        </w:trPr>
        <w:tc>
          <w:tcPr>
            <w:tcW w:w="1696" w:type="dxa"/>
          </w:tcPr>
          <w:p w14:paraId="32F3FC65" w14:textId="77777777" w:rsidR="001E4C63" w:rsidRPr="00E8297F" w:rsidRDefault="001E4C63" w:rsidP="001E4C63">
            <w:pPr>
              <w:jc w:val="both"/>
              <w:rPr>
                <w:noProof w:val="0"/>
              </w:rPr>
            </w:pPr>
          </w:p>
        </w:tc>
        <w:tc>
          <w:tcPr>
            <w:tcW w:w="9072" w:type="dxa"/>
            <w:shd w:val="clear" w:color="auto" w:fill="auto"/>
          </w:tcPr>
          <w:p w14:paraId="55268F0C" w14:textId="40E9B2EC" w:rsidR="001E4C63" w:rsidRPr="00E8297F" w:rsidRDefault="001E4C63" w:rsidP="001E4C63">
            <w:pPr>
              <w:pStyle w:val="x"/>
              <w:jc w:val="both"/>
            </w:pPr>
            <w:r w:rsidRPr="00E8297F">
              <w:t xml:space="preserve">Atkreiptinas dėmesys ir į Taisyklių 33 punkte nustatytą 6 mėn. terminą advokatui pateikti ataskaitą, prašymą dėl užmokesčio išmokėjimo ir kitus būtinus duomenis, norint gauti apmokėjimą už suteiktas antrinės teisinės pagalbos paslaugas. Vertinant didelius advokatų darbo krūvius, užimtumą bei pareigą pateikti paslaugų teikimą patvirtinančius duomenis, darytina išvada, kad numatytas 6 mėn. terminas yra per trumpas. Dažniausiai bylos tiriamo ir nagrinėjamos daug ilgiau, todėl advokatas papildomai turi prisiminti visus veiksmus, kuriuos atliko byloje per pastaruosius 6 mėn. ir suspėti pateikti ataskaitą Valstybės garantuojamos teisinės pagalbos tarnybai. Atsižvelgiant į tai, siūlome  šį 6 mėn. terminą naikinti arba keisti į netrupesnį kaip 12 </w:t>
            </w:r>
            <w:r w:rsidR="00E8297F" w:rsidRPr="00E8297F">
              <w:t>mėn.</w:t>
            </w:r>
          </w:p>
        </w:tc>
        <w:tc>
          <w:tcPr>
            <w:tcW w:w="4677" w:type="dxa"/>
            <w:gridSpan w:val="2"/>
            <w:shd w:val="clear" w:color="auto" w:fill="auto"/>
          </w:tcPr>
          <w:p w14:paraId="50B3B9E9" w14:textId="77777777" w:rsidR="001C5D08" w:rsidRPr="00E8297F" w:rsidRDefault="001C5D08" w:rsidP="001E4C63">
            <w:pPr>
              <w:pStyle w:val="kopija"/>
              <w:spacing w:before="0" w:beforeAutospacing="0" w:after="0" w:afterAutospacing="0"/>
              <w:ind w:left="34"/>
              <w:jc w:val="both"/>
              <w:rPr>
                <w:b/>
              </w:rPr>
            </w:pPr>
            <w:r w:rsidRPr="00E8297F">
              <w:rPr>
                <w:b/>
              </w:rPr>
              <w:t>Neatsižvelgta.</w:t>
            </w:r>
          </w:p>
          <w:p w14:paraId="434AAFD4" w14:textId="53E05B81" w:rsidR="001E4C63" w:rsidRPr="00E8297F" w:rsidRDefault="001C5D08" w:rsidP="00542FA3">
            <w:pPr>
              <w:pStyle w:val="kopija"/>
              <w:spacing w:before="0" w:beforeAutospacing="0" w:after="0" w:afterAutospacing="0"/>
              <w:ind w:left="34"/>
              <w:jc w:val="both"/>
            </w:pPr>
            <w:r w:rsidRPr="00E8297F">
              <w:t xml:space="preserve">Manytina, kad 6 mėnesių terminas yra pakankamai racionalus, o advokatas informaciją apie byloje atliktus veiksmus gali žymėtis </w:t>
            </w:r>
            <w:r w:rsidR="00542FA3">
              <w:t>pasibaigus veiksmų atlikimui.</w:t>
            </w:r>
          </w:p>
        </w:tc>
      </w:tr>
      <w:tr w:rsidR="00B26022" w:rsidRPr="00E8297F" w14:paraId="6F535FF4" w14:textId="77777777" w:rsidTr="007B32EA">
        <w:tblPrEx>
          <w:tblLook w:val="0000" w:firstRow="0" w:lastRow="0" w:firstColumn="0" w:lastColumn="0" w:noHBand="0" w:noVBand="0"/>
        </w:tblPrEx>
        <w:trPr>
          <w:trHeight w:val="58"/>
        </w:trPr>
        <w:tc>
          <w:tcPr>
            <w:tcW w:w="1696" w:type="dxa"/>
          </w:tcPr>
          <w:p w14:paraId="7D482849" w14:textId="7F34529E" w:rsidR="00B26022" w:rsidRDefault="000A66F0" w:rsidP="00B26022">
            <w:pPr>
              <w:pStyle w:val="Default"/>
            </w:pPr>
            <w:r>
              <w:t xml:space="preserve">Finansų ministerijos </w:t>
            </w:r>
            <w:r w:rsidR="00B26022">
              <w:t xml:space="preserve">2019-11-11 raštas </w:t>
            </w:r>
          </w:p>
          <w:tbl>
            <w:tblPr>
              <w:tblW w:w="0" w:type="auto"/>
              <w:tblBorders>
                <w:top w:val="nil"/>
                <w:left w:val="nil"/>
                <w:bottom w:val="nil"/>
                <w:right w:val="nil"/>
              </w:tblBorders>
              <w:tblLayout w:type="fixed"/>
              <w:tblLook w:val="0000" w:firstRow="0" w:lastRow="0" w:firstColumn="0" w:lastColumn="0" w:noHBand="0" w:noVBand="0"/>
            </w:tblPr>
            <w:tblGrid>
              <w:gridCol w:w="1810"/>
            </w:tblGrid>
            <w:tr w:rsidR="00B26022" w14:paraId="7AE6ABBF" w14:textId="77777777">
              <w:trPr>
                <w:trHeight w:val="109"/>
              </w:trPr>
              <w:tc>
                <w:tcPr>
                  <w:tcW w:w="1810" w:type="dxa"/>
                </w:tcPr>
                <w:p w14:paraId="543E73A0" w14:textId="7E57AA6E" w:rsidR="00B26022" w:rsidRDefault="00B26022" w:rsidP="00B26022">
                  <w:pPr>
                    <w:pStyle w:val="Default"/>
                  </w:pPr>
                  <w:r>
                    <w:t xml:space="preserve">Nr.(1.8E) 2T-1159 </w:t>
                  </w:r>
                </w:p>
              </w:tc>
            </w:tr>
          </w:tbl>
          <w:p w14:paraId="7AFC4D33" w14:textId="2D05AEF5" w:rsidR="00B26022" w:rsidRPr="00E8297F" w:rsidRDefault="00B26022" w:rsidP="001E4C63">
            <w:pPr>
              <w:jc w:val="both"/>
              <w:rPr>
                <w:noProof w:val="0"/>
              </w:rPr>
            </w:pPr>
          </w:p>
        </w:tc>
        <w:tc>
          <w:tcPr>
            <w:tcW w:w="9072" w:type="dxa"/>
            <w:shd w:val="clear" w:color="auto" w:fill="auto"/>
          </w:tcPr>
          <w:p w14:paraId="6B61A1B3" w14:textId="77777777" w:rsidR="00B26022" w:rsidRPr="00B26022" w:rsidRDefault="00B26022" w:rsidP="00B26022">
            <w:pPr>
              <w:ind w:right="40"/>
              <w:jc w:val="both"/>
              <w:rPr>
                <w:noProof w:val="0"/>
              </w:rPr>
            </w:pPr>
            <w:r w:rsidRPr="00B26022">
              <w:rPr>
                <w:noProof w:val="0"/>
                <w:color w:val="000000"/>
              </w:rPr>
              <w:t xml:space="preserve">Projekte siūloma </w:t>
            </w:r>
            <w:r w:rsidRPr="00B26022">
              <w:rPr>
                <w:b/>
                <w:bCs/>
                <w:noProof w:val="0"/>
              </w:rPr>
              <w:t>nuo 2020 m. sausio 1 d.</w:t>
            </w:r>
            <w:r w:rsidRPr="00B26022">
              <w:rPr>
                <w:noProof w:val="0"/>
              </w:rPr>
              <w:t xml:space="preserve"> užmokesčio bazinį dydį </w:t>
            </w:r>
            <w:r w:rsidRPr="00B26022">
              <w:rPr>
                <w:b/>
                <w:bCs/>
                <w:noProof w:val="0"/>
              </w:rPr>
              <w:t xml:space="preserve">ženkliai padidinti – 23 proc. </w:t>
            </w:r>
            <w:r w:rsidRPr="00B26022">
              <w:rPr>
                <w:noProof w:val="0"/>
              </w:rPr>
              <w:t xml:space="preserve">nuo 13 </w:t>
            </w:r>
            <w:r w:rsidRPr="00B26022">
              <w:rPr>
                <w:b/>
                <w:bCs/>
                <w:noProof w:val="0"/>
              </w:rPr>
              <w:t>iki</w:t>
            </w:r>
            <w:r w:rsidRPr="00B26022">
              <w:rPr>
                <w:noProof w:val="0"/>
              </w:rPr>
              <w:t xml:space="preserve"> </w:t>
            </w:r>
            <w:r w:rsidRPr="00B26022">
              <w:rPr>
                <w:b/>
                <w:bCs/>
                <w:noProof w:val="0"/>
              </w:rPr>
              <w:t>16</w:t>
            </w:r>
            <w:r w:rsidRPr="00B26022">
              <w:rPr>
                <w:noProof w:val="0"/>
              </w:rPr>
              <w:t xml:space="preserve"> </w:t>
            </w:r>
            <w:r w:rsidRPr="00B26022">
              <w:rPr>
                <w:b/>
                <w:bCs/>
                <w:noProof w:val="0"/>
              </w:rPr>
              <w:t>eurų</w:t>
            </w:r>
            <w:r w:rsidRPr="00B26022">
              <w:rPr>
                <w:noProof w:val="0"/>
              </w:rPr>
              <w:t xml:space="preserve"> ir teikime nurodoma, kad šiam pakeitimui įgyvendinti reikės </w:t>
            </w:r>
            <w:r w:rsidRPr="00B26022">
              <w:rPr>
                <w:b/>
                <w:bCs/>
                <w:noProof w:val="0"/>
              </w:rPr>
              <w:t>nuo 1 100 tūkst. eurų</w:t>
            </w:r>
            <w:r w:rsidRPr="00B26022">
              <w:rPr>
                <w:noProof w:val="0"/>
              </w:rPr>
              <w:t xml:space="preserve"> </w:t>
            </w:r>
            <w:r w:rsidRPr="00B26022">
              <w:rPr>
                <w:b/>
                <w:bCs/>
                <w:noProof w:val="0"/>
              </w:rPr>
              <w:t>iki 1 370 tūkst. eurų</w:t>
            </w:r>
            <w:r w:rsidRPr="00B26022">
              <w:rPr>
                <w:noProof w:val="0"/>
              </w:rPr>
              <w:t xml:space="preserve"> papildomų lėšų (</w:t>
            </w:r>
            <w:r w:rsidRPr="00B26022">
              <w:rPr>
                <w:i/>
                <w:iCs/>
                <w:noProof w:val="0"/>
              </w:rPr>
              <w:t xml:space="preserve">nėra aišku, kokios bus </w:t>
            </w:r>
            <w:proofErr w:type="spellStart"/>
            <w:r w:rsidRPr="00B26022">
              <w:rPr>
                <w:i/>
                <w:iCs/>
                <w:noProof w:val="0"/>
              </w:rPr>
              <w:t>mediacijos</w:t>
            </w:r>
            <w:proofErr w:type="spellEnd"/>
            <w:r w:rsidRPr="00B26022">
              <w:rPr>
                <w:i/>
                <w:iCs/>
                <w:noProof w:val="0"/>
              </w:rPr>
              <w:t xml:space="preserve"> apimtys</w:t>
            </w:r>
            <w:r w:rsidRPr="00B26022">
              <w:rPr>
                <w:noProof w:val="0"/>
              </w:rPr>
              <w:t xml:space="preserve">). Taikant siūlomą 16 eurų užmokesčio bazinį dydį, </w:t>
            </w:r>
            <w:r w:rsidRPr="00B26022">
              <w:rPr>
                <w:b/>
                <w:bCs/>
                <w:noProof w:val="0"/>
              </w:rPr>
              <w:t>advokatų</w:t>
            </w:r>
            <w:r w:rsidRPr="00B26022">
              <w:rPr>
                <w:noProof w:val="0"/>
              </w:rPr>
              <w:t xml:space="preserve">, kurie nuolat teikia teisinę pagalbą, </w:t>
            </w:r>
            <w:r w:rsidRPr="00B26022">
              <w:rPr>
                <w:b/>
                <w:bCs/>
                <w:noProof w:val="0"/>
              </w:rPr>
              <w:t>mėnesinis užmokestis padidėtų 490,8 euro</w:t>
            </w:r>
            <w:r w:rsidRPr="00B26022">
              <w:rPr>
                <w:noProof w:val="0"/>
              </w:rPr>
              <w:t xml:space="preserve"> ir sudarytų 2 617,6 euro.</w:t>
            </w:r>
          </w:p>
          <w:p w14:paraId="1B85484A" w14:textId="77777777" w:rsidR="00B26022" w:rsidRPr="00B26022" w:rsidRDefault="00B26022" w:rsidP="00B26022">
            <w:pPr>
              <w:ind w:right="40"/>
              <w:jc w:val="both"/>
              <w:rPr>
                <w:noProof w:val="0"/>
              </w:rPr>
            </w:pPr>
            <w:r w:rsidRPr="00B26022">
              <w:rPr>
                <w:noProof w:val="0"/>
                <w:color w:val="000000"/>
              </w:rPr>
              <w:t xml:space="preserve">Oficialiosios statistikos portale skelbiama </w:t>
            </w:r>
            <w:r w:rsidRPr="00B26022">
              <w:rPr>
                <w:b/>
                <w:bCs/>
                <w:noProof w:val="0"/>
                <w:color w:val="000000"/>
              </w:rPr>
              <w:t>2018 m. vidutinė metinė infliacija (skaičiuojant nacionalinį vartotojų kainų indeksą) buvo</w:t>
            </w:r>
            <w:r w:rsidRPr="00B26022">
              <w:rPr>
                <w:noProof w:val="0"/>
                <w:color w:val="000000"/>
              </w:rPr>
              <w:t xml:space="preserve"> </w:t>
            </w:r>
            <w:r w:rsidRPr="00B26022">
              <w:rPr>
                <w:b/>
                <w:bCs/>
                <w:noProof w:val="0"/>
                <w:color w:val="000000"/>
              </w:rPr>
              <w:t>2,7 proc.</w:t>
            </w:r>
            <w:r w:rsidRPr="00B26022">
              <w:rPr>
                <w:noProof w:val="0"/>
                <w:color w:val="000000"/>
              </w:rPr>
              <w:t xml:space="preserve"> Lietuvos Respublikos valstybės politikų, teisėjų, valstybės pareigūnų, valstybės tarnautojų, valstybės ir savivaldybių biudžetinių įstaigų darbuotojų pareiginės algos (atlyginimo) bazinio dydžio, taikomo 2020 metais, įstatymo projekte siūloma nustatyti valstybės politikų, teisėjų, valstybės pareigūnų, valstybės tarnautojų, valstybės ir savivaldybių biudžetinių įstaigų darbuotojų pareiginės algos (atlyginimo) bazinį dydį 2020 metais – 176 eurus, t. y. 1,7 proc. didesnį nei 2019 m.</w:t>
            </w:r>
            <w:r w:rsidRPr="00B26022">
              <w:rPr>
                <w:noProof w:val="0"/>
              </w:rPr>
              <w:t xml:space="preserve"> Tad, Projekte siūlomas užmokesčio bazinio dydžio didinimas ženkliai viršija </w:t>
            </w:r>
            <w:r w:rsidRPr="00B26022">
              <w:rPr>
                <w:noProof w:val="0"/>
                <w:color w:val="000000"/>
              </w:rPr>
              <w:t>Lietuvos Respublikos Vyriausybės 2016 m. balandžio 13 d. nutarime Nr. 364</w:t>
            </w:r>
            <w:r w:rsidRPr="00B26022">
              <w:rPr>
                <w:noProof w:val="0"/>
              </w:rPr>
              <w:t xml:space="preserve"> nustatytų kriterijų pokyčių reikšmes.</w:t>
            </w:r>
          </w:p>
          <w:p w14:paraId="633306E3" w14:textId="77777777" w:rsidR="00B26022" w:rsidRPr="00B26022" w:rsidRDefault="00B26022" w:rsidP="00B26022">
            <w:pPr>
              <w:ind w:right="40"/>
              <w:jc w:val="both"/>
              <w:rPr>
                <w:noProof w:val="0"/>
              </w:rPr>
            </w:pPr>
            <w:r w:rsidRPr="00B26022">
              <w:rPr>
                <w:noProof w:val="0"/>
                <w:color w:val="000000"/>
              </w:rPr>
              <w:t xml:space="preserve">Pažymime, kad Teisingumo ministerijos 2019 m. </w:t>
            </w:r>
            <w:proofErr w:type="spellStart"/>
            <w:r w:rsidRPr="00B26022">
              <w:rPr>
                <w:noProof w:val="0"/>
                <w:color w:val="000000"/>
              </w:rPr>
              <w:t>asignavimuose</w:t>
            </w:r>
            <w:proofErr w:type="spellEnd"/>
            <w:r w:rsidRPr="00B26022">
              <w:rPr>
                <w:noProof w:val="0"/>
                <w:color w:val="000000"/>
              </w:rPr>
              <w:t xml:space="preserve"> vykdomai priemonei „Sumokėti užmokestį už antrinės teisinės pagalbos teikimą, koordinavimą ir valstybės užtikrinamą neteisinį taikinamąjį tarpininkavimą (įskaitant advokatų, nuolat teikiančių antrinę valstybės garantuojamą teisinę pagalbą, išlaikymo išlaidas) ir atlyginti kitas antrinės teisinė pagalbos išlaidas“ (toliau – Priemonė) patvirtinta 3 808 tūkst. eurų, papildomai iš Vyriausybės rezervo skirta 450 tūkst. eurų advokatų, teikusių valstybės garantuojamą teisinę pagalbą patirtoms išlaidoms padengti bei šiai priemonei 964 tūkst. eurų perskirstyta iš kitų ministerijos programų ir priemonių. Iš viso 2019 m. Priemonei skirta 5 222 tūkst. eurų. </w:t>
            </w:r>
          </w:p>
          <w:p w14:paraId="379C21A9" w14:textId="77777777" w:rsidR="00B26022" w:rsidRPr="00B26022" w:rsidRDefault="00B26022" w:rsidP="00B26022">
            <w:pPr>
              <w:ind w:right="40"/>
              <w:jc w:val="both"/>
              <w:rPr>
                <w:noProof w:val="0"/>
              </w:rPr>
            </w:pPr>
            <w:r w:rsidRPr="00B26022">
              <w:rPr>
                <w:noProof w:val="0"/>
                <w:color w:val="000000"/>
              </w:rPr>
              <w:t xml:space="preserve">Lietuvos Respublikos 2020 metų valstybės biudžeto ir savivaldybių biudžetų finansinių rodiklių patvirtinimo įstatymo projekte Teisingumo ministerijai numatomi asignavimai 124 859 tūkst. eurų. Palyginti su 2019 m., asignavimų numatoma 29 741 tūkst. eurų arba 31 proc. daugiau, tame tarpe 13 000 tūkst. eurų kreditiniams </w:t>
            </w:r>
            <w:proofErr w:type="spellStart"/>
            <w:r w:rsidRPr="00B26022">
              <w:rPr>
                <w:noProof w:val="0"/>
                <w:color w:val="000000"/>
              </w:rPr>
              <w:t>įsiskolinimams</w:t>
            </w:r>
            <w:proofErr w:type="spellEnd"/>
            <w:r w:rsidRPr="00B26022">
              <w:rPr>
                <w:noProof w:val="0"/>
                <w:color w:val="000000"/>
              </w:rPr>
              <w:t xml:space="preserve"> padengti, iš jų 1 500 tūkst. eurų advokatams, 400 tūkst. eurų </w:t>
            </w:r>
            <w:proofErr w:type="spellStart"/>
            <w:r w:rsidRPr="00B26022">
              <w:rPr>
                <w:noProof w:val="0"/>
                <w:color w:val="000000"/>
              </w:rPr>
              <w:t>Mediacijos</w:t>
            </w:r>
            <w:proofErr w:type="spellEnd"/>
            <w:r w:rsidRPr="00B26022">
              <w:rPr>
                <w:noProof w:val="0"/>
                <w:color w:val="000000"/>
              </w:rPr>
              <w:t xml:space="preserve"> įstatymo pakeitimams įgyvendinti. </w:t>
            </w:r>
            <w:r w:rsidRPr="00B26022">
              <w:rPr>
                <w:b/>
                <w:bCs/>
                <w:noProof w:val="0"/>
                <w:color w:val="000000"/>
              </w:rPr>
              <w:t>Advokatų darbo užmokesčio padidinimui papildomų lėšų nenumatyta</w:t>
            </w:r>
            <w:r w:rsidRPr="00B26022">
              <w:rPr>
                <w:noProof w:val="0"/>
                <w:color w:val="000000"/>
              </w:rPr>
              <w:t>.</w:t>
            </w:r>
          </w:p>
          <w:p w14:paraId="3C2A9138" w14:textId="752F1E24" w:rsidR="00B26022" w:rsidRPr="00E8297F" w:rsidRDefault="00B26022" w:rsidP="00542FA3">
            <w:pPr>
              <w:ind w:right="40"/>
              <w:jc w:val="both"/>
              <w:rPr>
                <w:noProof w:val="0"/>
              </w:rPr>
            </w:pPr>
            <w:r w:rsidRPr="00B26022">
              <w:rPr>
                <w:noProof w:val="0"/>
                <w:color w:val="000000"/>
              </w:rPr>
              <w:t>Atsižvelgdami į lėšų poreikį advokatų užmokesčiui didinti ir į tai, kad Teisingumo ministerijos 2020–2022 m. strateginio veiklos plano projekte Priemonei vykdyti 2020 m. numatyta 5 308 tūkst. eurų, Projektui galėtume pritarti tik po to, kai ministerijos 2020–2022 m. strateginiame veiklos plane iš ministerijai 2020 m. numatomų asignavimų Priemonei vykdyti bus numatytos visos reikalingos lėšos, įskaitant kreditinių įsiskolinimų advokatams padengimą metų pradžioje, „Sausio 13-osios“ bylos išlaidas, padidinto advokatų užmokesčio ir kitų antrinės teisinės pagalbos išlaidų mokėjimą, be papildomo lėšų poreikio iš valstybės biudžeto, Vyriausybės rezervo ar kitų valstybės išteklių ir be kreditinių įsiskolinimų susidarymo metų pabaigoje, t. y. atitinkamai perskirsčius Teisingumo ministerijai numatomas lėšas tarp programų ir/ar priemonių.</w:t>
            </w:r>
          </w:p>
        </w:tc>
        <w:tc>
          <w:tcPr>
            <w:tcW w:w="4677" w:type="dxa"/>
            <w:gridSpan w:val="2"/>
            <w:shd w:val="clear" w:color="auto" w:fill="auto"/>
          </w:tcPr>
          <w:p w14:paraId="04323B78" w14:textId="77777777" w:rsidR="00B26022" w:rsidRDefault="00B26022" w:rsidP="001E4C63">
            <w:pPr>
              <w:pStyle w:val="kopija"/>
              <w:spacing w:before="0" w:beforeAutospacing="0" w:after="0" w:afterAutospacing="0"/>
              <w:ind w:left="34"/>
              <w:jc w:val="both"/>
              <w:rPr>
                <w:b/>
              </w:rPr>
            </w:pPr>
            <w:r>
              <w:rPr>
                <w:b/>
              </w:rPr>
              <w:t>Neatsižvelgta.</w:t>
            </w:r>
          </w:p>
          <w:p w14:paraId="4811D634" w14:textId="14D9868C" w:rsidR="005F08E0" w:rsidRPr="000A66F0" w:rsidRDefault="002C21C4" w:rsidP="00542FA3">
            <w:pPr>
              <w:pStyle w:val="kopija"/>
              <w:spacing w:before="0" w:beforeAutospacing="0" w:after="0" w:afterAutospacing="0"/>
              <w:ind w:left="34"/>
              <w:jc w:val="both"/>
            </w:pPr>
            <w:r>
              <w:t>Nors pakeitimo įgyvendinimui bus reikalingas papildomas lėšų poreikis, užmokesčio bazinio dydžio didinimas yra būtinas</w:t>
            </w:r>
            <w:r w:rsidR="00436871">
              <w:t>,</w:t>
            </w:r>
            <w:r>
              <w:t xml:space="preserve"> siekiant užtikrinti teisinės pagalbos teikimą asmenims, kurie dėl sunkios materialinės padėties ar kitų išskirtinių aplinkybių </w:t>
            </w:r>
            <w:r w:rsidR="00F635FF">
              <w:t xml:space="preserve">savarankiškai </w:t>
            </w:r>
            <w:r>
              <w:t xml:space="preserve">negali pasirūpinti tinkamu teisiniu atstovavimu. </w:t>
            </w:r>
            <w:r w:rsidR="00436871">
              <w:t>Pastebėtina</w:t>
            </w:r>
            <w:r>
              <w:t xml:space="preserve">, kad teisinės pagalbos užtikrinimo poreikis kyla </w:t>
            </w:r>
            <w:r w:rsidR="00542FA3">
              <w:t xml:space="preserve">iš </w:t>
            </w:r>
            <w:r>
              <w:t>tiek</w:t>
            </w:r>
            <w:r w:rsidR="00542FA3">
              <w:t xml:space="preserve"> Europos Žmogaus Teisių Konvencijos 6 straipsnio, </w:t>
            </w:r>
            <w:r>
              <w:t xml:space="preserve"> Lietuvos Respublikos Konstitucijos</w:t>
            </w:r>
            <w:r w:rsidR="00436871">
              <w:t xml:space="preserve"> (31 straipsnis)</w:t>
            </w:r>
            <w:r>
              <w:t>, tiek iš Europos Sąjungos ir tarptautinių teisės aktų</w:t>
            </w:r>
            <w:r w:rsidRPr="00436871">
              <w:t xml:space="preserve">. </w:t>
            </w:r>
            <w:r w:rsidR="00436871" w:rsidRPr="00436871">
              <w:t>2016 m. spalio 26 d. Europos</w:t>
            </w:r>
            <w:r w:rsidR="00436871">
              <w:t xml:space="preserve"> Parlamento ir Tarybos direktyvos</w:t>
            </w:r>
            <w:r w:rsidR="00436871" w:rsidRPr="00436871">
              <w:t xml:space="preserve"> (ES) 2016/1919 dėl teisinės pagalbos įtariamiesiems ir kaltinamiesiems vykstant baudžiamajam procesui ir prašomiems perduoti asmenims vykstant Europos arešto orderio vykdymo procedūroms 7 straipsnyje</w:t>
            </w:r>
            <w:r w:rsidR="00436871">
              <w:t>, be kita ko,</w:t>
            </w:r>
            <w:r w:rsidR="00436871" w:rsidRPr="00436871">
              <w:t xml:space="preserve"> pažymėta, </w:t>
            </w:r>
            <w:r w:rsidR="00436871">
              <w:t>jog</w:t>
            </w:r>
            <w:r w:rsidR="00436871" w:rsidRPr="00436871">
              <w:t xml:space="preserve"> valstybės narės imasi reikiamų priemonių, taip pat susijusių su </w:t>
            </w:r>
            <w:r w:rsidR="00436871" w:rsidRPr="00542FA3">
              <w:rPr>
                <w:u w:val="single"/>
              </w:rPr>
              <w:t>finansavimu</w:t>
            </w:r>
            <w:r w:rsidR="00542FA3">
              <w:t xml:space="preserve">. </w:t>
            </w:r>
            <w:r w:rsidR="00436871">
              <w:t xml:space="preserve">Europos Žmogaus Teisių Teismas ne kartą yra pažymėjęs, kad </w:t>
            </w:r>
            <w:r w:rsidR="00F635FF">
              <w:t xml:space="preserve">valstybės suteikiama teisinė pagalba negali būti tik formali, ji turi būti efektyvi (pvz. </w:t>
            </w:r>
            <w:proofErr w:type="spellStart"/>
            <w:r w:rsidR="00F635FF">
              <w:t>Artico</w:t>
            </w:r>
            <w:proofErr w:type="spellEnd"/>
            <w:r w:rsidR="00F635FF">
              <w:t xml:space="preserve"> prieš Italiją). Pažymėtina, kad teisinės pagalbos efektyvumą sudėtinga užtikrinti, kai teisinės pagalbos teikėjams už tokias paslaugas mokamas užmokestis yra keliolika kartų mažesnis nei rinkos kainų vidurkis. Be to,</w:t>
            </w:r>
            <w:r w:rsidR="00F635FF" w:rsidRPr="000A66F0">
              <w:t xml:space="preserve"> </w:t>
            </w:r>
            <w:r w:rsidR="00F635FF">
              <w:t>a</w:t>
            </w:r>
            <w:r w:rsidR="00B26022" w:rsidRPr="000A66F0">
              <w:t>tkreiptinas dėmesys, kad</w:t>
            </w:r>
            <w:r w:rsidR="00F635FF">
              <w:t xml:space="preserve"> </w:t>
            </w:r>
            <w:r w:rsidR="00B26022" w:rsidRPr="000A66F0">
              <w:t xml:space="preserve">užmokesčio bazinis dydis nebuvo didinamas 2018 m., nors </w:t>
            </w:r>
            <w:r w:rsidR="000A66F0">
              <w:t>2017 </w:t>
            </w:r>
            <w:r w:rsidR="00B26022" w:rsidRPr="000A66F0">
              <w:t xml:space="preserve">m. </w:t>
            </w:r>
            <w:r w:rsidR="000A66F0">
              <w:rPr>
                <w:bCs/>
              </w:rPr>
              <w:t>v</w:t>
            </w:r>
            <w:r w:rsidR="000A66F0" w:rsidRPr="000A66F0">
              <w:rPr>
                <w:bCs/>
              </w:rPr>
              <w:t xml:space="preserve">idutinė </w:t>
            </w:r>
            <w:r w:rsidR="00B26022" w:rsidRPr="00B26022">
              <w:rPr>
                <w:bCs/>
              </w:rPr>
              <w:t xml:space="preserve">metinė infliacija </w:t>
            </w:r>
            <w:r w:rsidR="00B26022" w:rsidRPr="000A66F0">
              <w:rPr>
                <w:bCs/>
              </w:rPr>
              <w:t xml:space="preserve">buvo </w:t>
            </w:r>
            <w:r w:rsidR="00B26022" w:rsidRPr="000A66F0">
              <w:t xml:space="preserve">3,9 proc. Be to, </w:t>
            </w:r>
            <w:r w:rsidR="005F08E0" w:rsidRPr="000A66F0">
              <w:t xml:space="preserve">pažymėtina, kad </w:t>
            </w:r>
            <w:r w:rsidR="000A66F0" w:rsidRPr="000A66F0">
              <w:t xml:space="preserve">2018 m. </w:t>
            </w:r>
            <w:r w:rsidR="000A66F0">
              <w:t>d</w:t>
            </w:r>
            <w:r w:rsidR="000A66F0" w:rsidRPr="000A66F0">
              <w:t xml:space="preserve">idėjo ir vidutinis darbo užmokestis (2018 m. I </w:t>
            </w:r>
            <w:proofErr w:type="spellStart"/>
            <w:r w:rsidR="000A66F0" w:rsidRPr="000A66F0">
              <w:t>ketv</w:t>
            </w:r>
            <w:proofErr w:type="spellEnd"/>
            <w:r w:rsidR="000A66F0" w:rsidRPr="000A66F0">
              <w:t xml:space="preserve">.– 700,2 </w:t>
            </w:r>
            <w:proofErr w:type="spellStart"/>
            <w:r w:rsidR="000A66F0" w:rsidRPr="000A66F0">
              <w:t>Eur</w:t>
            </w:r>
            <w:proofErr w:type="spellEnd"/>
            <w:r w:rsidR="000A66F0" w:rsidRPr="000A66F0">
              <w:t xml:space="preserve"> (</w:t>
            </w:r>
            <w:proofErr w:type="spellStart"/>
            <w:r w:rsidR="000A66F0" w:rsidRPr="000A66F0">
              <w:t>neto</w:t>
            </w:r>
            <w:proofErr w:type="spellEnd"/>
            <w:r w:rsidR="000A66F0" w:rsidRPr="000A66F0">
              <w:t xml:space="preserve">), 2018 m. II </w:t>
            </w:r>
            <w:proofErr w:type="spellStart"/>
            <w:r w:rsidR="000A66F0" w:rsidRPr="000A66F0">
              <w:t>ketv</w:t>
            </w:r>
            <w:proofErr w:type="spellEnd"/>
            <w:r w:rsidR="000A66F0" w:rsidRPr="000A66F0">
              <w:t>.</w:t>
            </w:r>
            <w:r w:rsidR="000A66F0">
              <w:t xml:space="preserve"> – </w:t>
            </w:r>
            <w:r w:rsidR="000A66F0" w:rsidRPr="000A66F0">
              <w:rPr>
                <w:iCs/>
              </w:rPr>
              <w:t>721,8 </w:t>
            </w:r>
            <w:proofErr w:type="spellStart"/>
            <w:r w:rsidR="000A66F0" w:rsidRPr="000A66F0">
              <w:rPr>
                <w:iCs/>
              </w:rPr>
              <w:t>Eur</w:t>
            </w:r>
            <w:proofErr w:type="spellEnd"/>
            <w:r w:rsidR="000A66F0" w:rsidRPr="000A66F0">
              <w:rPr>
                <w:iCs/>
              </w:rPr>
              <w:t xml:space="preserve">, </w:t>
            </w:r>
            <w:r w:rsidR="000A66F0" w:rsidRPr="000A66F0">
              <w:t xml:space="preserve"> 2018 m. III </w:t>
            </w:r>
            <w:proofErr w:type="spellStart"/>
            <w:r w:rsidR="000A66F0" w:rsidRPr="000A66F0">
              <w:t>ketv</w:t>
            </w:r>
            <w:proofErr w:type="spellEnd"/>
            <w:r w:rsidR="000A66F0" w:rsidRPr="000A66F0">
              <w:t>.</w:t>
            </w:r>
            <w:r w:rsidR="000A66F0">
              <w:t xml:space="preserve"> – </w:t>
            </w:r>
            <w:r w:rsidR="000A66F0" w:rsidRPr="000A66F0">
              <w:rPr>
                <w:iCs/>
              </w:rPr>
              <w:t xml:space="preserve">728,0 </w:t>
            </w:r>
            <w:proofErr w:type="spellStart"/>
            <w:r w:rsidR="000A66F0" w:rsidRPr="000A66F0">
              <w:rPr>
                <w:iCs/>
              </w:rPr>
              <w:t>Eur</w:t>
            </w:r>
            <w:proofErr w:type="spellEnd"/>
            <w:r w:rsidR="000A66F0" w:rsidRPr="000A66F0">
              <w:rPr>
                <w:iCs/>
              </w:rPr>
              <w:t xml:space="preserve">, 2018 IV </w:t>
            </w:r>
            <w:proofErr w:type="spellStart"/>
            <w:r w:rsidR="000A66F0" w:rsidRPr="000A66F0">
              <w:rPr>
                <w:iCs/>
              </w:rPr>
              <w:t>ketv</w:t>
            </w:r>
            <w:proofErr w:type="spellEnd"/>
            <w:r w:rsidR="000A66F0" w:rsidRPr="000A66F0">
              <w:rPr>
                <w:iCs/>
              </w:rPr>
              <w:t xml:space="preserve">. – 751,7 </w:t>
            </w:r>
            <w:proofErr w:type="spellStart"/>
            <w:r w:rsidR="000A66F0" w:rsidRPr="000A66F0">
              <w:rPr>
                <w:iCs/>
              </w:rPr>
              <w:t>Eur</w:t>
            </w:r>
            <w:proofErr w:type="spellEnd"/>
            <w:r w:rsidR="000A66F0" w:rsidRPr="000A66F0">
              <w:rPr>
                <w:iCs/>
              </w:rPr>
              <w:t>.).</w:t>
            </w:r>
            <w:r>
              <w:rPr>
                <w:iCs/>
              </w:rPr>
              <w:t xml:space="preserve"> </w:t>
            </w:r>
          </w:p>
        </w:tc>
      </w:tr>
    </w:tbl>
    <w:p w14:paraId="10C73982" w14:textId="162027AA" w:rsidR="00A23448" w:rsidRPr="006B5583" w:rsidRDefault="00A23448" w:rsidP="00B44510">
      <w:pPr>
        <w:jc w:val="both"/>
        <w:rPr>
          <w:noProof w:val="0"/>
          <w:lang w:eastAsia="en-US"/>
        </w:rPr>
      </w:pPr>
    </w:p>
    <w:sectPr w:rsidR="00A23448" w:rsidRPr="006B5583" w:rsidSect="00E8297F">
      <w:headerReference w:type="even" r:id="rId8"/>
      <w:headerReference w:type="default" r:id="rId9"/>
      <w:pgSz w:w="16838" w:h="11906" w:orient="landscape"/>
      <w:pgMar w:top="851" w:right="1134" w:bottom="993" w:left="85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3BC312" w14:textId="77777777" w:rsidR="00253DFC" w:rsidRDefault="00253DFC">
      <w:r>
        <w:separator/>
      </w:r>
    </w:p>
  </w:endnote>
  <w:endnote w:type="continuationSeparator" w:id="0">
    <w:p w14:paraId="36991F6C" w14:textId="77777777" w:rsidR="00253DFC" w:rsidRDefault="00253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HelveticaL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Times Roman">
    <w:altName w:val="Times New Roman"/>
    <w:charset w:val="00"/>
    <w:family w:val="auto"/>
    <w:pitch w:val="default"/>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DDABDA" w14:textId="77777777" w:rsidR="00253DFC" w:rsidRDefault="00253DFC">
      <w:r>
        <w:separator/>
      </w:r>
    </w:p>
  </w:footnote>
  <w:footnote w:type="continuationSeparator" w:id="0">
    <w:p w14:paraId="7A977659" w14:textId="77777777" w:rsidR="00253DFC" w:rsidRDefault="00253D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C42704" w14:textId="77777777" w:rsidR="00D876F5" w:rsidRDefault="00D876F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A19B226" w14:textId="77777777" w:rsidR="00D876F5" w:rsidRDefault="00D876F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A7D1CA" w14:textId="77777777" w:rsidR="00D876F5" w:rsidRDefault="00D876F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B32EA">
      <w:rPr>
        <w:rStyle w:val="Puslapionumeris"/>
      </w:rPr>
      <w:t>5</w:t>
    </w:r>
    <w:r>
      <w:rPr>
        <w:rStyle w:val="Puslapionumeris"/>
      </w:rPr>
      <w:fldChar w:fldCharType="end"/>
    </w:r>
  </w:p>
  <w:p w14:paraId="3227F0CD" w14:textId="77777777" w:rsidR="00D876F5" w:rsidRDefault="00D876F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D2C2188E"/>
    <w:lvl w:ilvl="0">
      <w:numFmt w:val="bullet"/>
      <w:lvlText w:val="*"/>
      <w:lvlJc w:val="left"/>
    </w:lvl>
  </w:abstractNum>
  <w:abstractNum w:abstractNumId="1" w15:restartNumberingAfterBreak="0">
    <w:nsid w:val="03242B9A"/>
    <w:multiLevelType w:val="hybridMultilevel"/>
    <w:tmpl w:val="F21E0D18"/>
    <w:lvl w:ilvl="0" w:tplc="CF8A9F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C07A51"/>
    <w:multiLevelType w:val="hybridMultilevel"/>
    <w:tmpl w:val="A4D283F0"/>
    <w:lvl w:ilvl="0" w:tplc="E4BCBA52">
      <w:start w:val="1"/>
      <w:numFmt w:val="decimal"/>
      <w:lvlText w:val="%1)"/>
      <w:lvlJc w:val="left"/>
      <w:pPr>
        <w:tabs>
          <w:tab w:val="num" w:pos="1637"/>
        </w:tabs>
        <w:ind w:left="1637" w:hanging="360"/>
      </w:pPr>
      <w:rPr>
        <w:rFonts w:hint="default"/>
        <w:b w:val="0"/>
      </w:rPr>
    </w:lvl>
    <w:lvl w:ilvl="1" w:tplc="04270019" w:tentative="1">
      <w:start w:val="1"/>
      <w:numFmt w:val="lowerLetter"/>
      <w:lvlText w:val="%2."/>
      <w:lvlJc w:val="left"/>
      <w:pPr>
        <w:tabs>
          <w:tab w:val="num" w:pos="2357"/>
        </w:tabs>
        <w:ind w:left="2357" w:hanging="360"/>
      </w:pPr>
    </w:lvl>
    <w:lvl w:ilvl="2" w:tplc="0427001B" w:tentative="1">
      <w:start w:val="1"/>
      <w:numFmt w:val="lowerRoman"/>
      <w:lvlText w:val="%3."/>
      <w:lvlJc w:val="right"/>
      <w:pPr>
        <w:tabs>
          <w:tab w:val="num" w:pos="3077"/>
        </w:tabs>
        <w:ind w:left="3077" w:hanging="180"/>
      </w:pPr>
    </w:lvl>
    <w:lvl w:ilvl="3" w:tplc="0427000F" w:tentative="1">
      <w:start w:val="1"/>
      <w:numFmt w:val="decimal"/>
      <w:lvlText w:val="%4."/>
      <w:lvlJc w:val="left"/>
      <w:pPr>
        <w:tabs>
          <w:tab w:val="num" w:pos="3797"/>
        </w:tabs>
        <w:ind w:left="3797" w:hanging="360"/>
      </w:pPr>
    </w:lvl>
    <w:lvl w:ilvl="4" w:tplc="04270019" w:tentative="1">
      <w:start w:val="1"/>
      <w:numFmt w:val="lowerLetter"/>
      <w:lvlText w:val="%5."/>
      <w:lvlJc w:val="left"/>
      <w:pPr>
        <w:tabs>
          <w:tab w:val="num" w:pos="4517"/>
        </w:tabs>
        <w:ind w:left="4517" w:hanging="360"/>
      </w:pPr>
    </w:lvl>
    <w:lvl w:ilvl="5" w:tplc="0427001B" w:tentative="1">
      <w:start w:val="1"/>
      <w:numFmt w:val="lowerRoman"/>
      <w:lvlText w:val="%6."/>
      <w:lvlJc w:val="right"/>
      <w:pPr>
        <w:tabs>
          <w:tab w:val="num" w:pos="5237"/>
        </w:tabs>
        <w:ind w:left="5237" w:hanging="180"/>
      </w:pPr>
    </w:lvl>
    <w:lvl w:ilvl="6" w:tplc="0427000F" w:tentative="1">
      <w:start w:val="1"/>
      <w:numFmt w:val="decimal"/>
      <w:lvlText w:val="%7."/>
      <w:lvlJc w:val="left"/>
      <w:pPr>
        <w:tabs>
          <w:tab w:val="num" w:pos="5957"/>
        </w:tabs>
        <w:ind w:left="5957" w:hanging="360"/>
      </w:pPr>
    </w:lvl>
    <w:lvl w:ilvl="7" w:tplc="04270019" w:tentative="1">
      <w:start w:val="1"/>
      <w:numFmt w:val="lowerLetter"/>
      <w:lvlText w:val="%8."/>
      <w:lvlJc w:val="left"/>
      <w:pPr>
        <w:tabs>
          <w:tab w:val="num" w:pos="6677"/>
        </w:tabs>
        <w:ind w:left="6677" w:hanging="360"/>
      </w:pPr>
    </w:lvl>
    <w:lvl w:ilvl="8" w:tplc="0427001B" w:tentative="1">
      <w:start w:val="1"/>
      <w:numFmt w:val="lowerRoman"/>
      <w:lvlText w:val="%9."/>
      <w:lvlJc w:val="right"/>
      <w:pPr>
        <w:tabs>
          <w:tab w:val="num" w:pos="7397"/>
        </w:tabs>
        <w:ind w:left="7397" w:hanging="180"/>
      </w:pPr>
    </w:lvl>
  </w:abstractNum>
  <w:abstractNum w:abstractNumId="3" w15:restartNumberingAfterBreak="0">
    <w:nsid w:val="0A785CF7"/>
    <w:multiLevelType w:val="hybridMultilevel"/>
    <w:tmpl w:val="A39AD5A0"/>
    <w:lvl w:ilvl="0" w:tplc="D09EDCB2">
      <w:start w:val="1"/>
      <w:numFmt w:val="decimal"/>
      <w:lvlText w:val="%1."/>
      <w:lvlJc w:val="left"/>
      <w:pPr>
        <w:ind w:left="720" w:hanging="360"/>
      </w:pPr>
      <w:rPr>
        <w:sz w:val="20"/>
        <w:szCs w:val="20"/>
      </w:rPr>
    </w:lvl>
    <w:lvl w:ilvl="1" w:tplc="0427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FF384C"/>
    <w:multiLevelType w:val="multilevel"/>
    <w:tmpl w:val="81F4E726"/>
    <w:lvl w:ilvl="0">
      <w:start w:val="1"/>
      <w:numFmt w:val="decimal"/>
      <w:lvlText w:val="%1."/>
      <w:lvlJc w:val="left"/>
      <w:pPr>
        <w:ind w:left="1658"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2018" w:hanging="720"/>
      </w:pPr>
      <w:rPr>
        <w:rFonts w:hint="default"/>
      </w:rPr>
    </w:lvl>
    <w:lvl w:ilvl="3">
      <w:start w:val="1"/>
      <w:numFmt w:val="decimal"/>
      <w:isLgl/>
      <w:lvlText w:val="%1.%2.%3.%4."/>
      <w:lvlJc w:val="left"/>
      <w:pPr>
        <w:ind w:left="2018" w:hanging="720"/>
      </w:pPr>
      <w:rPr>
        <w:rFonts w:hint="default"/>
      </w:rPr>
    </w:lvl>
    <w:lvl w:ilvl="4">
      <w:start w:val="1"/>
      <w:numFmt w:val="decimal"/>
      <w:isLgl/>
      <w:lvlText w:val="%1.%2.%3.%4.%5."/>
      <w:lvlJc w:val="left"/>
      <w:pPr>
        <w:ind w:left="2378" w:hanging="1080"/>
      </w:pPr>
      <w:rPr>
        <w:rFonts w:hint="default"/>
      </w:rPr>
    </w:lvl>
    <w:lvl w:ilvl="5">
      <w:start w:val="1"/>
      <w:numFmt w:val="decimal"/>
      <w:isLgl/>
      <w:lvlText w:val="%1.%2.%3.%4.%5.%6."/>
      <w:lvlJc w:val="left"/>
      <w:pPr>
        <w:ind w:left="2378" w:hanging="1080"/>
      </w:pPr>
      <w:rPr>
        <w:rFonts w:hint="default"/>
      </w:rPr>
    </w:lvl>
    <w:lvl w:ilvl="6">
      <w:start w:val="1"/>
      <w:numFmt w:val="decimal"/>
      <w:isLgl/>
      <w:lvlText w:val="%1.%2.%3.%4.%5.%6.%7."/>
      <w:lvlJc w:val="left"/>
      <w:pPr>
        <w:ind w:left="2738" w:hanging="1440"/>
      </w:pPr>
      <w:rPr>
        <w:rFonts w:hint="default"/>
      </w:rPr>
    </w:lvl>
    <w:lvl w:ilvl="7">
      <w:start w:val="1"/>
      <w:numFmt w:val="decimal"/>
      <w:isLgl/>
      <w:lvlText w:val="%1.%2.%3.%4.%5.%6.%7.%8."/>
      <w:lvlJc w:val="left"/>
      <w:pPr>
        <w:ind w:left="2738" w:hanging="1440"/>
      </w:pPr>
      <w:rPr>
        <w:rFonts w:hint="default"/>
      </w:rPr>
    </w:lvl>
    <w:lvl w:ilvl="8">
      <w:start w:val="1"/>
      <w:numFmt w:val="decimal"/>
      <w:isLgl/>
      <w:lvlText w:val="%1.%2.%3.%4.%5.%6.%7.%8.%9."/>
      <w:lvlJc w:val="left"/>
      <w:pPr>
        <w:ind w:left="3098" w:hanging="1800"/>
      </w:pPr>
      <w:rPr>
        <w:rFonts w:hint="default"/>
      </w:rPr>
    </w:lvl>
  </w:abstractNum>
  <w:abstractNum w:abstractNumId="5" w15:restartNumberingAfterBreak="0">
    <w:nsid w:val="12172A25"/>
    <w:multiLevelType w:val="hybridMultilevel"/>
    <w:tmpl w:val="02DCFE56"/>
    <w:lvl w:ilvl="0" w:tplc="F3A6E54C">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46054D6"/>
    <w:multiLevelType w:val="hybridMultilevel"/>
    <w:tmpl w:val="AE28A102"/>
    <w:lvl w:ilvl="0" w:tplc="402C45C2">
      <w:start w:val="1"/>
      <w:numFmt w:val="decimal"/>
      <w:lvlText w:val="%1."/>
      <w:lvlJc w:val="left"/>
      <w:pPr>
        <w:ind w:left="360" w:hanging="360"/>
      </w:pPr>
      <w:rPr>
        <w:rFonts w:ascii="Times New Roman" w:eastAsia="Times New Roman" w:hAnsi="Times New Roman" w:cs="Times New Roman"/>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9587DDB"/>
    <w:multiLevelType w:val="hybridMultilevel"/>
    <w:tmpl w:val="02DCFE56"/>
    <w:lvl w:ilvl="0" w:tplc="F3A6E54C">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AF31967"/>
    <w:multiLevelType w:val="hybridMultilevel"/>
    <w:tmpl w:val="B09265F0"/>
    <w:lvl w:ilvl="0" w:tplc="199E22C6">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CB4689F"/>
    <w:multiLevelType w:val="hybridMultilevel"/>
    <w:tmpl w:val="A238B534"/>
    <w:lvl w:ilvl="0" w:tplc="0427000F">
      <w:start w:val="1"/>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0" w15:restartNumberingAfterBreak="0">
    <w:nsid w:val="1D4C1416"/>
    <w:multiLevelType w:val="hybridMultilevel"/>
    <w:tmpl w:val="E5E2CB0C"/>
    <w:lvl w:ilvl="0" w:tplc="5A1EC4FE">
      <w:start w:val="1"/>
      <w:numFmt w:val="decimal"/>
      <w:lvlText w:val="%1."/>
      <w:lvlJc w:val="left"/>
      <w:pPr>
        <w:ind w:left="1363" w:hanging="360"/>
      </w:pPr>
      <w:rPr>
        <w:rFonts w:hint="default"/>
      </w:rPr>
    </w:lvl>
    <w:lvl w:ilvl="1" w:tplc="04270019" w:tentative="1">
      <w:start w:val="1"/>
      <w:numFmt w:val="lowerLetter"/>
      <w:lvlText w:val="%2."/>
      <w:lvlJc w:val="left"/>
      <w:pPr>
        <w:ind w:left="2083" w:hanging="360"/>
      </w:pPr>
    </w:lvl>
    <w:lvl w:ilvl="2" w:tplc="0427001B" w:tentative="1">
      <w:start w:val="1"/>
      <w:numFmt w:val="lowerRoman"/>
      <w:lvlText w:val="%3."/>
      <w:lvlJc w:val="right"/>
      <w:pPr>
        <w:ind w:left="2803" w:hanging="180"/>
      </w:pPr>
    </w:lvl>
    <w:lvl w:ilvl="3" w:tplc="0427000F" w:tentative="1">
      <w:start w:val="1"/>
      <w:numFmt w:val="decimal"/>
      <w:lvlText w:val="%4."/>
      <w:lvlJc w:val="left"/>
      <w:pPr>
        <w:ind w:left="3523" w:hanging="360"/>
      </w:pPr>
    </w:lvl>
    <w:lvl w:ilvl="4" w:tplc="04270019" w:tentative="1">
      <w:start w:val="1"/>
      <w:numFmt w:val="lowerLetter"/>
      <w:lvlText w:val="%5."/>
      <w:lvlJc w:val="left"/>
      <w:pPr>
        <w:ind w:left="4243" w:hanging="360"/>
      </w:pPr>
    </w:lvl>
    <w:lvl w:ilvl="5" w:tplc="0427001B" w:tentative="1">
      <w:start w:val="1"/>
      <w:numFmt w:val="lowerRoman"/>
      <w:lvlText w:val="%6."/>
      <w:lvlJc w:val="right"/>
      <w:pPr>
        <w:ind w:left="4963" w:hanging="180"/>
      </w:pPr>
    </w:lvl>
    <w:lvl w:ilvl="6" w:tplc="0427000F" w:tentative="1">
      <w:start w:val="1"/>
      <w:numFmt w:val="decimal"/>
      <w:lvlText w:val="%7."/>
      <w:lvlJc w:val="left"/>
      <w:pPr>
        <w:ind w:left="5683" w:hanging="360"/>
      </w:pPr>
    </w:lvl>
    <w:lvl w:ilvl="7" w:tplc="04270019" w:tentative="1">
      <w:start w:val="1"/>
      <w:numFmt w:val="lowerLetter"/>
      <w:lvlText w:val="%8."/>
      <w:lvlJc w:val="left"/>
      <w:pPr>
        <w:ind w:left="6403" w:hanging="360"/>
      </w:pPr>
    </w:lvl>
    <w:lvl w:ilvl="8" w:tplc="0427001B" w:tentative="1">
      <w:start w:val="1"/>
      <w:numFmt w:val="lowerRoman"/>
      <w:lvlText w:val="%9."/>
      <w:lvlJc w:val="right"/>
      <w:pPr>
        <w:ind w:left="7123" w:hanging="180"/>
      </w:pPr>
    </w:lvl>
  </w:abstractNum>
  <w:abstractNum w:abstractNumId="11" w15:restartNumberingAfterBreak="0">
    <w:nsid w:val="288C33CE"/>
    <w:multiLevelType w:val="hybridMultilevel"/>
    <w:tmpl w:val="C5BEB37C"/>
    <w:lvl w:ilvl="0" w:tplc="17CE9638">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951403C"/>
    <w:multiLevelType w:val="hybridMultilevel"/>
    <w:tmpl w:val="55C262A0"/>
    <w:lvl w:ilvl="0" w:tplc="41D4B358">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AA47F49"/>
    <w:multiLevelType w:val="hybridMultilevel"/>
    <w:tmpl w:val="D75CA2FC"/>
    <w:lvl w:ilvl="0" w:tplc="6A2A3A0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34415175"/>
    <w:multiLevelType w:val="hybridMultilevel"/>
    <w:tmpl w:val="71F6895A"/>
    <w:lvl w:ilvl="0" w:tplc="D79863D6">
      <w:start w:val="1"/>
      <w:numFmt w:val="decimal"/>
      <w:lvlText w:val="%1."/>
      <w:lvlJc w:val="left"/>
      <w:pPr>
        <w:tabs>
          <w:tab w:val="num" w:pos="2179"/>
        </w:tabs>
        <w:ind w:left="2179" w:hanging="1215"/>
      </w:pPr>
      <w:rPr>
        <w:rFonts w:hint="default"/>
      </w:rPr>
    </w:lvl>
    <w:lvl w:ilvl="1" w:tplc="04270019" w:tentative="1">
      <w:start w:val="1"/>
      <w:numFmt w:val="lowerLetter"/>
      <w:lvlText w:val="%2."/>
      <w:lvlJc w:val="left"/>
      <w:pPr>
        <w:tabs>
          <w:tab w:val="num" w:pos="2044"/>
        </w:tabs>
        <w:ind w:left="2044" w:hanging="360"/>
      </w:pPr>
    </w:lvl>
    <w:lvl w:ilvl="2" w:tplc="0427001B" w:tentative="1">
      <w:start w:val="1"/>
      <w:numFmt w:val="lowerRoman"/>
      <w:lvlText w:val="%3."/>
      <w:lvlJc w:val="right"/>
      <w:pPr>
        <w:tabs>
          <w:tab w:val="num" w:pos="2764"/>
        </w:tabs>
        <w:ind w:left="2764" w:hanging="180"/>
      </w:pPr>
    </w:lvl>
    <w:lvl w:ilvl="3" w:tplc="0427000F" w:tentative="1">
      <w:start w:val="1"/>
      <w:numFmt w:val="decimal"/>
      <w:lvlText w:val="%4."/>
      <w:lvlJc w:val="left"/>
      <w:pPr>
        <w:tabs>
          <w:tab w:val="num" w:pos="3484"/>
        </w:tabs>
        <w:ind w:left="3484" w:hanging="360"/>
      </w:pPr>
    </w:lvl>
    <w:lvl w:ilvl="4" w:tplc="04270019" w:tentative="1">
      <w:start w:val="1"/>
      <w:numFmt w:val="lowerLetter"/>
      <w:lvlText w:val="%5."/>
      <w:lvlJc w:val="left"/>
      <w:pPr>
        <w:tabs>
          <w:tab w:val="num" w:pos="4204"/>
        </w:tabs>
        <w:ind w:left="4204" w:hanging="360"/>
      </w:pPr>
    </w:lvl>
    <w:lvl w:ilvl="5" w:tplc="0427001B" w:tentative="1">
      <w:start w:val="1"/>
      <w:numFmt w:val="lowerRoman"/>
      <w:lvlText w:val="%6."/>
      <w:lvlJc w:val="right"/>
      <w:pPr>
        <w:tabs>
          <w:tab w:val="num" w:pos="4924"/>
        </w:tabs>
        <w:ind w:left="4924" w:hanging="180"/>
      </w:pPr>
    </w:lvl>
    <w:lvl w:ilvl="6" w:tplc="0427000F" w:tentative="1">
      <w:start w:val="1"/>
      <w:numFmt w:val="decimal"/>
      <w:lvlText w:val="%7."/>
      <w:lvlJc w:val="left"/>
      <w:pPr>
        <w:tabs>
          <w:tab w:val="num" w:pos="5644"/>
        </w:tabs>
        <w:ind w:left="5644" w:hanging="360"/>
      </w:pPr>
    </w:lvl>
    <w:lvl w:ilvl="7" w:tplc="04270019" w:tentative="1">
      <w:start w:val="1"/>
      <w:numFmt w:val="lowerLetter"/>
      <w:lvlText w:val="%8."/>
      <w:lvlJc w:val="left"/>
      <w:pPr>
        <w:tabs>
          <w:tab w:val="num" w:pos="6364"/>
        </w:tabs>
        <w:ind w:left="6364" w:hanging="360"/>
      </w:pPr>
    </w:lvl>
    <w:lvl w:ilvl="8" w:tplc="0427001B" w:tentative="1">
      <w:start w:val="1"/>
      <w:numFmt w:val="lowerRoman"/>
      <w:lvlText w:val="%9."/>
      <w:lvlJc w:val="right"/>
      <w:pPr>
        <w:tabs>
          <w:tab w:val="num" w:pos="7084"/>
        </w:tabs>
        <w:ind w:left="7084" w:hanging="180"/>
      </w:pPr>
    </w:lvl>
  </w:abstractNum>
  <w:abstractNum w:abstractNumId="15" w15:restartNumberingAfterBreak="0">
    <w:nsid w:val="34B67884"/>
    <w:multiLevelType w:val="hybridMultilevel"/>
    <w:tmpl w:val="3F0ABA5C"/>
    <w:lvl w:ilvl="0" w:tplc="EA986CA8">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6076A63"/>
    <w:multiLevelType w:val="hybridMultilevel"/>
    <w:tmpl w:val="B6AC8AF2"/>
    <w:lvl w:ilvl="0" w:tplc="FF96E226">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6383EB6"/>
    <w:multiLevelType w:val="hybridMultilevel"/>
    <w:tmpl w:val="5830A9CC"/>
    <w:lvl w:ilvl="0" w:tplc="71C05474">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6B86EA0"/>
    <w:multiLevelType w:val="hybridMultilevel"/>
    <w:tmpl w:val="ED9C07AE"/>
    <w:lvl w:ilvl="0" w:tplc="0427000F">
      <w:start w:val="1"/>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9" w15:restartNumberingAfterBreak="0">
    <w:nsid w:val="3FF30B29"/>
    <w:multiLevelType w:val="hybridMultilevel"/>
    <w:tmpl w:val="E5D80D1E"/>
    <w:lvl w:ilvl="0" w:tplc="B19AFB72">
      <w:start w:val="1"/>
      <w:numFmt w:val="decimal"/>
      <w:lvlText w:val="%1."/>
      <w:lvlJc w:val="left"/>
      <w:pPr>
        <w:tabs>
          <w:tab w:val="num" w:pos="1759"/>
        </w:tabs>
        <w:ind w:left="1759" w:hanging="105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20" w15:restartNumberingAfterBreak="0">
    <w:nsid w:val="423F2C58"/>
    <w:multiLevelType w:val="multilevel"/>
    <w:tmpl w:val="C472C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642D2C"/>
    <w:multiLevelType w:val="singleLevel"/>
    <w:tmpl w:val="6DACEA64"/>
    <w:lvl w:ilvl="0">
      <w:start w:val="1"/>
      <w:numFmt w:val="decimal"/>
      <w:lvlText w:val="%1."/>
      <w:legacy w:legacy="1" w:legacySpace="0" w:legacyIndent="244"/>
      <w:lvlJc w:val="left"/>
      <w:rPr>
        <w:rFonts w:ascii="Times New Roman" w:hAnsi="Times New Roman" w:cs="Times New Roman" w:hint="default"/>
      </w:rPr>
    </w:lvl>
  </w:abstractNum>
  <w:abstractNum w:abstractNumId="22" w15:restartNumberingAfterBreak="0">
    <w:nsid w:val="460B5C31"/>
    <w:multiLevelType w:val="hybridMultilevel"/>
    <w:tmpl w:val="FF921488"/>
    <w:lvl w:ilvl="0" w:tplc="0427000F">
      <w:start w:val="1"/>
      <w:numFmt w:val="decimal"/>
      <w:lvlText w:val="%1."/>
      <w:lvlJc w:val="left"/>
      <w:pPr>
        <w:tabs>
          <w:tab w:val="num" w:pos="840"/>
        </w:tabs>
        <w:ind w:left="84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15:restartNumberingAfterBreak="0">
    <w:nsid w:val="471B0B2C"/>
    <w:multiLevelType w:val="hybridMultilevel"/>
    <w:tmpl w:val="BC2686BE"/>
    <w:lvl w:ilvl="0" w:tplc="AE64CCA4">
      <w:start w:val="1"/>
      <w:numFmt w:val="decimal"/>
      <w:lvlText w:val="%1."/>
      <w:lvlJc w:val="left"/>
      <w:pPr>
        <w:tabs>
          <w:tab w:val="num" w:pos="2179"/>
        </w:tabs>
        <w:ind w:left="2179" w:hanging="1215"/>
      </w:pPr>
      <w:rPr>
        <w:rFonts w:hint="default"/>
        <w:i w:val="0"/>
      </w:rPr>
    </w:lvl>
    <w:lvl w:ilvl="1" w:tplc="04270019" w:tentative="1">
      <w:start w:val="1"/>
      <w:numFmt w:val="lowerLetter"/>
      <w:lvlText w:val="%2."/>
      <w:lvlJc w:val="left"/>
      <w:pPr>
        <w:tabs>
          <w:tab w:val="num" w:pos="2044"/>
        </w:tabs>
        <w:ind w:left="2044" w:hanging="360"/>
      </w:pPr>
    </w:lvl>
    <w:lvl w:ilvl="2" w:tplc="0427001B" w:tentative="1">
      <w:start w:val="1"/>
      <w:numFmt w:val="lowerRoman"/>
      <w:lvlText w:val="%3."/>
      <w:lvlJc w:val="right"/>
      <w:pPr>
        <w:tabs>
          <w:tab w:val="num" w:pos="2764"/>
        </w:tabs>
        <w:ind w:left="2764" w:hanging="180"/>
      </w:pPr>
    </w:lvl>
    <w:lvl w:ilvl="3" w:tplc="0427000F" w:tentative="1">
      <w:start w:val="1"/>
      <w:numFmt w:val="decimal"/>
      <w:lvlText w:val="%4."/>
      <w:lvlJc w:val="left"/>
      <w:pPr>
        <w:tabs>
          <w:tab w:val="num" w:pos="3484"/>
        </w:tabs>
        <w:ind w:left="3484" w:hanging="360"/>
      </w:pPr>
    </w:lvl>
    <w:lvl w:ilvl="4" w:tplc="04270019" w:tentative="1">
      <w:start w:val="1"/>
      <w:numFmt w:val="lowerLetter"/>
      <w:lvlText w:val="%5."/>
      <w:lvlJc w:val="left"/>
      <w:pPr>
        <w:tabs>
          <w:tab w:val="num" w:pos="4204"/>
        </w:tabs>
        <w:ind w:left="4204" w:hanging="360"/>
      </w:pPr>
    </w:lvl>
    <w:lvl w:ilvl="5" w:tplc="0427001B" w:tentative="1">
      <w:start w:val="1"/>
      <w:numFmt w:val="lowerRoman"/>
      <w:lvlText w:val="%6."/>
      <w:lvlJc w:val="right"/>
      <w:pPr>
        <w:tabs>
          <w:tab w:val="num" w:pos="4924"/>
        </w:tabs>
        <w:ind w:left="4924" w:hanging="180"/>
      </w:pPr>
    </w:lvl>
    <w:lvl w:ilvl="6" w:tplc="0427000F" w:tentative="1">
      <w:start w:val="1"/>
      <w:numFmt w:val="decimal"/>
      <w:lvlText w:val="%7."/>
      <w:lvlJc w:val="left"/>
      <w:pPr>
        <w:tabs>
          <w:tab w:val="num" w:pos="5644"/>
        </w:tabs>
        <w:ind w:left="5644" w:hanging="360"/>
      </w:pPr>
    </w:lvl>
    <w:lvl w:ilvl="7" w:tplc="04270019" w:tentative="1">
      <w:start w:val="1"/>
      <w:numFmt w:val="lowerLetter"/>
      <w:lvlText w:val="%8."/>
      <w:lvlJc w:val="left"/>
      <w:pPr>
        <w:tabs>
          <w:tab w:val="num" w:pos="6364"/>
        </w:tabs>
        <w:ind w:left="6364" w:hanging="360"/>
      </w:pPr>
    </w:lvl>
    <w:lvl w:ilvl="8" w:tplc="0427001B" w:tentative="1">
      <w:start w:val="1"/>
      <w:numFmt w:val="lowerRoman"/>
      <w:lvlText w:val="%9."/>
      <w:lvlJc w:val="right"/>
      <w:pPr>
        <w:tabs>
          <w:tab w:val="num" w:pos="7084"/>
        </w:tabs>
        <w:ind w:left="7084" w:hanging="180"/>
      </w:pPr>
    </w:lvl>
  </w:abstractNum>
  <w:abstractNum w:abstractNumId="24" w15:restartNumberingAfterBreak="0">
    <w:nsid w:val="47AD064B"/>
    <w:multiLevelType w:val="hybridMultilevel"/>
    <w:tmpl w:val="DB84D5FC"/>
    <w:lvl w:ilvl="0" w:tplc="B87A9690">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B3C13B3"/>
    <w:multiLevelType w:val="hybridMultilevel"/>
    <w:tmpl w:val="521C7BE0"/>
    <w:lvl w:ilvl="0" w:tplc="E1840FAC">
      <w:start w:val="1"/>
      <w:numFmt w:val="decimal"/>
      <w:lvlText w:val="%1."/>
      <w:lvlJc w:val="left"/>
      <w:pPr>
        <w:ind w:left="360" w:hanging="360"/>
      </w:pPr>
      <w:rPr>
        <w:rFonts w:hint="default"/>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6" w15:restartNumberingAfterBreak="0">
    <w:nsid w:val="4C9B2D34"/>
    <w:multiLevelType w:val="hybridMultilevel"/>
    <w:tmpl w:val="F21E0D18"/>
    <w:lvl w:ilvl="0" w:tplc="CF8A9F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E4A3E90"/>
    <w:multiLevelType w:val="hybridMultilevel"/>
    <w:tmpl w:val="74101A08"/>
    <w:lvl w:ilvl="0" w:tplc="46DCD10C">
      <w:start w:val="47"/>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48A061C"/>
    <w:multiLevelType w:val="multilevel"/>
    <w:tmpl w:val="0F58E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A508F7"/>
    <w:multiLevelType w:val="hybridMultilevel"/>
    <w:tmpl w:val="A4D283F0"/>
    <w:lvl w:ilvl="0" w:tplc="E4BCBA52">
      <w:start w:val="1"/>
      <w:numFmt w:val="decimal"/>
      <w:lvlText w:val="%1)"/>
      <w:lvlJc w:val="left"/>
      <w:pPr>
        <w:tabs>
          <w:tab w:val="num" w:pos="1637"/>
        </w:tabs>
        <w:ind w:left="1637" w:hanging="360"/>
      </w:pPr>
      <w:rPr>
        <w:rFonts w:hint="default"/>
        <w:b w:val="0"/>
      </w:rPr>
    </w:lvl>
    <w:lvl w:ilvl="1" w:tplc="04270019" w:tentative="1">
      <w:start w:val="1"/>
      <w:numFmt w:val="lowerLetter"/>
      <w:lvlText w:val="%2."/>
      <w:lvlJc w:val="left"/>
      <w:pPr>
        <w:tabs>
          <w:tab w:val="num" w:pos="2357"/>
        </w:tabs>
        <w:ind w:left="2357" w:hanging="360"/>
      </w:pPr>
    </w:lvl>
    <w:lvl w:ilvl="2" w:tplc="0427001B" w:tentative="1">
      <w:start w:val="1"/>
      <w:numFmt w:val="lowerRoman"/>
      <w:lvlText w:val="%3."/>
      <w:lvlJc w:val="right"/>
      <w:pPr>
        <w:tabs>
          <w:tab w:val="num" w:pos="3077"/>
        </w:tabs>
        <w:ind w:left="3077" w:hanging="180"/>
      </w:pPr>
    </w:lvl>
    <w:lvl w:ilvl="3" w:tplc="0427000F" w:tentative="1">
      <w:start w:val="1"/>
      <w:numFmt w:val="decimal"/>
      <w:lvlText w:val="%4."/>
      <w:lvlJc w:val="left"/>
      <w:pPr>
        <w:tabs>
          <w:tab w:val="num" w:pos="3797"/>
        </w:tabs>
        <w:ind w:left="3797" w:hanging="360"/>
      </w:pPr>
    </w:lvl>
    <w:lvl w:ilvl="4" w:tplc="04270019" w:tentative="1">
      <w:start w:val="1"/>
      <w:numFmt w:val="lowerLetter"/>
      <w:lvlText w:val="%5."/>
      <w:lvlJc w:val="left"/>
      <w:pPr>
        <w:tabs>
          <w:tab w:val="num" w:pos="4517"/>
        </w:tabs>
        <w:ind w:left="4517" w:hanging="360"/>
      </w:pPr>
    </w:lvl>
    <w:lvl w:ilvl="5" w:tplc="0427001B" w:tentative="1">
      <w:start w:val="1"/>
      <w:numFmt w:val="lowerRoman"/>
      <w:lvlText w:val="%6."/>
      <w:lvlJc w:val="right"/>
      <w:pPr>
        <w:tabs>
          <w:tab w:val="num" w:pos="5237"/>
        </w:tabs>
        <w:ind w:left="5237" w:hanging="180"/>
      </w:pPr>
    </w:lvl>
    <w:lvl w:ilvl="6" w:tplc="0427000F" w:tentative="1">
      <w:start w:val="1"/>
      <w:numFmt w:val="decimal"/>
      <w:lvlText w:val="%7."/>
      <w:lvlJc w:val="left"/>
      <w:pPr>
        <w:tabs>
          <w:tab w:val="num" w:pos="5957"/>
        </w:tabs>
        <w:ind w:left="5957" w:hanging="360"/>
      </w:pPr>
    </w:lvl>
    <w:lvl w:ilvl="7" w:tplc="04270019" w:tentative="1">
      <w:start w:val="1"/>
      <w:numFmt w:val="lowerLetter"/>
      <w:lvlText w:val="%8."/>
      <w:lvlJc w:val="left"/>
      <w:pPr>
        <w:tabs>
          <w:tab w:val="num" w:pos="6677"/>
        </w:tabs>
        <w:ind w:left="6677" w:hanging="360"/>
      </w:pPr>
    </w:lvl>
    <w:lvl w:ilvl="8" w:tplc="0427001B" w:tentative="1">
      <w:start w:val="1"/>
      <w:numFmt w:val="lowerRoman"/>
      <w:lvlText w:val="%9."/>
      <w:lvlJc w:val="right"/>
      <w:pPr>
        <w:tabs>
          <w:tab w:val="num" w:pos="7397"/>
        </w:tabs>
        <w:ind w:left="7397" w:hanging="180"/>
      </w:pPr>
    </w:lvl>
  </w:abstractNum>
  <w:abstractNum w:abstractNumId="30" w15:restartNumberingAfterBreak="0">
    <w:nsid w:val="5AA700F0"/>
    <w:multiLevelType w:val="hybridMultilevel"/>
    <w:tmpl w:val="8B6AF2C0"/>
    <w:lvl w:ilvl="0" w:tplc="AC48D51E">
      <w:start w:val="1"/>
      <w:numFmt w:val="decimal"/>
      <w:lvlText w:val="%1."/>
      <w:lvlJc w:val="left"/>
      <w:pPr>
        <w:tabs>
          <w:tab w:val="num" w:pos="2254"/>
        </w:tabs>
        <w:ind w:left="2254" w:hanging="1290"/>
      </w:pPr>
      <w:rPr>
        <w:rFonts w:hint="default"/>
      </w:rPr>
    </w:lvl>
    <w:lvl w:ilvl="1" w:tplc="04270019" w:tentative="1">
      <w:start w:val="1"/>
      <w:numFmt w:val="lowerLetter"/>
      <w:lvlText w:val="%2."/>
      <w:lvlJc w:val="left"/>
      <w:pPr>
        <w:tabs>
          <w:tab w:val="num" w:pos="2044"/>
        </w:tabs>
        <w:ind w:left="2044" w:hanging="360"/>
      </w:pPr>
    </w:lvl>
    <w:lvl w:ilvl="2" w:tplc="0427001B" w:tentative="1">
      <w:start w:val="1"/>
      <w:numFmt w:val="lowerRoman"/>
      <w:lvlText w:val="%3."/>
      <w:lvlJc w:val="right"/>
      <w:pPr>
        <w:tabs>
          <w:tab w:val="num" w:pos="2764"/>
        </w:tabs>
        <w:ind w:left="2764" w:hanging="180"/>
      </w:pPr>
    </w:lvl>
    <w:lvl w:ilvl="3" w:tplc="0427000F" w:tentative="1">
      <w:start w:val="1"/>
      <w:numFmt w:val="decimal"/>
      <w:lvlText w:val="%4."/>
      <w:lvlJc w:val="left"/>
      <w:pPr>
        <w:tabs>
          <w:tab w:val="num" w:pos="3484"/>
        </w:tabs>
        <w:ind w:left="3484" w:hanging="360"/>
      </w:pPr>
    </w:lvl>
    <w:lvl w:ilvl="4" w:tplc="04270019" w:tentative="1">
      <w:start w:val="1"/>
      <w:numFmt w:val="lowerLetter"/>
      <w:lvlText w:val="%5."/>
      <w:lvlJc w:val="left"/>
      <w:pPr>
        <w:tabs>
          <w:tab w:val="num" w:pos="4204"/>
        </w:tabs>
        <w:ind w:left="4204" w:hanging="360"/>
      </w:pPr>
    </w:lvl>
    <w:lvl w:ilvl="5" w:tplc="0427001B" w:tentative="1">
      <w:start w:val="1"/>
      <w:numFmt w:val="lowerRoman"/>
      <w:lvlText w:val="%6."/>
      <w:lvlJc w:val="right"/>
      <w:pPr>
        <w:tabs>
          <w:tab w:val="num" w:pos="4924"/>
        </w:tabs>
        <w:ind w:left="4924" w:hanging="180"/>
      </w:pPr>
    </w:lvl>
    <w:lvl w:ilvl="6" w:tplc="0427000F" w:tentative="1">
      <w:start w:val="1"/>
      <w:numFmt w:val="decimal"/>
      <w:lvlText w:val="%7."/>
      <w:lvlJc w:val="left"/>
      <w:pPr>
        <w:tabs>
          <w:tab w:val="num" w:pos="5644"/>
        </w:tabs>
        <w:ind w:left="5644" w:hanging="360"/>
      </w:pPr>
    </w:lvl>
    <w:lvl w:ilvl="7" w:tplc="04270019" w:tentative="1">
      <w:start w:val="1"/>
      <w:numFmt w:val="lowerLetter"/>
      <w:lvlText w:val="%8."/>
      <w:lvlJc w:val="left"/>
      <w:pPr>
        <w:tabs>
          <w:tab w:val="num" w:pos="6364"/>
        </w:tabs>
        <w:ind w:left="6364" w:hanging="360"/>
      </w:pPr>
    </w:lvl>
    <w:lvl w:ilvl="8" w:tplc="0427001B" w:tentative="1">
      <w:start w:val="1"/>
      <w:numFmt w:val="lowerRoman"/>
      <w:lvlText w:val="%9."/>
      <w:lvlJc w:val="right"/>
      <w:pPr>
        <w:tabs>
          <w:tab w:val="num" w:pos="7084"/>
        </w:tabs>
        <w:ind w:left="7084" w:hanging="180"/>
      </w:pPr>
    </w:lvl>
  </w:abstractNum>
  <w:abstractNum w:abstractNumId="31" w15:restartNumberingAfterBreak="0">
    <w:nsid w:val="5BA92E62"/>
    <w:multiLevelType w:val="singleLevel"/>
    <w:tmpl w:val="3364E6D2"/>
    <w:lvl w:ilvl="0">
      <w:start w:val="5"/>
      <w:numFmt w:val="decimal"/>
      <w:lvlText w:val="%1."/>
      <w:legacy w:legacy="1" w:legacySpace="0" w:legacyIndent="238"/>
      <w:lvlJc w:val="left"/>
      <w:rPr>
        <w:rFonts w:ascii="Times New Roman" w:hAnsi="Times New Roman" w:cs="Times New Roman" w:hint="default"/>
      </w:rPr>
    </w:lvl>
  </w:abstractNum>
  <w:abstractNum w:abstractNumId="32" w15:restartNumberingAfterBreak="0">
    <w:nsid w:val="5E801CD9"/>
    <w:multiLevelType w:val="hybridMultilevel"/>
    <w:tmpl w:val="72E66D94"/>
    <w:lvl w:ilvl="0" w:tplc="C13A4242">
      <w:start w:val="1"/>
      <w:numFmt w:val="upperRoman"/>
      <w:lvlText w:val="%1."/>
      <w:lvlJc w:val="left"/>
      <w:pPr>
        <w:ind w:left="3697" w:hanging="720"/>
      </w:pPr>
      <w:rPr>
        <w:rFonts w:hint="default"/>
      </w:rPr>
    </w:lvl>
    <w:lvl w:ilvl="1" w:tplc="04270019" w:tentative="1">
      <w:start w:val="1"/>
      <w:numFmt w:val="lowerLetter"/>
      <w:lvlText w:val="%2."/>
      <w:lvlJc w:val="left"/>
      <w:pPr>
        <w:ind w:left="4057" w:hanging="360"/>
      </w:pPr>
    </w:lvl>
    <w:lvl w:ilvl="2" w:tplc="0427001B" w:tentative="1">
      <w:start w:val="1"/>
      <w:numFmt w:val="lowerRoman"/>
      <w:lvlText w:val="%3."/>
      <w:lvlJc w:val="right"/>
      <w:pPr>
        <w:ind w:left="4777" w:hanging="180"/>
      </w:pPr>
    </w:lvl>
    <w:lvl w:ilvl="3" w:tplc="0427000F" w:tentative="1">
      <w:start w:val="1"/>
      <w:numFmt w:val="decimal"/>
      <w:lvlText w:val="%4."/>
      <w:lvlJc w:val="left"/>
      <w:pPr>
        <w:ind w:left="5497" w:hanging="360"/>
      </w:pPr>
    </w:lvl>
    <w:lvl w:ilvl="4" w:tplc="04270019" w:tentative="1">
      <w:start w:val="1"/>
      <w:numFmt w:val="lowerLetter"/>
      <w:lvlText w:val="%5."/>
      <w:lvlJc w:val="left"/>
      <w:pPr>
        <w:ind w:left="6217" w:hanging="360"/>
      </w:pPr>
    </w:lvl>
    <w:lvl w:ilvl="5" w:tplc="0427001B" w:tentative="1">
      <w:start w:val="1"/>
      <w:numFmt w:val="lowerRoman"/>
      <w:lvlText w:val="%6."/>
      <w:lvlJc w:val="right"/>
      <w:pPr>
        <w:ind w:left="6937" w:hanging="180"/>
      </w:pPr>
    </w:lvl>
    <w:lvl w:ilvl="6" w:tplc="0427000F" w:tentative="1">
      <w:start w:val="1"/>
      <w:numFmt w:val="decimal"/>
      <w:lvlText w:val="%7."/>
      <w:lvlJc w:val="left"/>
      <w:pPr>
        <w:ind w:left="7657" w:hanging="360"/>
      </w:pPr>
    </w:lvl>
    <w:lvl w:ilvl="7" w:tplc="04270019" w:tentative="1">
      <w:start w:val="1"/>
      <w:numFmt w:val="lowerLetter"/>
      <w:lvlText w:val="%8."/>
      <w:lvlJc w:val="left"/>
      <w:pPr>
        <w:ind w:left="8377" w:hanging="360"/>
      </w:pPr>
    </w:lvl>
    <w:lvl w:ilvl="8" w:tplc="0427001B" w:tentative="1">
      <w:start w:val="1"/>
      <w:numFmt w:val="lowerRoman"/>
      <w:lvlText w:val="%9."/>
      <w:lvlJc w:val="right"/>
      <w:pPr>
        <w:ind w:left="9097" w:hanging="180"/>
      </w:pPr>
    </w:lvl>
  </w:abstractNum>
  <w:abstractNum w:abstractNumId="33" w15:restartNumberingAfterBreak="0">
    <w:nsid w:val="5FCA1D10"/>
    <w:multiLevelType w:val="multilevel"/>
    <w:tmpl w:val="306AC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C54233"/>
    <w:multiLevelType w:val="singleLevel"/>
    <w:tmpl w:val="AE8E16BE"/>
    <w:lvl w:ilvl="0">
      <w:start w:val="1"/>
      <w:numFmt w:val="decimal"/>
      <w:lvlText w:val="%1."/>
      <w:legacy w:legacy="1" w:legacySpace="0" w:legacyIndent="360"/>
      <w:lvlJc w:val="left"/>
      <w:rPr>
        <w:rFonts w:ascii="Times New Roman" w:hAnsi="Times New Roman" w:cs="Times New Roman" w:hint="default"/>
      </w:rPr>
    </w:lvl>
  </w:abstractNum>
  <w:abstractNum w:abstractNumId="35" w15:restartNumberingAfterBreak="0">
    <w:nsid w:val="62080827"/>
    <w:multiLevelType w:val="hybridMultilevel"/>
    <w:tmpl w:val="5830A9CC"/>
    <w:lvl w:ilvl="0" w:tplc="71C05474">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2A9472D"/>
    <w:multiLevelType w:val="hybridMultilevel"/>
    <w:tmpl w:val="7AE633F2"/>
    <w:lvl w:ilvl="0" w:tplc="2146C794">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5802A5B"/>
    <w:multiLevelType w:val="singleLevel"/>
    <w:tmpl w:val="34F023C8"/>
    <w:lvl w:ilvl="0">
      <w:start w:val="1"/>
      <w:numFmt w:val="decimal"/>
      <w:lvlText w:val="%1."/>
      <w:legacy w:legacy="1" w:legacySpace="0" w:legacyIndent="287"/>
      <w:lvlJc w:val="left"/>
      <w:rPr>
        <w:rFonts w:ascii="Times New Roman" w:hAnsi="Times New Roman" w:cs="Times New Roman" w:hint="default"/>
      </w:rPr>
    </w:lvl>
  </w:abstractNum>
  <w:abstractNum w:abstractNumId="38" w15:restartNumberingAfterBreak="0">
    <w:nsid w:val="667A25DF"/>
    <w:multiLevelType w:val="hybridMultilevel"/>
    <w:tmpl w:val="0900BA16"/>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9" w15:restartNumberingAfterBreak="0">
    <w:nsid w:val="66EE123E"/>
    <w:multiLevelType w:val="singleLevel"/>
    <w:tmpl w:val="EC4A8088"/>
    <w:lvl w:ilvl="0">
      <w:start w:val="2"/>
      <w:numFmt w:val="decimal"/>
      <w:lvlText w:val="2.%1."/>
      <w:legacy w:legacy="1" w:legacySpace="0" w:legacyIndent="490"/>
      <w:lvlJc w:val="left"/>
      <w:rPr>
        <w:rFonts w:ascii="Times New Roman" w:hAnsi="Times New Roman" w:cs="Times New Roman" w:hint="default"/>
      </w:rPr>
    </w:lvl>
  </w:abstractNum>
  <w:abstractNum w:abstractNumId="40" w15:restartNumberingAfterBreak="0">
    <w:nsid w:val="683165BD"/>
    <w:multiLevelType w:val="singleLevel"/>
    <w:tmpl w:val="9DA2B596"/>
    <w:lvl w:ilvl="0">
      <w:start w:val="1"/>
      <w:numFmt w:val="decimal"/>
      <w:lvlText w:val="%1."/>
      <w:legacy w:legacy="1" w:legacySpace="0" w:legacyIndent="295"/>
      <w:lvlJc w:val="left"/>
      <w:rPr>
        <w:rFonts w:ascii="Times New Roman" w:hAnsi="Times New Roman" w:cs="Times New Roman" w:hint="default"/>
      </w:rPr>
    </w:lvl>
  </w:abstractNum>
  <w:abstractNum w:abstractNumId="41" w15:restartNumberingAfterBreak="0">
    <w:nsid w:val="68D15E2E"/>
    <w:multiLevelType w:val="singleLevel"/>
    <w:tmpl w:val="CBC0022C"/>
    <w:lvl w:ilvl="0">
      <w:start w:val="1"/>
      <w:numFmt w:val="decimal"/>
      <w:lvlText w:val="%1."/>
      <w:legacy w:legacy="1" w:legacySpace="0" w:legacyIndent="259"/>
      <w:lvlJc w:val="left"/>
      <w:rPr>
        <w:rFonts w:ascii="Times New Roman" w:hAnsi="Times New Roman" w:cs="Times New Roman" w:hint="default"/>
      </w:rPr>
    </w:lvl>
  </w:abstractNum>
  <w:abstractNum w:abstractNumId="42" w15:restartNumberingAfterBreak="0">
    <w:nsid w:val="696461AA"/>
    <w:multiLevelType w:val="hybridMultilevel"/>
    <w:tmpl w:val="F21E0D18"/>
    <w:lvl w:ilvl="0" w:tplc="CF8A9F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2C011C0"/>
    <w:multiLevelType w:val="hybridMultilevel"/>
    <w:tmpl w:val="F21E0D18"/>
    <w:lvl w:ilvl="0" w:tplc="CF8A9F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7F073F9"/>
    <w:multiLevelType w:val="singleLevel"/>
    <w:tmpl w:val="C9101EF4"/>
    <w:lvl w:ilvl="0">
      <w:start w:val="1"/>
      <w:numFmt w:val="decimal"/>
      <w:lvlText w:val="1.%1."/>
      <w:legacy w:legacy="1" w:legacySpace="0" w:legacyIndent="504"/>
      <w:lvlJc w:val="left"/>
      <w:rPr>
        <w:rFonts w:ascii="Times New Roman" w:hAnsi="Times New Roman" w:cs="Times New Roman" w:hint="default"/>
      </w:rPr>
    </w:lvl>
  </w:abstractNum>
  <w:abstractNum w:abstractNumId="45" w15:restartNumberingAfterBreak="0">
    <w:nsid w:val="79CC5B87"/>
    <w:multiLevelType w:val="singleLevel"/>
    <w:tmpl w:val="1A4ACFC2"/>
    <w:lvl w:ilvl="0">
      <w:start w:val="5"/>
      <w:numFmt w:val="decimal"/>
      <w:lvlText w:val="%1,"/>
      <w:legacy w:legacy="1" w:legacySpace="0" w:legacyIndent="330"/>
      <w:lvlJc w:val="left"/>
      <w:rPr>
        <w:rFonts w:ascii="Times New Roman" w:hAnsi="Times New Roman" w:cs="Times New Roman" w:hint="default"/>
      </w:rPr>
    </w:lvl>
  </w:abstractNum>
  <w:abstractNum w:abstractNumId="46" w15:restartNumberingAfterBreak="0">
    <w:nsid w:val="7F9A0402"/>
    <w:multiLevelType w:val="multilevel"/>
    <w:tmpl w:val="F62A4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start w:val="65535"/>
        <w:numFmt w:val="bullet"/>
        <w:lvlText w:val="•"/>
        <w:legacy w:legacy="1" w:legacySpace="0" w:legacyIndent="367"/>
        <w:lvlJc w:val="left"/>
        <w:rPr>
          <w:rFonts w:ascii="Times New Roman" w:hAnsi="Times New Roman" w:cs="Times New Roman" w:hint="default"/>
        </w:rPr>
      </w:lvl>
    </w:lvlOverride>
  </w:num>
  <w:num w:numId="2">
    <w:abstractNumId w:val="27"/>
  </w:num>
  <w:num w:numId="3">
    <w:abstractNumId w:val="22"/>
  </w:num>
  <w:num w:numId="4">
    <w:abstractNumId w:val="44"/>
  </w:num>
  <w:num w:numId="5">
    <w:abstractNumId w:val="39"/>
  </w:num>
  <w:num w:numId="6">
    <w:abstractNumId w:val="21"/>
  </w:num>
  <w:num w:numId="7">
    <w:abstractNumId w:val="41"/>
  </w:num>
  <w:num w:numId="8">
    <w:abstractNumId w:val="37"/>
  </w:num>
  <w:num w:numId="9">
    <w:abstractNumId w:val="45"/>
  </w:num>
  <w:num w:numId="10">
    <w:abstractNumId w:val="40"/>
  </w:num>
  <w:num w:numId="11">
    <w:abstractNumId w:val="31"/>
  </w:num>
  <w:num w:numId="12">
    <w:abstractNumId w:val="34"/>
  </w:num>
  <w:num w:numId="13">
    <w:abstractNumId w:val="13"/>
  </w:num>
  <w:num w:numId="14">
    <w:abstractNumId w:val="19"/>
  </w:num>
  <w:num w:numId="15">
    <w:abstractNumId w:val="10"/>
  </w:num>
  <w:num w:numId="16">
    <w:abstractNumId w:val="14"/>
  </w:num>
  <w:num w:numId="17">
    <w:abstractNumId w:val="23"/>
  </w:num>
  <w:num w:numId="18">
    <w:abstractNumId w:val="30"/>
  </w:num>
  <w:num w:numId="19">
    <w:abstractNumId w:val="4"/>
  </w:num>
  <w:num w:numId="20">
    <w:abstractNumId w:val="12"/>
  </w:num>
  <w:num w:numId="21">
    <w:abstractNumId w:val="2"/>
  </w:num>
  <w:num w:numId="22">
    <w:abstractNumId w:val="5"/>
  </w:num>
  <w:num w:numId="23">
    <w:abstractNumId w:val="17"/>
  </w:num>
  <w:num w:numId="24">
    <w:abstractNumId w:val="8"/>
  </w:num>
  <w:num w:numId="25">
    <w:abstractNumId w:val="24"/>
  </w:num>
  <w:num w:numId="26">
    <w:abstractNumId w:val="11"/>
  </w:num>
  <w:num w:numId="27">
    <w:abstractNumId w:val="26"/>
  </w:num>
  <w:num w:numId="28">
    <w:abstractNumId w:val="38"/>
  </w:num>
  <w:num w:numId="29">
    <w:abstractNumId w:val="42"/>
  </w:num>
  <w:num w:numId="30">
    <w:abstractNumId w:val="43"/>
  </w:num>
  <w:num w:numId="31">
    <w:abstractNumId w:val="1"/>
  </w:num>
  <w:num w:numId="32">
    <w:abstractNumId w:val="7"/>
  </w:num>
  <w:num w:numId="33">
    <w:abstractNumId w:val="35"/>
  </w:num>
  <w:num w:numId="34">
    <w:abstractNumId w:val="29"/>
  </w:num>
  <w:num w:numId="35">
    <w:abstractNumId w:val="6"/>
  </w:num>
  <w:num w:numId="36">
    <w:abstractNumId w:val="25"/>
  </w:num>
  <w:num w:numId="37">
    <w:abstractNumId w:val="15"/>
  </w:num>
  <w:num w:numId="38">
    <w:abstractNumId w:val="16"/>
  </w:num>
  <w:num w:numId="39">
    <w:abstractNumId w:val="36"/>
  </w:num>
  <w:num w:numId="40">
    <w:abstractNumId w:val="9"/>
  </w:num>
  <w:num w:numId="41">
    <w:abstractNumId w:val="18"/>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
  </w:num>
  <w:num w:numId="44">
    <w:abstractNumId w:val="32"/>
  </w:num>
  <w:num w:numId="45">
    <w:abstractNumId w:val="20"/>
  </w:num>
  <w:num w:numId="46">
    <w:abstractNumId w:val="28"/>
  </w:num>
  <w:num w:numId="47">
    <w:abstractNumId w:val="33"/>
  </w:num>
  <w:num w:numId="48">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6A5"/>
    <w:rsid w:val="000000A8"/>
    <w:rsid w:val="0000025E"/>
    <w:rsid w:val="0000069E"/>
    <w:rsid w:val="00000BD5"/>
    <w:rsid w:val="00001620"/>
    <w:rsid w:val="0000356D"/>
    <w:rsid w:val="00003DCA"/>
    <w:rsid w:val="00006999"/>
    <w:rsid w:val="00007003"/>
    <w:rsid w:val="00007495"/>
    <w:rsid w:val="00007DA5"/>
    <w:rsid w:val="00010BF1"/>
    <w:rsid w:val="000118DD"/>
    <w:rsid w:val="000136A5"/>
    <w:rsid w:val="00014189"/>
    <w:rsid w:val="00014190"/>
    <w:rsid w:val="000144B5"/>
    <w:rsid w:val="000147C5"/>
    <w:rsid w:val="00016CC9"/>
    <w:rsid w:val="00017F15"/>
    <w:rsid w:val="00020A7D"/>
    <w:rsid w:val="00022FDB"/>
    <w:rsid w:val="000246FB"/>
    <w:rsid w:val="0002607B"/>
    <w:rsid w:val="00026F41"/>
    <w:rsid w:val="00027FBB"/>
    <w:rsid w:val="00030FA2"/>
    <w:rsid w:val="0003103F"/>
    <w:rsid w:val="00033CAB"/>
    <w:rsid w:val="00033D2E"/>
    <w:rsid w:val="00034242"/>
    <w:rsid w:val="0003521C"/>
    <w:rsid w:val="00036485"/>
    <w:rsid w:val="00037161"/>
    <w:rsid w:val="00037B3F"/>
    <w:rsid w:val="00040ABE"/>
    <w:rsid w:val="00042F8D"/>
    <w:rsid w:val="000431F3"/>
    <w:rsid w:val="00044269"/>
    <w:rsid w:val="00045582"/>
    <w:rsid w:val="00045851"/>
    <w:rsid w:val="0004600B"/>
    <w:rsid w:val="0004796D"/>
    <w:rsid w:val="00051BF3"/>
    <w:rsid w:val="00052E90"/>
    <w:rsid w:val="00053554"/>
    <w:rsid w:val="000535FB"/>
    <w:rsid w:val="000563A8"/>
    <w:rsid w:val="00057247"/>
    <w:rsid w:val="0005745B"/>
    <w:rsid w:val="0005784A"/>
    <w:rsid w:val="00060049"/>
    <w:rsid w:val="00060D0E"/>
    <w:rsid w:val="00060F3E"/>
    <w:rsid w:val="000623B3"/>
    <w:rsid w:val="00062B6B"/>
    <w:rsid w:val="00062F49"/>
    <w:rsid w:val="000631EC"/>
    <w:rsid w:val="00065090"/>
    <w:rsid w:val="00065670"/>
    <w:rsid w:val="000656A5"/>
    <w:rsid w:val="000659D9"/>
    <w:rsid w:val="00065EE2"/>
    <w:rsid w:val="00066DAE"/>
    <w:rsid w:val="0006767D"/>
    <w:rsid w:val="00071428"/>
    <w:rsid w:val="00072FE3"/>
    <w:rsid w:val="0007613B"/>
    <w:rsid w:val="00076C11"/>
    <w:rsid w:val="00077097"/>
    <w:rsid w:val="00083BCE"/>
    <w:rsid w:val="000848CC"/>
    <w:rsid w:val="0008520A"/>
    <w:rsid w:val="0008583F"/>
    <w:rsid w:val="0008585D"/>
    <w:rsid w:val="00087049"/>
    <w:rsid w:val="000875D6"/>
    <w:rsid w:val="00091105"/>
    <w:rsid w:val="00091148"/>
    <w:rsid w:val="00091B6E"/>
    <w:rsid w:val="00092170"/>
    <w:rsid w:val="00094CC3"/>
    <w:rsid w:val="00094D22"/>
    <w:rsid w:val="000952C3"/>
    <w:rsid w:val="00095AC0"/>
    <w:rsid w:val="000A034F"/>
    <w:rsid w:val="000A18CE"/>
    <w:rsid w:val="000A4797"/>
    <w:rsid w:val="000A4A1A"/>
    <w:rsid w:val="000A66F0"/>
    <w:rsid w:val="000B0949"/>
    <w:rsid w:val="000B2487"/>
    <w:rsid w:val="000B40EA"/>
    <w:rsid w:val="000B4B34"/>
    <w:rsid w:val="000B5386"/>
    <w:rsid w:val="000B711A"/>
    <w:rsid w:val="000B71BF"/>
    <w:rsid w:val="000B7712"/>
    <w:rsid w:val="000C0730"/>
    <w:rsid w:val="000C1474"/>
    <w:rsid w:val="000C2D65"/>
    <w:rsid w:val="000C2DD1"/>
    <w:rsid w:val="000C34E2"/>
    <w:rsid w:val="000C5E31"/>
    <w:rsid w:val="000C6192"/>
    <w:rsid w:val="000C65CE"/>
    <w:rsid w:val="000C783D"/>
    <w:rsid w:val="000D0335"/>
    <w:rsid w:val="000D03A8"/>
    <w:rsid w:val="000D1D9D"/>
    <w:rsid w:val="000D795A"/>
    <w:rsid w:val="000E1E56"/>
    <w:rsid w:val="000E2694"/>
    <w:rsid w:val="000E4CE8"/>
    <w:rsid w:val="000E5128"/>
    <w:rsid w:val="000E5774"/>
    <w:rsid w:val="000E58B4"/>
    <w:rsid w:val="000E59C0"/>
    <w:rsid w:val="000E6FF7"/>
    <w:rsid w:val="000E76AB"/>
    <w:rsid w:val="000F0001"/>
    <w:rsid w:val="000F2FE9"/>
    <w:rsid w:val="000F4F9C"/>
    <w:rsid w:val="001005C8"/>
    <w:rsid w:val="001013B6"/>
    <w:rsid w:val="00101503"/>
    <w:rsid w:val="001016B3"/>
    <w:rsid w:val="00101BF2"/>
    <w:rsid w:val="00102592"/>
    <w:rsid w:val="00102F78"/>
    <w:rsid w:val="0010572B"/>
    <w:rsid w:val="00105D92"/>
    <w:rsid w:val="0010672A"/>
    <w:rsid w:val="00107690"/>
    <w:rsid w:val="001077BB"/>
    <w:rsid w:val="0011017C"/>
    <w:rsid w:val="00112520"/>
    <w:rsid w:val="00112D74"/>
    <w:rsid w:val="0011321E"/>
    <w:rsid w:val="00113799"/>
    <w:rsid w:val="00113E74"/>
    <w:rsid w:val="0011439F"/>
    <w:rsid w:val="00114BA5"/>
    <w:rsid w:val="00116E2A"/>
    <w:rsid w:val="00117EAE"/>
    <w:rsid w:val="00120274"/>
    <w:rsid w:val="001247A0"/>
    <w:rsid w:val="00124812"/>
    <w:rsid w:val="001248BF"/>
    <w:rsid w:val="00127914"/>
    <w:rsid w:val="00130F26"/>
    <w:rsid w:val="00131F09"/>
    <w:rsid w:val="00135139"/>
    <w:rsid w:val="0013577E"/>
    <w:rsid w:val="0014078B"/>
    <w:rsid w:val="0014295D"/>
    <w:rsid w:val="00142C48"/>
    <w:rsid w:val="00144F0F"/>
    <w:rsid w:val="001452E5"/>
    <w:rsid w:val="001524DC"/>
    <w:rsid w:val="00153628"/>
    <w:rsid w:val="001537F1"/>
    <w:rsid w:val="00153A06"/>
    <w:rsid w:val="0015423C"/>
    <w:rsid w:val="00155450"/>
    <w:rsid w:val="001562E3"/>
    <w:rsid w:val="00157152"/>
    <w:rsid w:val="00161D5F"/>
    <w:rsid w:val="00163BE9"/>
    <w:rsid w:val="00166B6A"/>
    <w:rsid w:val="00167CC2"/>
    <w:rsid w:val="001704D0"/>
    <w:rsid w:val="0017488E"/>
    <w:rsid w:val="001776F0"/>
    <w:rsid w:val="00182669"/>
    <w:rsid w:val="001831EC"/>
    <w:rsid w:val="00183E86"/>
    <w:rsid w:val="00184C86"/>
    <w:rsid w:val="00191215"/>
    <w:rsid w:val="0019171D"/>
    <w:rsid w:val="00192C12"/>
    <w:rsid w:val="00194327"/>
    <w:rsid w:val="001950D8"/>
    <w:rsid w:val="001A0282"/>
    <w:rsid w:val="001A1AAA"/>
    <w:rsid w:val="001A3937"/>
    <w:rsid w:val="001A3A0B"/>
    <w:rsid w:val="001A3AA4"/>
    <w:rsid w:val="001A5C37"/>
    <w:rsid w:val="001B00B4"/>
    <w:rsid w:val="001B122F"/>
    <w:rsid w:val="001B235D"/>
    <w:rsid w:val="001B5CDA"/>
    <w:rsid w:val="001B6BAE"/>
    <w:rsid w:val="001C1228"/>
    <w:rsid w:val="001C2497"/>
    <w:rsid w:val="001C26E5"/>
    <w:rsid w:val="001C313B"/>
    <w:rsid w:val="001C40C8"/>
    <w:rsid w:val="001C5D08"/>
    <w:rsid w:val="001C682F"/>
    <w:rsid w:val="001D02A4"/>
    <w:rsid w:val="001D1901"/>
    <w:rsid w:val="001D1B33"/>
    <w:rsid w:val="001D5876"/>
    <w:rsid w:val="001D6E56"/>
    <w:rsid w:val="001E04AA"/>
    <w:rsid w:val="001E1DCA"/>
    <w:rsid w:val="001E4C63"/>
    <w:rsid w:val="001E79BC"/>
    <w:rsid w:val="001E7B97"/>
    <w:rsid w:val="001F0F1E"/>
    <w:rsid w:val="001F1331"/>
    <w:rsid w:val="001F1AE8"/>
    <w:rsid w:val="001F3BE6"/>
    <w:rsid w:val="001F43B7"/>
    <w:rsid w:val="001F4561"/>
    <w:rsid w:val="001F5799"/>
    <w:rsid w:val="001F7059"/>
    <w:rsid w:val="00200262"/>
    <w:rsid w:val="00200883"/>
    <w:rsid w:val="00202236"/>
    <w:rsid w:val="00202EA2"/>
    <w:rsid w:val="00204193"/>
    <w:rsid w:val="00204A4A"/>
    <w:rsid w:val="00204B74"/>
    <w:rsid w:val="00205752"/>
    <w:rsid w:val="0020703D"/>
    <w:rsid w:val="0021005C"/>
    <w:rsid w:val="00213390"/>
    <w:rsid w:val="00214303"/>
    <w:rsid w:val="002159C7"/>
    <w:rsid w:val="00215ED0"/>
    <w:rsid w:val="00215EFA"/>
    <w:rsid w:val="002161A1"/>
    <w:rsid w:val="00216AA6"/>
    <w:rsid w:val="00217C30"/>
    <w:rsid w:val="00217D2A"/>
    <w:rsid w:val="00221F22"/>
    <w:rsid w:val="00224B00"/>
    <w:rsid w:val="00225BAE"/>
    <w:rsid w:val="00226542"/>
    <w:rsid w:val="00227979"/>
    <w:rsid w:val="00231B96"/>
    <w:rsid w:val="00232518"/>
    <w:rsid w:val="002329CC"/>
    <w:rsid w:val="00234224"/>
    <w:rsid w:val="002352DA"/>
    <w:rsid w:val="00236497"/>
    <w:rsid w:val="002365F1"/>
    <w:rsid w:val="002370D6"/>
    <w:rsid w:val="0024108E"/>
    <w:rsid w:val="00245D19"/>
    <w:rsid w:val="00246823"/>
    <w:rsid w:val="00246A3D"/>
    <w:rsid w:val="002474F6"/>
    <w:rsid w:val="0025288A"/>
    <w:rsid w:val="00253DFC"/>
    <w:rsid w:val="00254394"/>
    <w:rsid w:val="0025520A"/>
    <w:rsid w:val="00255372"/>
    <w:rsid w:val="002560C1"/>
    <w:rsid w:val="0025611F"/>
    <w:rsid w:val="00257893"/>
    <w:rsid w:val="00260100"/>
    <w:rsid w:val="0026045A"/>
    <w:rsid w:val="002622C0"/>
    <w:rsid w:val="00262D46"/>
    <w:rsid w:val="002632DC"/>
    <w:rsid w:val="00263C13"/>
    <w:rsid w:val="00263D06"/>
    <w:rsid w:val="00266321"/>
    <w:rsid w:val="00267826"/>
    <w:rsid w:val="0027157C"/>
    <w:rsid w:val="002718C5"/>
    <w:rsid w:val="00271D37"/>
    <w:rsid w:val="00272AEB"/>
    <w:rsid w:val="00276FB1"/>
    <w:rsid w:val="00277C47"/>
    <w:rsid w:val="00277F58"/>
    <w:rsid w:val="0028095C"/>
    <w:rsid w:val="00282E03"/>
    <w:rsid w:val="00286348"/>
    <w:rsid w:val="00286B0F"/>
    <w:rsid w:val="00287669"/>
    <w:rsid w:val="00287770"/>
    <w:rsid w:val="00290969"/>
    <w:rsid w:val="00297764"/>
    <w:rsid w:val="0029793F"/>
    <w:rsid w:val="00297E8A"/>
    <w:rsid w:val="002A0074"/>
    <w:rsid w:val="002A057D"/>
    <w:rsid w:val="002A1865"/>
    <w:rsid w:val="002A2125"/>
    <w:rsid w:val="002A26C4"/>
    <w:rsid w:val="002A571C"/>
    <w:rsid w:val="002B0A67"/>
    <w:rsid w:val="002B131E"/>
    <w:rsid w:val="002B25DA"/>
    <w:rsid w:val="002B26CC"/>
    <w:rsid w:val="002B40B8"/>
    <w:rsid w:val="002B4549"/>
    <w:rsid w:val="002B514B"/>
    <w:rsid w:val="002C0C62"/>
    <w:rsid w:val="002C1CA0"/>
    <w:rsid w:val="002C21C4"/>
    <w:rsid w:val="002C2E29"/>
    <w:rsid w:val="002C3EEE"/>
    <w:rsid w:val="002C4C32"/>
    <w:rsid w:val="002C6331"/>
    <w:rsid w:val="002C6F4B"/>
    <w:rsid w:val="002C759D"/>
    <w:rsid w:val="002C7FDF"/>
    <w:rsid w:val="002D1AC5"/>
    <w:rsid w:val="002D1B58"/>
    <w:rsid w:val="002D356B"/>
    <w:rsid w:val="002D3F6D"/>
    <w:rsid w:val="002D4F3E"/>
    <w:rsid w:val="002D566F"/>
    <w:rsid w:val="002D7B82"/>
    <w:rsid w:val="002E3925"/>
    <w:rsid w:val="002E48EA"/>
    <w:rsid w:val="002E5320"/>
    <w:rsid w:val="002E6BFA"/>
    <w:rsid w:val="002E6EC4"/>
    <w:rsid w:val="002F1F9C"/>
    <w:rsid w:val="002F2847"/>
    <w:rsid w:val="002F2DF8"/>
    <w:rsid w:val="002F2E65"/>
    <w:rsid w:val="002F3693"/>
    <w:rsid w:val="002F4DD3"/>
    <w:rsid w:val="002F5F24"/>
    <w:rsid w:val="002F60D1"/>
    <w:rsid w:val="002F6EF0"/>
    <w:rsid w:val="003015D1"/>
    <w:rsid w:val="003015E8"/>
    <w:rsid w:val="00302021"/>
    <w:rsid w:val="003047EC"/>
    <w:rsid w:val="003066DB"/>
    <w:rsid w:val="00311358"/>
    <w:rsid w:val="00312A35"/>
    <w:rsid w:val="00313D1A"/>
    <w:rsid w:val="00315186"/>
    <w:rsid w:val="00317DD5"/>
    <w:rsid w:val="00320057"/>
    <w:rsid w:val="00320C77"/>
    <w:rsid w:val="0032521F"/>
    <w:rsid w:val="00325DCD"/>
    <w:rsid w:val="00326501"/>
    <w:rsid w:val="00330CF1"/>
    <w:rsid w:val="00331DBB"/>
    <w:rsid w:val="00333541"/>
    <w:rsid w:val="00334E46"/>
    <w:rsid w:val="00335117"/>
    <w:rsid w:val="0033683B"/>
    <w:rsid w:val="00337612"/>
    <w:rsid w:val="00337950"/>
    <w:rsid w:val="00337BCC"/>
    <w:rsid w:val="00342A9F"/>
    <w:rsid w:val="003451BA"/>
    <w:rsid w:val="00346F03"/>
    <w:rsid w:val="00347480"/>
    <w:rsid w:val="00352C51"/>
    <w:rsid w:val="00353787"/>
    <w:rsid w:val="00357A97"/>
    <w:rsid w:val="00360741"/>
    <w:rsid w:val="00363A34"/>
    <w:rsid w:val="003662F5"/>
    <w:rsid w:val="00370847"/>
    <w:rsid w:val="00371004"/>
    <w:rsid w:val="003721A0"/>
    <w:rsid w:val="00373BE8"/>
    <w:rsid w:val="0037466C"/>
    <w:rsid w:val="003746C2"/>
    <w:rsid w:val="00375C3E"/>
    <w:rsid w:val="00376579"/>
    <w:rsid w:val="0037661B"/>
    <w:rsid w:val="003776A3"/>
    <w:rsid w:val="003809DC"/>
    <w:rsid w:val="00381117"/>
    <w:rsid w:val="003812C4"/>
    <w:rsid w:val="00381D09"/>
    <w:rsid w:val="0038706E"/>
    <w:rsid w:val="0039091C"/>
    <w:rsid w:val="00390FFB"/>
    <w:rsid w:val="00392778"/>
    <w:rsid w:val="00393151"/>
    <w:rsid w:val="00396774"/>
    <w:rsid w:val="0039743A"/>
    <w:rsid w:val="003A04FD"/>
    <w:rsid w:val="003A0DD7"/>
    <w:rsid w:val="003A243E"/>
    <w:rsid w:val="003A384B"/>
    <w:rsid w:val="003A5A97"/>
    <w:rsid w:val="003A643A"/>
    <w:rsid w:val="003A7270"/>
    <w:rsid w:val="003B1718"/>
    <w:rsid w:val="003B3878"/>
    <w:rsid w:val="003B47F0"/>
    <w:rsid w:val="003B5A30"/>
    <w:rsid w:val="003B5E0D"/>
    <w:rsid w:val="003C0190"/>
    <w:rsid w:val="003C18B1"/>
    <w:rsid w:val="003C2C98"/>
    <w:rsid w:val="003C7AF0"/>
    <w:rsid w:val="003D0B0B"/>
    <w:rsid w:val="003D213C"/>
    <w:rsid w:val="003D4E3C"/>
    <w:rsid w:val="003D7A6F"/>
    <w:rsid w:val="003D7C58"/>
    <w:rsid w:val="003D7DF0"/>
    <w:rsid w:val="003E1AE4"/>
    <w:rsid w:val="003E2C5B"/>
    <w:rsid w:val="003E2E17"/>
    <w:rsid w:val="003E349F"/>
    <w:rsid w:val="003E6FD5"/>
    <w:rsid w:val="003F1EF0"/>
    <w:rsid w:val="003F2117"/>
    <w:rsid w:val="003F2C64"/>
    <w:rsid w:val="0040327E"/>
    <w:rsid w:val="00403DE8"/>
    <w:rsid w:val="004041C5"/>
    <w:rsid w:val="004056F4"/>
    <w:rsid w:val="00412FDA"/>
    <w:rsid w:val="004202A3"/>
    <w:rsid w:val="00422FB7"/>
    <w:rsid w:val="00424A4A"/>
    <w:rsid w:val="00424C10"/>
    <w:rsid w:val="00425D2C"/>
    <w:rsid w:val="00425F08"/>
    <w:rsid w:val="00432E5E"/>
    <w:rsid w:val="00432FDF"/>
    <w:rsid w:val="004348F3"/>
    <w:rsid w:val="00435052"/>
    <w:rsid w:val="00435C75"/>
    <w:rsid w:val="0043649F"/>
    <w:rsid w:val="00436871"/>
    <w:rsid w:val="0044435D"/>
    <w:rsid w:val="00444544"/>
    <w:rsid w:val="00445C95"/>
    <w:rsid w:val="00446DE2"/>
    <w:rsid w:val="00446DFB"/>
    <w:rsid w:val="00446E34"/>
    <w:rsid w:val="00446ED2"/>
    <w:rsid w:val="00447DF4"/>
    <w:rsid w:val="00450C1F"/>
    <w:rsid w:val="00452C77"/>
    <w:rsid w:val="00454CAC"/>
    <w:rsid w:val="004557AE"/>
    <w:rsid w:val="0045670A"/>
    <w:rsid w:val="00460A16"/>
    <w:rsid w:val="00462FE0"/>
    <w:rsid w:val="004640AE"/>
    <w:rsid w:val="0046418B"/>
    <w:rsid w:val="0046474F"/>
    <w:rsid w:val="00466EFE"/>
    <w:rsid w:val="00467B02"/>
    <w:rsid w:val="00471BD1"/>
    <w:rsid w:val="00474511"/>
    <w:rsid w:val="0047533D"/>
    <w:rsid w:val="00476D22"/>
    <w:rsid w:val="004801C3"/>
    <w:rsid w:val="00484657"/>
    <w:rsid w:val="00485006"/>
    <w:rsid w:val="004864B4"/>
    <w:rsid w:val="00490365"/>
    <w:rsid w:val="00491FBB"/>
    <w:rsid w:val="00492AA6"/>
    <w:rsid w:val="004A046B"/>
    <w:rsid w:val="004A06D6"/>
    <w:rsid w:val="004A1D95"/>
    <w:rsid w:val="004A4220"/>
    <w:rsid w:val="004A6D86"/>
    <w:rsid w:val="004A7489"/>
    <w:rsid w:val="004A7552"/>
    <w:rsid w:val="004B0D8C"/>
    <w:rsid w:val="004B1102"/>
    <w:rsid w:val="004B190C"/>
    <w:rsid w:val="004B227B"/>
    <w:rsid w:val="004B237A"/>
    <w:rsid w:val="004B3C58"/>
    <w:rsid w:val="004B4381"/>
    <w:rsid w:val="004B6170"/>
    <w:rsid w:val="004B66E7"/>
    <w:rsid w:val="004B7A4A"/>
    <w:rsid w:val="004C0679"/>
    <w:rsid w:val="004C6C46"/>
    <w:rsid w:val="004D1B53"/>
    <w:rsid w:val="004D2B34"/>
    <w:rsid w:val="004D305D"/>
    <w:rsid w:val="004D5DE9"/>
    <w:rsid w:val="004D79EB"/>
    <w:rsid w:val="004D7F4D"/>
    <w:rsid w:val="004E03F0"/>
    <w:rsid w:val="004E15CA"/>
    <w:rsid w:val="004E19D8"/>
    <w:rsid w:val="004E1EF0"/>
    <w:rsid w:val="004E2E6B"/>
    <w:rsid w:val="004E2F8C"/>
    <w:rsid w:val="004E3579"/>
    <w:rsid w:val="004E3751"/>
    <w:rsid w:val="004E4A47"/>
    <w:rsid w:val="004F007C"/>
    <w:rsid w:val="004F27C6"/>
    <w:rsid w:val="004F3006"/>
    <w:rsid w:val="004F375D"/>
    <w:rsid w:val="004F4617"/>
    <w:rsid w:val="004F5055"/>
    <w:rsid w:val="004F6987"/>
    <w:rsid w:val="004F7D42"/>
    <w:rsid w:val="004F7D46"/>
    <w:rsid w:val="00500946"/>
    <w:rsid w:val="0050591F"/>
    <w:rsid w:val="005068B3"/>
    <w:rsid w:val="00510964"/>
    <w:rsid w:val="00512355"/>
    <w:rsid w:val="005124CE"/>
    <w:rsid w:val="005134C4"/>
    <w:rsid w:val="00513BF2"/>
    <w:rsid w:val="00513F5E"/>
    <w:rsid w:val="005155A7"/>
    <w:rsid w:val="00515E7F"/>
    <w:rsid w:val="00516071"/>
    <w:rsid w:val="0052058B"/>
    <w:rsid w:val="0052176B"/>
    <w:rsid w:val="005235D9"/>
    <w:rsid w:val="00525369"/>
    <w:rsid w:val="005260A6"/>
    <w:rsid w:val="005268B9"/>
    <w:rsid w:val="00526A53"/>
    <w:rsid w:val="00532901"/>
    <w:rsid w:val="00534A1D"/>
    <w:rsid w:val="00535AAC"/>
    <w:rsid w:val="0053682B"/>
    <w:rsid w:val="00540FEC"/>
    <w:rsid w:val="00542FA3"/>
    <w:rsid w:val="005435F5"/>
    <w:rsid w:val="00544010"/>
    <w:rsid w:val="005474A7"/>
    <w:rsid w:val="00547CBC"/>
    <w:rsid w:val="00554002"/>
    <w:rsid w:val="0055450E"/>
    <w:rsid w:val="0055600C"/>
    <w:rsid w:val="00556908"/>
    <w:rsid w:val="00556C5D"/>
    <w:rsid w:val="0055759F"/>
    <w:rsid w:val="00557CD2"/>
    <w:rsid w:val="005617EA"/>
    <w:rsid w:val="005621D2"/>
    <w:rsid w:val="005622C6"/>
    <w:rsid w:val="00563B13"/>
    <w:rsid w:val="00564A92"/>
    <w:rsid w:val="005663B1"/>
    <w:rsid w:val="0057050E"/>
    <w:rsid w:val="00571213"/>
    <w:rsid w:val="00574B17"/>
    <w:rsid w:val="00575B52"/>
    <w:rsid w:val="005765F4"/>
    <w:rsid w:val="00576E6F"/>
    <w:rsid w:val="00577CC1"/>
    <w:rsid w:val="005814F2"/>
    <w:rsid w:val="0058154E"/>
    <w:rsid w:val="0058309A"/>
    <w:rsid w:val="00583B56"/>
    <w:rsid w:val="00586E7F"/>
    <w:rsid w:val="00587DFB"/>
    <w:rsid w:val="00591846"/>
    <w:rsid w:val="00592122"/>
    <w:rsid w:val="005929F4"/>
    <w:rsid w:val="005965C7"/>
    <w:rsid w:val="005A0466"/>
    <w:rsid w:val="005A0D40"/>
    <w:rsid w:val="005A34E6"/>
    <w:rsid w:val="005A4A1D"/>
    <w:rsid w:val="005A4AF7"/>
    <w:rsid w:val="005A4C70"/>
    <w:rsid w:val="005A639B"/>
    <w:rsid w:val="005A7165"/>
    <w:rsid w:val="005A7B9E"/>
    <w:rsid w:val="005B112D"/>
    <w:rsid w:val="005B388F"/>
    <w:rsid w:val="005B4EC8"/>
    <w:rsid w:val="005B554D"/>
    <w:rsid w:val="005B740B"/>
    <w:rsid w:val="005C0884"/>
    <w:rsid w:val="005C1273"/>
    <w:rsid w:val="005C12C1"/>
    <w:rsid w:val="005C1A0E"/>
    <w:rsid w:val="005C2078"/>
    <w:rsid w:val="005C352B"/>
    <w:rsid w:val="005C36A8"/>
    <w:rsid w:val="005C41FC"/>
    <w:rsid w:val="005C7F0E"/>
    <w:rsid w:val="005D0755"/>
    <w:rsid w:val="005D21B9"/>
    <w:rsid w:val="005D4769"/>
    <w:rsid w:val="005D4D62"/>
    <w:rsid w:val="005E061C"/>
    <w:rsid w:val="005E1E5F"/>
    <w:rsid w:val="005E2CCF"/>
    <w:rsid w:val="005E38B6"/>
    <w:rsid w:val="005E3929"/>
    <w:rsid w:val="005E4F27"/>
    <w:rsid w:val="005E55BB"/>
    <w:rsid w:val="005E7FE3"/>
    <w:rsid w:val="005F00C5"/>
    <w:rsid w:val="005F08DA"/>
    <w:rsid w:val="005F08E0"/>
    <w:rsid w:val="005F0A5A"/>
    <w:rsid w:val="005F0E80"/>
    <w:rsid w:val="005F0EA9"/>
    <w:rsid w:val="005F132C"/>
    <w:rsid w:val="005F37D9"/>
    <w:rsid w:val="005F5A57"/>
    <w:rsid w:val="005F6D09"/>
    <w:rsid w:val="00600339"/>
    <w:rsid w:val="0060307E"/>
    <w:rsid w:val="00605326"/>
    <w:rsid w:val="006053B9"/>
    <w:rsid w:val="0060568A"/>
    <w:rsid w:val="006108EE"/>
    <w:rsid w:val="00612434"/>
    <w:rsid w:val="00612C29"/>
    <w:rsid w:val="0061463D"/>
    <w:rsid w:val="00614B73"/>
    <w:rsid w:val="00615993"/>
    <w:rsid w:val="00617E18"/>
    <w:rsid w:val="00621099"/>
    <w:rsid w:val="006222AB"/>
    <w:rsid w:val="00622B1E"/>
    <w:rsid w:val="006256CD"/>
    <w:rsid w:val="0062770C"/>
    <w:rsid w:val="0063092E"/>
    <w:rsid w:val="006310EF"/>
    <w:rsid w:val="00631897"/>
    <w:rsid w:val="00632238"/>
    <w:rsid w:val="0063315A"/>
    <w:rsid w:val="00633603"/>
    <w:rsid w:val="00635E02"/>
    <w:rsid w:val="006365CC"/>
    <w:rsid w:val="00641645"/>
    <w:rsid w:val="006419A3"/>
    <w:rsid w:val="0064252D"/>
    <w:rsid w:val="006426EE"/>
    <w:rsid w:val="00643E84"/>
    <w:rsid w:val="0064452E"/>
    <w:rsid w:val="00646375"/>
    <w:rsid w:val="00646455"/>
    <w:rsid w:val="00646731"/>
    <w:rsid w:val="006501F9"/>
    <w:rsid w:val="00650705"/>
    <w:rsid w:val="00652B48"/>
    <w:rsid w:val="006531D5"/>
    <w:rsid w:val="00653C4E"/>
    <w:rsid w:val="006547D3"/>
    <w:rsid w:val="00654E80"/>
    <w:rsid w:val="006610D4"/>
    <w:rsid w:val="00661E1C"/>
    <w:rsid w:val="0066563E"/>
    <w:rsid w:val="006716FD"/>
    <w:rsid w:val="006720B8"/>
    <w:rsid w:val="006726F0"/>
    <w:rsid w:val="00672D7C"/>
    <w:rsid w:val="00673204"/>
    <w:rsid w:val="0067376A"/>
    <w:rsid w:val="00673F22"/>
    <w:rsid w:val="00674740"/>
    <w:rsid w:val="006760BA"/>
    <w:rsid w:val="0067758F"/>
    <w:rsid w:val="006808DD"/>
    <w:rsid w:val="00682B06"/>
    <w:rsid w:val="00683D4F"/>
    <w:rsid w:val="00686649"/>
    <w:rsid w:val="006924B0"/>
    <w:rsid w:val="00693DD4"/>
    <w:rsid w:val="00696194"/>
    <w:rsid w:val="00697E50"/>
    <w:rsid w:val="006A5C69"/>
    <w:rsid w:val="006A5E6A"/>
    <w:rsid w:val="006A5F0B"/>
    <w:rsid w:val="006B055D"/>
    <w:rsid w:val="006B06AB"/>
    <w:rsid w:val="006B176A"/>
    <w:rsid w:val="006B273E"/>
    <w:rsid w:val="006B3A98"/>
    <w:rsid w:val="006B3ED0"/>
    <w:rsid w:val="006B51E5"/>
    <w:rsid w:val="006B5583"/>
    <w:rsid w:val="006B6C79"/>
    <w:rsid w:val="006B6E78"/>
    <w:rsid w:val="006C02EE"/>
    <w:rsid w:val="006C1621"/>
    <w:rsid w:val="006C2462"/>
    <w:rsid w:val="006C2B03"/>
    <w:rsid w:val="006D2A62"/>
    <w:rsid w:val="006D2A69"/>
    <w:rsid w:val="006D2B11"/>
    <w:rsid w:val="006D4C90"/>
    <w:rsid w:val="006D4FE9"/>
    <w:rsid w:val="006D56A0"/>
    <w:rsid w:val="006E083F"/>
    <w:rsid w:val="006E12A2"/>
    <w:rsid w:val="006E1834"/>
    <w:rsid w:val="006E5A23"/>
    <w:rsid w:val="006E64B2"/>
    <w:rsid w:val="006E68BC"/>
    <w:rsid w:val="006E6C36"/>
    <w:rsid w:val="006F1652"/>
    <w:rsid w:val="006F1ED5"/>
    <w:rsid w:val="0070037E"/>
    <w:rsid w:val="00702CBA"/>
    <w:rsid w:val="00705980"/>
    <w:rsid w:val="00713DCE"/>
    <w:rsid w:val="0071586E"/>
    <w:rsid w:val="00721BA0"/>
    <w:rsid w:val="007241E4"/>
    <w:rsid w:val="0072496F"/>
    <w:rsid w:val="007253C8"/>
    <w:rsid w:val="007257A9"/>
    <w:rsid w:val="00725C1F"/>
    <w:rsid w:val="00725E63"/>
    <w:rsid w:val="00726D01"/>
    <w:rsid w:val="00727480"/>
    <w:rsid w:val="00727840"/>
    <w:rsid w:val="00731AC2"/>
    <w:rsid w:val="0073234B"/>
    <w:rsid w:val="00736602"/>
    <w:rsid w:val="00737884"/>
    <w:rsid w:val="00737CFB"/>
    <w:rsid w:val="0074088C"/>
    <w:rsid w:val="00743744"/>
    <w:rsid w:val="0074459E"/>
    <w:rsid w:val="007467EF"/>
    <w:rsid w:val="00747C83"/>
    <w:rsid w:val="00747E82"/>
    <w:rsid w:val="007505CD"/>
    <w:rsid w:val="007518C5"/>
    <w:rsid w:val="00752445"/>
    <w:rsid w:val="00753C52"/>
    <w:rsid w:val="0076067D"/>
    <w:rsid w:val="00761B76"/>
    <w:rsid w:val="0076212E"/>
    <w:rsid w:val="00762423"/>
    <w:rsid w:val="007624AB"/>
    <w:rsid w:val="007634FE"/>
    <w:rsid w:val="0077329E"/>
    <w:rsid w:val="00773756"/>
    <w:rsid w:val="00773854"/>
    <w:rsid w:val="00774CC2"/>
    <w:rsid w:val="00783C31"/>
    <w:rsid w:val="00783DFC"/>
    <w:rsid w:val="00784D11"/>
    <w:rsid w:val="00786DDC"/>
    <w:rsid w:val="00787B36"/>
    <w:rsid w:val="0079099F"/>
    <w:rsid w:val="00790FC8"/>
    <w:rsid w:val="00791B1F"/>
    <w:rsid w:val="00791E6E"/>
    <w:rsid w:val="00792CF5"/>
    <w:rsid w:val="00793734"/>
    <w:rsid w:val="007A00FB"/>
    <w:rsid w:val="007A0665"/>
    <w:rsid w:val="007A0AE6"/>
    <w:rsid w:val="007A4BC7"/>
    <w:rsid w:val="007A5C83"/>
    <w:rsid w:val="007B32EA"/>
    <w:rsid w:val="007B4E79"/>
    <w:rsid w:val="007B61D9"/>
    <w:rsid w:val="007C048E"/>
    <w:rsid w:val="007C08C3"/>
    <w:rsid w:val="007C163D"/>
    <w:rsid w:val="007C2D31"/>
    <w:rsid w:val="007C4B8F"/>
    <w:rsid w:val="007C7BB1"/>
    <w:rsid w:val="007D0E65"/>
    <w:rsid w:val="007D109F"/>
    <w:rsid w:val="007D40E6"/>
    <w:rsid w:val="007D5773"/>
    <w:rsid w:val="007D6375"/>
    <w:rsid w:val="007D6488"/>
    <w:rsid w:val="007D6B9D"/>
    <w:rsid w:val="007D6DDD"/>
    <w:rsid w:val="007D78B4"/>
    <w:rsid w:val="007D78BB"/>
    <w:rsid w:val="007D7B2E"/>
    <w:rsid w:val="007E14E6"/>
    <w:rsid w:val="007E697F"/>
    <w:rsid w:val="007E6A59"/>
    <w:rsid w:val="007F05AF"/>
    <w:rsid w:val="007F0F19"/>
    <w:rsid w:val="007F1B7B"/>
    <w:rsid w:val="007F1F43"/>
    <w:rsid w:val="007F632E"/>
    <w:rsid w:val="007F65C5"/>
    <w:rsid w:val="008000FE"/>
    <w:rsid w:val="008005E9"/>
    <w:rsid w:val="00801EE5"/>
    <w:rsid w:val="00804F49"/>
    <w:rsid w:val="0080725B"/>
    <w:rsid w:val="008114E7"/>
    <w:rsid w:val="00811A71"/>
    <w:rsid w:val="00811FD4"/>
    <w:rsid w:val="00814CD1"/>
    <w:rsid w:val="0081553C"/>
    <w:rsid w:val="00815CCB"/>
    <w:rsid w:val="00816426"/>
    <w:rsid w:val="008175D4"/>
    <w:rsid w:val="0081760C"/>
    <w:rsid w:val="00820569"/>
    <w:rsid w:val="00820E34"/>
    <w:rsid w:val="00821402"/>
    <w:rsid w:val="00821D1F"/>
    <w:rsid w:val="0082217C"/>
    <w:rsid w:val="00822FA9"/>
    <w:rsid w:val="00824946"/>
    <w:rsid w:val="008260E3"/>
    <w:rsid w:val="008264A2"/>
    <w:rsid w:val="00826E7C"/>
    <w:rsid w:val="00827AD8"/>
    <w:rsid w:val="008308E5"/>
    <w:rsid w:val="00831704"/>
    <w:rsid w:val="008317EB"/>
    <w:rsid w:val="00831B33"/>
    <w:rsid w:val="00831FA1"/>
    <w:rsid w:val="0083317D"/>
    <w:rsid w:val="00833336"/>
    <w:rsid w:val="00833E45"/>
    <w:rsid w:val="00834438"/>
    <w:rsid w:val="00835F0D"/>
    <w:rsid w:val="0083630C"/>
    <w:rsid w:val="00836338"/>
    <w:rsid w:val="00836795"/>
    <w:rsid w:val="00837615"/>
    <w:rsid w:val="00837E49"/>
    <w:rsid w:val="00841FB1"/>
    <w:rsid w:val="00842DFE"/>
    <w:rsid w:val="0084514E"/>
    <w:rsid w:val="00851684"/>
    <w:rsid w:val="00854EF6"/>
    <w:rsid w:val="00855037"/>
    <w:rsid w:val="008603AD"/>
    <w:rsid w:val="008605AC"/>
    <w:rsid w:val="00860892"/>
    <w:rsid w:val="0086261F"/>
    <w:rsid w:val="008663B4"/>
    <w:rsid w:val="00866D08"/>
    <w:rsid w:val="008670B5"/>
    <w:rsid w:val="00867A31"/>
    <w:rsid w:val="00867F7F"/>
    <w:rsid w:val="00873565"/>
    <w:rsid w:val="00877B71"/>
    <w:rsid w:val="008812F7"/>
    <w:rsid w:val="00881619"/>
    <w:rsid w:val="00881FF9"/>
    <w:rsid w:val="00882368"/>
    <w:rsid w:val="00886D69"/>
    <w:rsid w:val="00890921"/>
    <w:rsid w:val="00891125"/>
    <w:rsid w:val="00891BDA"/>
    <w:rsid w:val="00892DED"/>
    <w:rsid w:val="008932BF"/>
    <w:rsid w:val="00893439"/>
    <w:rsid w:val="00895681"/>
    <w:rsid w:val="008A05A5"/>
    <w:rsid w:val="008A0CC5"/>
    <w:rsid w:val="008A0D25"/>
    <w:rsid w:val="008A1D24"/>
    <w:rsid w:val="008A41C7"/>
    <w:rsid w:val="008A5A2B"/>
    <w:rsid w:val="008A5C00"/>
    <w:rsid w:val="008A5EDB"/>
    <w:rsid w:val="008A6DD7"/>
    <w:rsid w:val="008B0395"/>
    <w:rsid w:val="008B06AE"/>
    <w:rsid w:val="008B0C73"/>
    <w:rsid w:val="008B272B"/>
    <w:rsid w:val="008B2E85"/>
    <w:rsid w:val="008B3886"/>
    <w:rsid w:val="008B5B28"/>
    <w:rsid w:val="008B5D6E"/>
    <w:rsid w:val="008B7D16"/>
    <w:rsid w:val="008C052C"/>
    <w:rsid w:val="008C17E8"/>
    <w:rsid w:val="008C310B"/>
    <w:rsid w:val="008C3AA5"/>
    <w:rsid w:val="008C43B7"/>
    <w:rsid w:val="008C7E36"/>
    <w:rsid w:val="008D2388"/>
    <w:rsid w:val="008D2E81"/>
    <w:rsid w:val="008D3815"/>
    <w:rsid w:val="008D44D5"/>
    <w:rsid w:val="008D47AA"/>
    <w:rsid w:val="008D508E"/>
    <w:rsid w:val="008D5268"/>
    <w:rsid w:val="008D6373"/>
    <w:rsid w:val="008E0F80"/>
    <w:rsid w:val="008E34A3"/>
    <w:rsid w:val="008E4600"/>
    <w:rsid w:val="008E475B"/>
    <w:rsid w:val="008E7656"/>
    <w:rsid w:val="008F0CEC"/>
    <w:rsid w:val="008F3134"/>
    <w:rsid w:val="008F3CC5"/>
    <w:rsid w:val="008F40B8"/>
    <w:rsid w:val="0090216B"/>
    <w:rsid w:val="009028C7"/>
    <w:rsid w:val="0090308E"/>
    <w:rsid w:val="00904D70"/>
    <w:rsid w:val="00905D26"/>
    <w:rsid w:val="00906C25"/>
    <w:rsid w:val="00906D1D"/>
    <w:rsid w:val="009072E1"/>
    <w:rsid w:val="009101D2"/>
    <w:rsid w:val="00910A24"/>
    <w:rsid w:val="00911865"/>
    <w:rsid w:val="00912448"/>
    <w:rsid w:val="0091418D"/>
    <w:rsid w:val="009162B6"/>
    <w:rsid w:val="00916CAA"/>
    <w:rsid w:val="009202D4"/>
    <w:rsid w:val="00920EB6"/>
    <w:rsid w:val="00921549"/>
    <w:rsid w:val="00921B4E"/>
    <w:rsid w:val="0092510A"/>
    <w:rsid w:val="0092789C"/>
    <w:rsid w:val="00927BC9"/>
    <w:rsid w:val="00930EF4"/>
    <w:rsid w:val="00933E31"/>
    <w:rsid w:val="00934D94"/>
    <w:rsid w:val="00936226"/>
    <w:rsid w:val="00936A7C"/>
    <w:rsid w:val="00937672"/>
    <w:rsid w:val="0093779D"/>
    <w:rsid w:val="00941F19"/>
    <w:rsid w:val="00943CC9"/>
    <w:rsid w:val="00944B33"/>
    <w:rsid w:val="009469F7"/>
    <w:rsid w:val="00950C61"/>
    <w:rsid w:val="0095364F"/>
    <w:rsid w:val="009555CA"/>
    <w:rsid w:val="00955E2C"/>
    <w:rsid w:val="00960551"/>
    <w:rsid w:val="009616A5"/>
    <w:rsid w:val="009619E1"/>
    <w:rsid w:val="009634A0"/>
    <w:rsid w:val="00964457"/>
    <w:rsid w:val="00964D57"/>
    <w:rsid w:val="009669DF"/>
    <w:rsid w:val="00970083"/>
    <w:rsid w:val="009713A0"/>
    <w:rsid w:val="00972542"/>
    <w:rsid w:val="00972E97"/>
    <w:rsid w:val="009745BB"/>
    <w:rsid w:val="009769E2"/>
    <w:rsid w:val="00977C69"/>
    <w:rsid w:val="00980B81"/>
    <w:rsid w:val="00980DFC"/>
    <w:rsid w:val="009815E6"/>
    <w:rsid w:val="00982F0D"/>
    <w:rsid w:val="00984ECF"/>
    <w:rsid w:val="0098572C"/>
    <w:rsid w:val="00991913"/>
    <w:rsid w:val="009A0B64"/>
    <w:rsid w:val="009A137B"/>
    <w:rsid w:val="009A546E"/>
    <w:rsid w:val="009B027C"/>
    <w:rsid w:val="009B0519"/>
    <w:rsid w:val="009B2FFB"/>
    <w:rsid w:val="009C0294"/>
    <w:rsid w:val="009C16C3"/>
    <w:rsid w:val="009C1914"/>
    <w:rsid w:val="009C1BC7"/>
    <w:rsid w:val="009C2700"/>
    <w:rsid w:val="009C3510"/>
    <w:rsid w:val="009C3517"/>
    <w:rsid w:val="009C3B97"/>
    <w:rsid w:val="009C4036"/>
    <w:rsid w:val="009C490C"/>
    <w:rsid w:val="009C5654"/>
    <w:rsid w:val="009C61F2"/>
    <w:rsid w:val="009C660B"/>
    <w:rsid w:val="009C7346"/>
    <w:rsid w:val="009C7AD7"/>
    <w:rsid w:val="009D0C9E"/>
    <w:rsid w:val="009D1CE4"/>
    <w:rsid w:val="009D2A9A"/>
    <w:rsid w:val="009D4D0A"/>
    <w:rsid w:val="009E2E35"/>
    <w:rsid w:val="009E2E95"/>
    <w:rsid w:val="009E6754"/>
    <w:rsid w:val="009E69CE"/>
    <w:rsid w:val="009E716F"/>
    <w:rsid w:val="009E7335"/>
    <w:rsid w:val="009E7953"/>
    <w:rsid w:val="009F2772"/>
    <w:rsid w:val="009F4645"/>
    <w:rsid w:val="009F4969"/>
    <w:rsid w:val="009F4F8C"/>
    <w:rsid w:val="00A01A90"/>
    <w:rsid w:val="00A02CE7"/>
    <w:rsid w:val="00A02E74"/>
    <w:rsid w:val="00A03583"/>
    <w:rsid w:val="00A048C2"/>
    <w:rsid w:val="00A05080"/>
    <w:rsid w:val="00A053AD"/>
    <w:rsid w:val="00A058FA"/>
    <w:rsid w:val="00A05FB7"/>
    <w:rsid w:val="00A06351"/>
    <w:rsid w:val="00A10F70"/>
    <w:rsid w:val="00A111FB"/>
    <w:rsid w:val="00A1144D"/>
    <w:rsid w:val="00A11A94"/>
    <w:rsid w:val="00A12285"/>
    <w:rsid w:val="00A125FA"/>
    <w:rsid w:val="00A13863"/>
    <w:rsid w:val="00A16DD2"/>
    <w:rsid w:val="00A2092A"/>
    <w:rsid w:val="00A220EA"/>
    <w:rsid w:val="00A23448"/>
    <w:rsid w:val="00A23F42"/>
    <w:rsid w:val="00A24236"/>
    <w:rsid w:val="00A24BF3"/>
    <w:rsid w:val="00A26271"/>
    <w:rsid w:val="00A27190"/>
    <w:rsid w:val="00A30B87"/>
    <w:rsid w:val="00A30C57"/>
    <w:rsid w:val="00A312D5"/>
    <w:rsid w:val="00A3251D"/>
    <w:rsid w:val="00A327E2"/>
    <w:rsid w:val="00A3379C"/>
    <w:rsid w:val="00A35091"/>
    <w:rsid w:val="00A365E3"/>
    <w:rsid w:val="00A415FF"/>
    <w:rsid w:val="00A41880"/>
    <w:rsid w:val="00A424ED"/>
    <w:rsid w:val="00A42FED"/>
    <w:rsid w:val="00A43011"/>
    <w:rsid w:val="00A44271"/>
    <w:rsid w:val="00A44C95"/>
    <w:rsid w:val="00A47F9D"/>
    <w:rsid w:val="00A54408"/>
    <w:rsid w:val="00A55DF1"/>
    <w:rsid w:val="00A563C7"/>
    <w:rsid w:val="00A62599"/>
    <w:rsid w:val="00A64F3D"/>
    <w:rsid w:val="00A66267"/>
    <w:rsid w:val="00A66F43"/>
    <w:rsid w:val="00A6761B"/>
    <w:rsid w:val="00A67EBA"/>
    <w:rsid w:val="00A67EC5"/>
    <w:rsid w:val="00A71592"/>
    <w:rsid w:val="00A73D1B"/>
    <w:rsid w:val="00A75E06"/>
    <w:rsid w:val="00A75E1B"/>
    <w:rsid w:val="00A805A3"/>
    <w:rsid w:val="00A828BA"/>
    <w:rsid w:val="00A82A5C"/>
    <w:rsid w:val="00A831FA"/>
    <w:rsid w:val="00A83A80"/>
    <w:rsid w:val="00A8453C"/>
    <w:rsid w:val="00A84C72"/>
    <w:rsid w:val="00A86047"/>
    <w:rsid w:val="00A863EC"/>
    <w:rsid w:val="00A92012"/>
    <w:rsid w:val="00A93D73"/>
    <w:rsid w:val="00A969DA"/>
    <w:rsid w:val="00A96C91"/>
    <w:rsid w:val="00A97A3F"/>
    <w:rsid w:val="00AA138D"/>
    <w:rsid w:val="00AA2FA5"/>
    <w:rsid w:val="00AA64BD"/>
    <w:rsid w:val="00AA683D"/>
    <w:rsid w:val="00AA6E89"/>
    <w:rsid w:val="00AB1116"/>
    <w:rsid w:val="00AB3975"/>
    <w:rsid w:val="00AB3B75"/>
    <w:rsid w:val="00AB54CF"/>
    <w:rsid w:val="00AC0A54"/>
    <w:rsid w:val="00AC0BA7"/>
    <w:rsid w:val="00AC1A6C"/>
    <w:rsid w:val="00AC2301"/>
    <w:rsid w:val="00AC3656"/>
    <w:rsid w:val="00AC4193"/>
    <w:rsid w:val="00AC4F67"/>
    <w:rsid w:val="00AC6806"/>
    <w:rsid w:val="00AC7411"/>
    <w:rsid w:val="00AD08EB"/>
    <w:rsid w:val="00AD2646"/>
    <w:rsid w:val="00AD649F"/>
    <w:rsid w:val="00AD66D2"/>
    <w:rsid w:val="00AE0689"/>
    <w:rsid w:val="00AE12BA"/>
    <w:rsid w:val="00AE12C1"/>
    <w:rsid w:val="00AE4258"/>
    <w:rsid w:val="00AE499F"/>
    <w:rsid w:val="00AE4D3C"/>
    <w:rsid w:val="00AE609A"/>
    <w:rsid w:val="00AE6112"/>
    <w:rsid w:val="00AE63D4"/>
    <w:rsid w:val="00AE6A8D"/>
    <w:rsid w:val="00AE74DD"/>
    <w:rsid w:val="00AF0C39"/>
    <w:rsid w:val="00AF266D"/>
    <w:rsid w:val="00AF3871"/>
    <w:rsid w:val="00AF672C"/>
    <w:rsid w:val="00AF76A6"/>
    <w:rsid w:val="00AF7D12"/>
    <w:rsid w:val="00B011D7"/>
    <w:rsid w:val="00B012BF"/>
    <w:rsid w:val="00B02A54"/>
    <w:rsid w:val="00B03E09"/>
    <w:rsid w:val="00B043AA"/>
    <w:rsid w:val="00B051FB"/>
    <w:rsid w:val="00B103C3"/>
    <w:rsid w:val="00B10796"/>
    <w:rsid w:val="00B11D47"/>
    <w:rsid w:val="00B15EEA"/>
    <w:rsid w:val="00B21284"/>
    <w:rsid w:val="00B2307C"/>
    <w:rsid w:val="00B2499A"/>
    <w:rsid w:val="00B26022"/>
    <w:rsid w:val="00B26174"/>
    <w:rsid w:val="00B2668D"/>
    <w:rsid w:val="00B27FA6"/>
    <w:rsid w:val="00B31677"/>
    <w:rsid w:val="00B31E0E"/>
    <w:rsid w:val="00B327B4"/>
    <w:rsid w:val="00B33F58"/>
    <w:rsid w:val="00B34B46"/>
    <w:rsid w:val="00B34CB8"/>
    <w:rsid w:val="00B35454"/>
    <w:rsid w:val="00B3665F"/>
    <w:rsid w:val="00B36DBA"/>
    <w:rsid w:val="00B4107D"/>
    <w:rsid w:val="00B4376B"/>
    <w:rsid w:val="00B44510"/>
    <w:rsid w:val="00B459C2"/>
    <w:rsid w:val="00B45CA3"/>
    <w:rsid w:val="00B46035"/>
    <w:rsid w:val="00B5412D"/>
    <w:rsid w:val="00B551BC"/>
    <w:rsid w:val="00B55535"/>
    <w:rsid w:val="00B57156"/>
    <w:rsid w:val="00B6113E"/>
    <w:rsid w:val="00B612D1"/>
    <w:rsid w:val="00B61469"/>
    <w:rsid w:val="00B61AD4"/>
    <w:rsid w:val="00B64857"/>
    <w:rsid w:val="00B66926"/>
    <w:rsid w:val="00B66F9C"/>
    <w:rsid w:val="00B67088"/>
    <w:rsid w:val="00B674D4"/>
    <w:rsid w:val="00B70018"/>
    <w:rsid w:val="00B7148F"/>
    <w:rsid w:val="00B74277"/>
    <w:rsid w:val="00B77B52"/>
    <w:rsid w:val="00B808AF"/>
    <w:rsid w:val="00B84D4F"/>
    <w:rsid w:val="00B86811"/>
    <w:rsid w:val="00B86A66"/>
    <w:rsid w:val="00B87B3A"/>
    <w:rsid w:val="00B90D54"/>
    <w:rsid w:val="00B934F3"/>
    <w:rsid w:val="00B93AC0"/>
    <w:rsid w:val="00B93CA9"/>
    <w:rsid w:val="00B93D9A"/>
    <w:rsid w:val="00B94658"/>
    <w:rsid w:val="00B94CB6"/>
    <w:rsid w:val="00B94FA4"/>
    <w:rsid w:val="00BA0807"/>
    <w:rsid w:val="00BA28FF"/>
    <w:rsid w:val="00BA504A"/>
    <w:rsid w:val="00BA5275"/>
    <w:rsid w:val="00BA6F1C"/>
    <w:rsid w:val="00BA74B3"/>
    <w:rsid w:val="00BB09A8"/>
    <w:rsid w:val="00BB1DB1"/>
    <w:rsid w:val="00BB1F86"/>
    <w:rsid w:val="00BB2C7F"/>
    <w:rsid w:val="00BB5A95"/>
    <w:rsid w:val="00BB6871"/>
    <w:rsid w:val="00BB6A3A"/>
    <w:rsid w:val="00BC0835"/>
    <w:rsid w:val="00BC15F8"/>
    <w:rsid w:val="00BC2101"/>
    <w:rsid w:val="00BC22D5"/>
    <w:rsid w:val="00BC39D2"/>
    <w:rsid w:val="00BC5878"/>
    <w:rsid w:val="00BC610C"/>
    <w:rsid w:val="00BC65D9"/>
    <w:rsid w:val="00BC6DF0"/>
    <w:rsid w:val="00BC7415"/>
    <w:rsid w:val="00BD08AA"/>
    <w:rsid w:val="00BD0ABB"/>
    <w:rsid w:val="00BD1AFA"/>
    <w:rsid w:val="00BD38F9"/>
    <w:rsid w:val="00BD4437"/>
    <w:rsid w:val="00BD6044"/>
    <w:rsid w:val="00BD6518"/>
    <w:rsid w:val="00BD6B1F"/>
    <w:rsid w:val="00BE30F2"/>
    <w:rsid w:val="00BE612F"/>
    <w:rsid w:val="00BE628A"/>
    <w:rsid w:val="00BE64F9"/>
    <w:rsid w:val="00BF1C69"/>
    <w:rsid w:val="00BF5AAF"/>
    <w:rsid w:val="00C02F6D"/>
    <w:rsid w:val="00C030B5"/>
    <w:rsid w:val="00C0483B"/>
    <w:rsid w:val="00C10929"/>
    <w:rsid w:val="00C12AF6"/>
    <w:rsid w:val="00C14328"/>
    <w:rsid w:val="00C14717"/>
    <w:rsid w:val="00C1478D"/>
    <w:rsid w:val="00C14F8C"/>
    <w:rsid w:val="00C16317"/>
    <w:rsid w:val="00C16EB9"/>
    <w:rsid w:val="00C2286F"/>
    <w:rsid w:val="00C245EC"/>
    <w:rsid w:val="00C24C13"/>
    <w:rsid w:val="00C24E09"/>
    <w:rsid w:val="00C26894"/>
    <w:rsid w:val="00C27265"/>
    <w:rsid w:val="00C30083"/>
    <w:rsid w:val="00C32807"/>
    <w:rsid w:val="00C34E23"/>
    <w:rsid w:val="00C37A7F"/>
    <w:rsid w:val="00C407C0"/>
    <w:rsid w:val="00C41B49"/>
    <w:rsid w:val="00C43A5E"/>
    <w:rsid w:val="00C43AB6"/>
    <w:rsid w:val="00C4408B"/>
    <w:rsid w:val="00C47CD8"/>
    <w:rsid w:val="00C5051E"/>
    <w:rsid w:val="00C5070D"/>
    <w:rsid w:val="00C50952"/>
    <w:rsid w:val="00C53D7D"/>
    <w:rsid w:val="00C55BB5"/>
    <w:rsid w:val="00C55C3D"/>
    <w:rsid w:val="00C620B1"/>
    <w:rsid w:val="00C6647B"/>
    <w:rsid w:val="00C66ED2"/>
    <w:rsid w:val="00C72574"/>
    <w:rsid w:val="00C727B3"/>
    <w:rsid w:val="00C73109"/>
    <w:rsid w:val="00C74BFA"/>
    <w:rsid w:val="00C763F7"/>
    <w:rsid w:val="00C82080"/>
    <w:rsid w:val="00C8487D"/>
    <w:rsid w:val="00C8756B"/>
    <w:rsid w:val="00C87642"/>
    <w:rsid w:val="00C87D5A"/>
    <w:rsid w:val="00C90598"/>
    <w:rsid w:val="00C9179B"/>
    <w:rsid w:val="00C920DD"/>
    <w:rsid w:val="00C926F2"/>
    <w:rsid w:val="00C9594B"/>
    <w:rsid w:val="00C965A6"/>
    <w:rsid w:val="00C96C59"/>
    <w:rsid w:val="00C973BC"/>
    <w:rsid w:val="00CA03AC"/>
    <w:rsid w:val="00CA52B1"/>
    <w:rsid w:val="00CA5308"/>
    <w:rsid w:val="00CA5904"/>
    <w:rsid w:val="00CA60CF"/>
    <w:rsid w:val="00CA6BB5"/>
    <w:rsid w:val="00CB6CDA"/>
    <w:rsid w:val="00CB6D6B"/>
    <w:rsid w:val="00CB7635"/>
    <w:rsid w:val="00CB7DB7"/>
    <w:rsid w:val="00CC1352"/>
    <w:rsid w:val="00CC3281"/>
    <w:rsid w:val="00CC3C84"/>
    <w:rsid w:val="00CC5EC2"/>
    <w:rsid w:val="00CC683E"/>
    <w:rsid w:val="00CC69D9"/>
    <w:rsid w:val="00CD078E"/>
    <w:rsid w:val="00CD2344"/>
    <w:rsid w:val="00CD617B"/>
    <w:rsid w:val="00CD7C30"/>
    <w:rsid w:val="00CD7E92"/>
    <w:rsid w:val="00CE0DA1"/>
    <w:rsid w:val="00CE1298"/>
    <w:rsid w:val="00CE157A"/>
    <w:rsid w:val="00CE19D9"/>
    <w:rsid w:val="00CE26B0"/>
    <w:rsid w:val="00CE30D4"/>
    <w:rsid w:val="00CE3538"/>
    <w:rsid w:val="00CE4C6E"/>
    <w:rsid w:val="00CE5D45"/>
    <w:rsid w:val="00CE61C4"/>
    <w:rsid w:val="00CF06A2"/>
    <w:rsid w:val="00CF0C97"/>
    <w:rsid w:val="00CF1465"/>
    <w:rsid w:val="00CF2C2D"/>
    <w:rsid w:val="00CF331A"/>
    <w:rsid w:val="00CF3655"/>
    <w:rsid w:val="00CF509E"/>
    <w:rsid w:val="00CF6628"/>
    <w:rsid w:val="00CF6CEF"/>
    <w:rsid w:val="00CF70DA"/>
    <w:rsid w:val="00D00350"/>
    <w:rsid w:val="00D00E33"/>
    <w:rsid w:val="00D01316"/>
    <w:rsid w:val="00D01E37"/>
    <w:rsid w:val="00D02296"/>
    <w:rsid w:val="00D06345"/>
    <w:rsid w:val="00D0681B"/>
    <w:rsid w:val="00D105E9"/>
    <w:rsid w:val="00D114C1"/>
    <w:rsid w:val="00D119A8"/>
    <w:rsid w:val="00D11C67"/>
    <w:rsid w:val="00D127F3"/>
    <w:rsid w:val="00D133B8"/>
    <w:rsid w:val="00D160F8"/>
    <w:rsid w:val="00D1773B"/>
    <w:rsid w:val="00D20762"/>
    <w:rsid w:val="00D2159E"/>
    <w:rsid w:val="00D21B56"/>
    <w:rsid w:val="00D230DA"/>
    <w:rsid w:val="00D26A92"/>
    <w:rsid w:val="00D2772A"/>
    <w:rsid w:val="00D30264"/>
    <w:rsid w:val="00D30A8A"/>
    <w:rsid w:val="00D30D46"/>
    <w:rsid w:val="00D31BB1"/>
    <w:rsid w:val="00D31F42"/>
    <w:rsid w:val="00D334AF"/>
    <w:rsid w:val="00D34724"/>
    <w:rsid w:val="00D37CB4"/>
    <w:rsid w:val="00D37F3C"/>
    <w:rsid w:val="00D435C3"/>
    <w:rsid w:val="00D4439D"/>
    <w:rsid w:val="00D47956"/>
    <w:rsid w:val="00D47CBC"/>
    <w:rsid w:val="00D50C87"/>
    <w:rsid w:val="00D525F4"/>
    <w:rsid w:val="00D56453"/>
    <w:rsid w:val="00D613F7"/>
    <w:rsid w:val="00D61F11"/>
    <w:rsid w:val="00D63728"/>
    <w:rsid w:val="00D63BCD"/>
    <w:rsid w:val="00D63FB7"/>
    <w:rsid w:val="00D64835"/>
    <w:rsid w:val="00D663D4"/>
    <w:rsid w:val="00D66979"/>
    <w:rsid w:val="00D670CD"/>
    <w:rsid w:val="00D67FA8"/>
    <w:rsid w:val="00D70DF1"/>
    <w:rsid w:val="00D70F41"/>
    <w:rsid w:val="00D71320"/>
    <w:rsid w:val="00D71881"/>
    <w:rsid w:val="00D72407"/>
    <w:rsid w:val="00D72E17"/>
    <w:rsid w:val="00D74179"/>
    <w:rsid w:val="00D75C06"/>
    <w:rsid w:val="00D801E9"/>
    <w:rsid w:val="00D824CB"/>
    <w:rsid w:val="00D82BA5"/>
    <w:rsid w:val="00D830B0"/>
    <w:rsid w:val="00D83D9F"/>
    <w:rsid w:val="00D84646"/>
    <w:rsid w:val="00D84770"/>
    <w:rsid w:val="00D84B0B"/>
    <w:rsid w:val="00D86325"/>
    <w:rsid w:val="00D86806"/>
    <w:rsid w:val="00D86FDA"/>
    <w:rsid w:val="00D8738E"/>
    <w:rsid w:val="00D876F5"/>
    <w:rsid w:val="00D9018C"/>
    <w:rsid w:val="00D9614E"/>
    <w:rsid w:val="00D9658F"/>
    <w:rsid w:val="00DA0C98"/>
    <w:rsid w:val="00DA3E03"/>
    <w:rsid w:val="00DA4D5F"/>
    <w:rsid w:val="00DA6C37"/>
    <w:rsid w:val="00DA74D6"/>
    <w:rsid w:val="00DB03BD"/>
    <w:rsid w:val="00DB19B7"/>
    <w:rsid w:val="00DB42D0"/>
    <w:rsid w:val="00DB4348"/>
    <w:rsid w:val="00DB4C8E"/>
    <w:rsid w:val="00DB7022"/>
    <w:rsid w:val="00DC2098"/>
    <w:rsid w:val="00DC5D9E"/>
    <w:rsid w:val="00DC75A7"/>
    <w:rsid w:val="00DD1CF6"/>
    <w:rsid w:val="00DD755C"/>
    <w:rsid w:val="00DE0C1F"/>
    <w:rsid w:val="00DE206B"/>
    <w:rsid w:val="00DE25EF"/>
    <w:rsid w:val="00DE423F"/>
    <w:rsid w:val="00DE54D5"/>
    <w:rsid w:val="00DF131F"/>
    <w:rsid w:val="00DF19D0"/>
    <w:rsid w:val="00DF1B36"/>
    <w:rsid w:val="00DF2177"/>
    <w:rsid w:val="00DF2D5F"/>
    <w:rsid w:val="00DF2EA7"/>
    <w:rsid w:val="00DF30F9"/>
    <w:rsid w:val="00DF601C"/>
    <w:rsid w:val="00E000EC"/>
    <w:rsid w:val="00E01038"/>
    <w:rsid w:val="00E01578"/>
    <w:rsid w:val="00E0283C"/>
    <w:rsid w:val="00E074F6"/>
    <w:rsid w:val="00E10127"/>
    <w:rsid w:val="00E14FB7"/>
    <w:rsid w:val="00E1524C"/>
    <w:rsid w:val="00E21DA5"/>
    <w:rsid w:val="00E2223F"/>
    <w:rsid w:val="00E22F42"/>
    <w:rsid w:val="00E230B5"/>
    <w:rsid w:val="00E239B6"/>
    <w:rsid w:val="00E244AC"/>
    <w:rsid w:val="00E25071"/>
    <w:rsid w:val="00E25818"/>
    <w:rsid w:val="00E26598"/>
    <w:rsid w:val="00E268E8"/>
    <w:rsid w:val="00E27867"/>
    <w:rsid w:val="00E2792A"/>
    <w:rsid w:val="00E31F84"/>
    <w:rsid w:val="00E321E5"/>
    <w:rsid w:val="00E323B5"/>
    <w:rsid w:val="00E3298F"/>
    <w:rsid w:val="00E35252"/>
    <w:rsid w:val="00E35AF6"/>
    <w:rsid w:val="00E35EA1"/>
    <w:rsid w:val="00E3672A"/>
    <w:rsid w:val="00E36882"/>
    <w:rsid w:val="00E37559"/>
    <w:rsid w:val="00E40252"/>
    <w:rsid w:val="00E403F3"/>
    <w:rsid w:val="00E412D6"/>
    <w:rsid w:val="00E41769"/>
    <w:rsid w:val="00E4457C"/>
    <w:rsid w:val="00E46996"/>
    <w:rsid w:val="00E46ACA"/>
    <w:rsid w:val="00E472DD"/>
    <w:rsid w:val="00E47F56"/>
    <w:rsid w:val="00E501E2"/>
    <w:rsid w:val="00E507E2"/>
    <w:rsid w:val="00E50B51"/>
    <w:rsid w:val="00E51395"/>
    <w:rsid w:val="00E51958"/>
    <w:rsid w:val="00E51FF4"/>
    <w:rsid w:val="00E5245B"/>
    <w:rsid w:val="00E52B6A"/>
    <w:rsid w:val="00E52BD8"/>
    <w:rsid w:val="00E53653"/>
    <w:rsid w:val="00E57705"/>
    <w:rsid w:val="00E57A92"/>
    <w:rsid w:val="00E627A1"/>
    <w:rsid w:val="00E62CD8"/>
    <w:rsid w:val="00E63364"/>
    <w:rsid w:val="00E63B7E"/>
    <w:rsid w:val="00E66A1D"/>
    <w:rsid w:val="00E70EE0"/>
    <w:rsid w:val="00E719DE"/>
    <w:rsid w:val="00E71E16"/>
    <w:rsid w:val="00E72B61"/>
    <w:rsid w:val="00E7504A"/>
    <w:rsid w:val="00E772F8"/>
    <w:rsid w:val="00E7799F"/>
    <w:rsid w:val="00E828F7"/>
    <w:rsid w:val="00E8297F"/>
    <w:rsid w:val="00E83309"/>
    <w:rsid w:val="00E842B8"/>
    <w:rsid w:val="00E8457D"/>
    <w:rsid w:val="00E850A3"/>
    <w:rsid w:val="00E874FF"/>
    <w:rsid w:val="00E87CEC"/>
    <w:rsid w:val="00E90B9C"/>
    <w:rsid w:val="00E91036"/>
    <w:rsid w:val="00E914A2"/>
    <w:rsid w:val="00E91D22"/>
    <w:rsid w:val="00E91E83"/>
    <w:rsid w:val="00E92B84"/>
    <w:rsid w:val="00E932E3"/>
    <w:rsid w:val="00E94B58"/>
    <w:rsid w:val="00EA0752"/>
    <w:rsid w:val="00EA0977"/>
    <w:rsid w:val="00EA0E12"/>
    <w:rsid w:val="00EA1FAF"/>
    <w:rsid w:val="00EA7059"/>
    <w:rsid w:val="00EA7B05"/>
    <w:rsid w:val="00EB3E37"/>
    <w:rsid w:val="00EB5628"/>
    <w:rsid w:val="00EB6830"/>
    <w:rsid w:val="00EB7623"/>
    <w:rsid w:val="00EC305C"/>
    <w:rsid w:val="00ED0804"/>
    <w:rsid w:val="00ED0883"/>
    <w:rsid w:val="00ED307F"/>
    <w:rsid w:val="00ED35AA"/>
    <w:rsid w:val="00ED3A85"/>
    <w:rsid w:val="00ED4D01"/>
    <w:rsid w:val="00ED6254"/>
    <w:rsid w:val="00ED73BE"/>
    <w:rsid w:val="00ED7808"/>
    <w:rsid w:val="00ED7E03"/>
    <w:rsid w:val="00EE16B8"/>
    <w:rsid w:val="00EE3215"/>
    <w:rsid w:val="00EE3271"/>
    <w:rsid w:val="00EE3FC3"/>
    <w:rsid w:val="00EE5272"/>
    <w:rsid w:val="00EE7E9A"/>
    <w:rsid w:val="00EF3142"/>
    <w:rsid w:val="00EF6A34"/>
    <w:rsid w:val="00F00599"/>
    <w:rsid w:val="00F005B4"/>
    <w:rsid w:val="00F00B53"/>
    <w:rsid w:val="00F027E2"/>
    <w:rsid w:val="00F0300F"/>
    <w:rsid w:val="00F0446A"/>
    <w:rsid w:val="00F05330"/>
    <w:rsid w:val="00F05D7F"/>
    <w:rsid w:val="00F05DDC"/>
    <w:rsid w:val="00F06009"/>
    <w:rsid w:val="00F11D95"/>
    <w:rsid w:val="00F12156"/>
    <w:rsid w:val="00F121AB"/>
    <w:rsid w:val="00F12BA9"/>
    <w:rsid w:val="00F140EA"/>
    <w:rsid w:val="00F1485C"/>
    <w:rsid w:val="00F14A6C"/>
    <w:rsid w:val="00F15610"/>
    <w:rsid w:val="00F15D16"/>
    <w:rsid w:val="00F2365F"/>
    <w:rsid w:val="00F258B6"/>
    <w:rsid w:val="00F2618B"/>
    <w:rsid w:val="00F264C8"/>
    <w:rsid w:val="00F26B37"/>
    <w:rsid w:val="00F30F33"/>
    <w:rsid w:val="00F318A4"/>
    <w:rsid w:val="00F32C45"/>
    <w:rsid w:val="00F33EC7"/>
    <w:rsid w:val="00F34C3D"/>
    <w:rsid w:val="00F374C3"/>
    <w:rsid w:val="00F4194A"/>
    <w:rsid w:val="00F41AF0"/>
    <w:rsid w:val="00F44D4C"/>
    <w:rsid w:val="00F44DA8"/>
    <w:rsid w:val="00F45B74"/>
    <w:rsid w:val="00F45D40"/>
    <w:rsid w:val="00F46419"/>
    <w:rsid w:val="00F51F1A"/>
    <w:rsid w:val="00F5745C"/>
    <w:rsid w:val="00F635FF"/>
    <w:rsid w:val="00F64195"/>
    <w:rsid w:val="00F65848"/>
    <w:rsid w:val="00F706A0"/>
    <w:rsid w:val="00F70EC3"/>
    <w:rsid w:val="00F71AD2"/>
    <w:rsid w:val="00F71DBC"/>
    <w:rsid w:val="00F735BE"/>
    <w:rsid w:val="00F76137"/>
    <w:rsid w:val="00F76255"/>
    <w:rsid w:val="00F774B3"/>
    <w:rsid w:val="00F77C6C"/>
    <w:rsid w:val="00F81A08"/>
    <w:rsid w:val="00F83521"/>
    <w:rsid w:val="00F83993"/>
    <w:rsid w:val="00F9105D"/>
    <w:rsid w:val="00F91861"/>
    <w:rsid w:val="00F9275B"/>
    <w:rsid w:val="00F94A47"/>
    <w:rsid w:val="00F94EC6"/>
    <w:rsid w:val="00F94FC7"/>
    <w:rsid w:val="00F950AC"/>
    <w:rsid w:val="00FA01A1"/>
    <w:rsid w:val="00FA3441"/>
    <w:rsid w:val="00FB1C55"/>
    <w:rsid w:val="00FB1ED3"/>
    <w:rsid w:val="00FB2911"/>
    <w:rsid w:val="00FB49D0"/>
    <w:rsid w:val="00FC0113"/>
    <w:rsid w:val="00FC272B"/>
    <w:rsid w:val="00FC31E9"/>
    <w:rsid w:val="00FC37AD"/>
    <w:rsid w:val="00FC3B74"/>
    <w:rsid w:val="00FC3F73"/>
    <w:rsid w:val="00FC4233"/>
    <w:rsid w:val="00FC4CCE"/>
    <w:rsid w:val="00FC73BD"/>
    <w:rsid w:val="00FD01B9"/>
    <w:rsid w:val="00FD0BA8"/>
    <w:rsid w:val="00FD0D1F"/>
    <w:rsid w:val="00FD1247"/>
    <w:rsid w:val="00FD3312"/>
    <w:rsid w:val="00FD4A7F"/>
    <w:rsid w:val="00FD4CB3"/>
    <w:rsid w:val="00FD52F1"/>
    <w:rsid w:val="00FD59DB"/>
    <w:rsid w:val="00FE05C0"/>
    <w:rsid w:val="00FE0AEC"/>
    <w:rsid w:val="00FE0C4D"/>
    <w:rsid w:val="00FE3729"/>
    <w:rsid w:val="00FE3907"/>
    <w:rsid w:val="00FE71E6"/>
    <w:rsid w:val="00FF03DE"/>
    <w:rsid w:val="00FF14BC"/>
    <w:rsid w:val="00FF21A6"/>
    <w:rsid w:val="00FF2A6D"/>
    <w:rsid w:val="00FF3D74"/>
    <w:rsid w:val="00FF52EA"/>
    <w:rsid w:val="00FF76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9D4F2F"/>
  <w15:docId w15:val="{7117ABA8-D305-4D65-BC58-5C9F9BBC9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365E3"/>
    <w:rPr>
      <w:noProof/>
      <w:sz w:val="24"/>
      <w:szCs w:val="24"/>
    </w:rPr>
  </w:style>
  <w:style w:type="paragraph" w:styleId="Antrat1">
    <w:name w:val="heading 1"/>
    <w:basedOn w:val="prastasis"/>
    <w:next w:val="prastasis"/>
    <w:qFormat/>
    <w:rsid w:val="00557CD2"/>
    <w:pPr>
      <w:keepNext/>
      <w:jc w:val="center"/>
      <w:outlineLvl w:val="0"/>
    </w:pPr>
    <w:rPr>
      <w:rFonts w:ascii="HelveticaLT" w:hAnsi="HelveticaLT"/>
      <w:caps/>
      <w:noProof w:val="0"/>
      <w:sz w:val="32"/>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en-US" w:eastAsia="en-US"/>
    </w:rPr>
  </w:style>
  <w:style w:type="paragraph" w:styleId="prastasiniatinklio">
    <w:name w:val="Normal (Web)"/>
    <w:basedOn w:val="prastasis"/>
    <w:uiPriority w:val="99"/>
    <w:pPr>
      <w:spacing w:before="100" w:beforeAutospacing="1" w:after="100" w:afterAutospacing="1"/>
    </w:pPr>
  </w:style>
  <w:style w:type="character" w:customStyle="1" w:styleId="typewriter">
    <w:name w:val="typewriter"/>
    <w:basedOn w:val="Numatytasispastraiposriftas"/>
  </w:style>
  <w:style w:type="paragraph" w:styleId="Antrats">
    <w:name w:val="header"/>
    <w:basedOn w:val="prastasis"/>
    <w:link w:val="AntratsDiagrama"/>
    <w:pPr>
      <w:tabs>
        <w:tab w:val="center" w:pos="4819"/>
        <w:tab w:val="right" w:pos="9638"/>
      </w:tabs>
    </w:pPr>
    <w:rPr>
      <w:lang w:val="x-none" w:eastAsia="x-none"/>
    </w:rPr>
  </w:style>
  <w:style w:type="character" w:styleId="Komentaronuoroda">
    <w:name w:val="annotation reference"/>
    <w:semiHidden/>
    <w:rPr>
      <w:sz w:val="16"/>
      <w:szCs w:val="16"/>
    </w:rPr>
  </w:style>
  <w:style w:type="character" w:styleId="Puslapionumeris">
    <w:name w:val="page number"/>
    <w:basedOn w:val="Numatytasispastraiposriftas"/>
  </w:style>
  <w:style w:type="paragraph" w:styleId="Debesliotekstas">
    <w:name w:val="Balloon Text"/>
    <w:basedOn w:val="prastasis"/>
    <w:semiHidden/>
    <w:rsid w:val="009616A5"/>
    <w:rPr>
      <w:rFonts w:ascii="Tahoma" w:hAnsi="Tahoma" w:cs="Tahoma"/>
      <w:sz w:val="16"/>
      <w:szCs w:val="16"/>
    </w:rPr>
  </w:style>
  <w:style w:type="paragraph" w:styleId="Komentarotekstas">
    <w:name w:val="annotation text"/>
    <w:basedOn w:val="prastasis"/>
    <w:semiHidden/>
    <w:rsid w:val="009616A5"/>
    <w:rPr>
      <w:sz w:val="20"/>
      <w:szCs w:val="20"/>
    </w:rPr>
  </w:style>
  <w:style w:type="paragraph" w:styleId="Komentarotema">
    <w:name w:val="annotation subject"/>
    <w:basedOn w:val="Komentarotekstas"/>
    <w:next w:val="Komentarotekstas"/>
    <w:semiHidden/>
    <w:rsid w:val="009616A5"/>
    <w:rPr>
      <w:b/>
      <w:bCs/>
    </w:rPr>
  </w:style>
  <w:style w:type="character" w:styleId="Hipersaitas">
    <w:name w:val="Hyperlink"/>
    <w:rsid w:val="004F5055"/>
    <w:rPr>
      <w:color w:val="0000FF"/>
      <w:u w:val="single"/>
    </w:rPr>
  </w:style>
  <w:style w:type="table" w:styleId="Lentelstinklelis">
    <w:name w:val="Table Grid"/>
    <w:basedOn w:val="prastojilentel"/>
    <w:rsid w:val="00263C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rsid w:val="002C6F4B"/>
    <w:pPr>
      <w:spacing w:before="100" w:beforeAutospacing="1" w:after="100" w:afterAutospacing="1"/>
    </w:pPr>
  </w:style>
  <w:style w:type="paragraph" w:styleId="Pagrindinistekstas2">
    <w:name w:val="Body Text 2"/>
    <w:basedOn w:val="prastasis"/>
    <w:rsid w:val="002C6F4B"/>
    <w:pPr>
      <w:spacing w:before="100" w:beforeAutospacing="1" w:after="100" w:afterAutospacing="1"/>
    </w:pPr>
  </w:style>
  <w:style w:type="paragraph" w:styleId="Pagrindiniotekstotrauka2">
    <w:name w:val="Body Text Indent 2"/>
    <w:basedOn w:val="prastasis"/>
    <w:rsid w:val="002C6F4B"/>
    <w:pPr>
      <w:spacing w:before="100" w:beforeAutospacing="1" w:after="100" w:afterAutospacing="1"/>
    </w:pPr>
  </w:style>
  <w:style w:type="paragraph" w:styleId="Pagrindinistekstas">
    <w:name w:val="Body Text"/>
    <w:basedOn w:val="prastasis"/>
    <w:rsid w:val="00557CD2"/>
    <w:pPr>
      <w:spacing w:after="120"/>
    </w:pPr>
  </w:style>
  <w:style w:type="paragraph" w:customStyle="1" w:styleId="DiagramaDiagramaCharCharDiagramaDiagramaCharCharDiagramaDiagrama">
    <w:name w:val="Diagrama Diagrama Char Char Diagrama Diagrama Char Char Diagrama Diagrama"/>
    <w:basedOn w:val="prastasis"/>
    <w:rsid w:val="00557CD2"/>
    <w:pPr>
      <w:widowControl w:val="0"/>
      <w:adjustRightInd w:val="0"/>
      <w:spacing w:after="160" w:line="240" w:lineRule="exact"/>
      <w:jc w:val="both"/>
    </w:pPr>
    <w:rPr>
      <w:rFonts w:ascii="Tahoma" w:hAnsi="Tahoma"/>
      <w:noProof w:val="0"/>
      <w:sz w:val="20"/>
      <w:szCs w:val="20"/>
      <w:lang w:val="en-US" w:eastAsia="en-US"/>
    </w:rPr>
  </w:style>
  <w:style w:type="paragraph" w:customStyle="1" w:styleId="Pagrindinistekstas1">
    <w:name w:val="Pagrindinis tekstas1"/>
    <w:rsid w:val="00C26894"/>
    <w:pPr>
      <w:autoSpaceDE w:val="0"/>
      <w:autoSpaceDN w:val="0"/>
      <w:adjustRightInd w:val="0"/>
      <w:ind w:firstLine="312"/>
      <w:jc w:val="both"/>
    </w:pPr>
    <w:rPr>
      <w:rFonts w:ascii="TimesLT" w:hAnsi="TimesLT"/>
      <w:lang w:val="en-US" w:eastAsia="en-US"/>
    </w:rPr>
  </w:style>
  <w:style w:type="character" w:customStyle="1" w:styleId="AntratsDiagrama">
    <w:name w:val="Antraštės Diagrama"/>
    <w:link w:val="Antrats"/>
    <w:rsid w:val="00447DF4"/>
    <w:rPr>
      <w:noProof/>
      <w:sz w:val="24"/>
      <w:szCs w:val="24"/>
    </w:rPr>
  </w:style>
  <w:style w:type="paragraph" w:styleId="Dokumentostruktra">
    <w:name w:val="Document Map"/>
    <w:basedOn w:val="prastasis"/>
    <w:link w:val="DokumentostruktraDiagrama"/>
    <w:rsid w:val="00297764"/>
    <w:rPr>
      <w:rFonts w:ascii="Tahoma" w:hAnsi="Tahoma"/>
      <w:sz w:val="16"/>
      <w:szCs w:val="16"/>
      <w:lang w:val="x-none" w:eastAsia="x-none"/>
    </w:rPr>
  </w:style>
  <w:style w:type="character" w:customStyle="1" w:styleId="DokumentostruktraDiagrama">
    <w:name w:val="Dokumento struktūra Diagrama"/>
    <w:link w:val="Dokumentostruktra"/>
    <w:rsid w:val="00297764"/>
    <w:rPr>
      <w:rFonts w:ascii="Tahoma" w:hAnsi="Tahoma" w:cs="Tahoma"/>
      <w:noProof/>
      <w:sz w:val="16"/>
      <w:szCs w:val="16"/>
    </w:rPr>
  </w:style>
  <w:style w:type="paragraph" w:customStyle="1" w:styleId="Hyperlink1">
    <w:name w:val="Hyperlink1"/>
    <w:basedOn w:val="prastasis"/>
    <w:rsid w:val="0080725B"/>
    <w:pPr>
      <w:suppressAutoHyphens/>
      <w:autoSpaceDE w:val="0"/>
      <w:autoSpaceDN w:val="0"/>
      <w:adjustRightInd w:val="0"/>
      <w:spacing w:line="297" w:lineRule="auto"/>
      <w:ind w:firstLine="312"/>
      <w:jc w:val="both"/>
    </w:pPr>
    <w:rPr>
      <w:noProof w:val="0"/>
      <w:color w:val="000000"/>
      <w:sz w:val="20"/>
      <w:szCs w:val="20"/>
      <w:lang w:val="en-GB" w:eastAsia="en-US"/>
    </w:rPr>
  </w:style>
  <w:style w:type="paragraph" w:styleId="Pagrindiniotekstotrauka">
    <w:name w:val="Body Text Indent"/>
    <w:basedOn w:val="prastasis"/>
    <w:link w:val="PagrindiniotekstotraukaDiagrama"/>
    <w:rsid w:val="00E3672A"/>
    <w:pPr>
      <w:spacing w:after="120"/>
      <w:ind w:left="283"/>
    </w:pPr>
    <w:rPr>
      <w:lang w:val="x-none" w:eastAsia="x-none"/>
    </w:rPr>
  </w:style>
  <w:style w:type="character" w:customStyle="1" w:styleId="PagrindiniotekstotraukaDiagrama">
    <w:name w:val="Pagrindinio teksto įtrauka Diagrama"/>
    <w:link w:val="Pagrindiniotekstotrauka"/>
    <w:rsid w:val="00E3672A"/>
    <w:rPr>
      <w:noProof/>
      <w:sz w:val="24"/>
      <w:szCs w:val="24"/>
    </w:rPr>
  </w:style>
  <w:style w:type="paragraph" w:customStyle="1" w:styleId="CharChar">
    <w:name w:val="Char Char"/>
    <w:basedOn w:val="prastasis"/>
    <w:rsid w:val="006E083F"/>
    <w:pPr>
      <w:widowControl w:val="0"/>
      <w:adjustRightInd w:val="0"/>
      <w:spacing w:after="160" w:line="240" w:lineRule="exact"/>
      <w:jc w:val="both"/>
      <w:textAlignment w:val="baseline"/>
    </w:pPr>
    <w:rPr>
      <w:rFonts w:ascii="Tahoma" w:eastAsia="MS Mincho" w:hAnsi="Tahoma"/>
      <w:noProof w:val="0"/>
      <w:sz w:val="20"/>
      <w:szCs w:val="20"/>
      <w:lang w:val="en-US" w:eastAsia="en-US"/>
    </w:rPr>
  </w:style>
  <w:style w:type="character" w:customStyle="1" w:styleId="HTMLiankstoformatuotasDiagrama">
    <w:name w:val="HTML iš anksto formatuotas Diagrama"/>
    <w:link w:val="HTMLiankstoformatuotas"/>
    <w:uiPriority w:val="99"/>
    <w:rsid w:val="003D7A6F"/>
    <w:rPr>
      <w:rFonts w:ascii="Courier New" w:eastAsia="Courier New" w:hAnsi="Courier New" w:cs="Courier New"/>
      <w:noProof/>
      <w:lang w:val="en-US" w:eastAsia="en-US"/>
    </w:rPr>
  </w:style>
  <w:style w:type="paragraph" w:customStyle="1" w:styleId="tajtip">
    <w:name w:val="tajtip"/>
    <w:basedOn w:val="prastasis"/>
    <w:rsid w:val="00CB6D6B"/>
    <w:pPr>
      <w:spacing w:before="100" w:beforeAutospacing="1" w:after="100" w:afterAutospacing="1"/>
    </w:pPr>
    <w:rPr>
      <w:noProof w:val="0"/>
    </w:rPr>
  </w:style>
  <w:style w:type="character" w:customStyle="1" w:styleId="zinlist1">
    <w:name w:val="zin_list1"/>
    <w:rsid w:val="002C1CA0"/>
    <w:rPr>
      <w:i/>
      <w:iCs/>
      <w:sz w:val="11"/>
      <w:szCs w:val="11"/>
    </w:rPr>
  </w:style>
  <w:style w:type="paragraph" w:customStyle="1" w:styleId="tekstas">
    <w:name w:val="tekstas"/>
    <w:basedOn w:val="prastasis"/>
    <w:rsid w:val="00532901"/>
    <w:pPr>
      <w:spacing w:before="100" w:beforeAutospacing="1" w:after="100" w:afterAutospacing="1"/>
    </w:pPr>
    <w:rPr>
      <w:noProof w:val="0"/>
    </w:rPr>
  </w:style>
  <w:style w:type="paragraph" w:customStyle="1" w:styleId="kopija">
    <w:name w:val="kopija"/>
    <w:basedOn w:val="prastasis"/>
    <w:rsid w:val="000656A5"/>
    <w:pPr>
      <w:spacing w:before="100" w:beforeAutospacing="1" w:after="100" w:afterAutospacing="1"/>
    </w:pPr>
    <w:rPr>
      <w:noProof w:val="0"/>
    </w:rPr>
  </w:style>
  <w:style w:type="character" w:styleId="Puslapioinaosnuoroda">
    <w:name w:val="footnote reference"/>
    <w:aliases w:val="Ref,de nota al pie,(NECG) Footnote Reference"/>
    <w:rsid w:val="000656A5"/>
    <w:rPr>
      <w:vertAlign w:val="superscript"/>
    </w:rPr>
  </w:style>
  <w:style w:type="character" w:customStyle="1" w:styleId="LLCTekstas">
    <w:name w:val="LLCTekstas"/>
    <w:rsid w:val="000656A5"/>
  </w:style>
  <w:style w:type="character" w:customStyle="1" w:styleId="LLCStraipsnPav">
    <w:name w:val="LLCStraipsnPav"/>
    <w:rsid w:val="000656A5"/>
    <w:rPr>
      <w:b/>
    </w:rPr>
  </w:style>
  <w:style w:type="paragraph" w:styleId="Puslapioinaostekstas">
    <w:name w:val="footnote text"/>
    <w:aliases w:val="MA Footnote,Fußnotentext Char1,Footnote Text Char Char,Footnote Text Char1 Char Char,Footnote Text Char Char Char Char,Footnote Text Char Char1 Char Char,Footnote Text Char Char1 Cha,Footnote Text Char Char1,Car,fn,Footnotes"/>
    <w:basedOn w:val="prastasis"/>
    <w:link w:val="PuslapioinaostekstasDiagrama"/>
    <w:uiPriority w:val="99"/>
    <w:qFormat/>
    <w:rsid w:val="009072E1"/>
    <w:rPr>
      <w:noProof w:val="0"/>
      <w:sz w:val="20"/>
      <w:szCs w:val="20"/>
    </w:rPr>
  </w:style>
  <w:style w:type="character" w:customStyle="1" w:styleId="PuslapioinaostekstasDiagrama">
    <w:name w:val="Puslapio išnašos tekstas Diagrama"/>
    <w:aliases w:val="MA Footnote Diagrama,Fußnotentext Char1 Diagrama,Footnote Text Char Char Diagrama,Footnote Text Char1 Char Char Diagrama,Footnote Text Char Char Char Char Diagrama,Footnote Text Char Char1 Char Char Diagrama,fn Diagrama"/>
    <w:basedOn w:val="Numatytasispastraiposriftas"/>
    <w:link w:val="Puslapioinaostekstas"/>
    <w:uiPriority w:val="99"/>
    <w:rsid w:val="009072E1"/>
  </w:style>
  <w:style w:type="paragraph" w:customStyle="1" w:styleId="Pavadinimas1">
    <w:name w:val="Pavadinimas1"/>
    <w:basedOn w:val="prastasis"/>
    <w:rsid w:val="002F2847"/>
    <w:pPr>
      <w:spacing w:before="40" w:after="40"/>
      <w:ind w:right="1959"/>
    </w:pPr>
    <w:rPr>
      <w:rFonts w:eastAsia="Calibri"/>
      <w:caps/>
      <w:noProof w:val="0"/>
      <w:lang w:eastAsia="en-US"/>
    </w:rPr>
  </w:style>
  <w:style w:type="paragraph" w:customStyle="1" w:styleId="Preformatted">
    <w:name w:val="Preformatted"/>
    <w:basedOn w:val="prastasis"/>
    <w:rsid w:val="00BC610C"/>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noProof w:val="0"/>
      <w:sz w:val="20"/>
      <w:szCs w:val="20"/>
      <w:lang w:eastAsia="en-US"/>
    </w:rPr>
  </w:style>
  <w:style w:type="character" w:customStyle="1" w:styleId="quatationtext">
    <w:name w:val="quatation_text"/>
    <w:rsid w:val="00BC610C"/>
    <w:rPr>
      <w:rFonts w:ascii="Arial" w:hAnsi="Arial" w:cs="Arial" w:hint="default"/>
      <w:b/>
      <w:bCs/>
      <w:vanish w:val="0"/>
      <w:webHidden w:val="0"/>
      <w:color w:val="4A473C"/>
      <w:sz w:val="17"/>
      <w:szCs w:val="17"/>
      <w:specVanish w:val="0"/>
    </w:rPr>
  </w:style>
  <w:style w:type="paragraph" w:customStyle="1" w:styleId="tip">
    <w:name w:val="tip"/>
    <w:basedOn w:val="prastasis"/>
    <w:rsid w:val="00A831FA"/>
    <w:pPr>
      <w:spacing w:before="100" w:beforeAutospacing="1" w:after="100" w:afterAutospacing="1"/>
    </w:pPr>
    <w:rPr>
      <w:noProof w:val="0"/>
    </w:rPr>
  </w:style>
  <w:style w:type="paragraph" w:customStyle="1" w:styleId="statymopavad">
    <w:name w:val="Įstatymo pavad."/>
    <w:basedOn w:val="prastasis"/>
    <w:rsid w:val="00E35EA1"/>
    <w:pPr>
      <w:ind w:firstLine="720"/>
      <w:jc w:val="center"/>
    </w:pPr>
    <w:rPr>
      <w:rFonts w:ascii="TimesLT" w:hAnsi="TimesLT"/>
      <w:caps/>
      <w:noProof w:val="0"/>
    </w:rPr>
  </w:style>
  <w:style w:type="paragraph" w:customStyle="1" w:styleId="x">
    <w:name w:val="x"/>
    <w:basedOn w:val="prastasis"/>
    <w:rsid w:val="00A125FA"/>
    <w:rPr>
      <w:noProof w:val="0"/>
    </w:rPr>
  </w:style>
  <w:style w:type="character" w:customStyle="1" w:styleId="pmark">
    <w:name w:val="pmark"/>
    <w:basedOn w:val="Numatytasispastraiposriftas"/>
    <w:rsid w:val="0044435D"/>
  </w:style>
  <w:style w:type="character" w:customStyle="1" w:styleId="Bodytext2">
    <w:name w:val="Body text (2)_"/>
    <w:basedOn w:val="Numatytasispastraiposriftas"/>
    <w:link w:val="Bodytext20"/>
    <w:rsid w:val="00A62599"/>
    <w:rPr>
      <w:shd w:val="clear" w:color="auto" w:fill="FFFFFF"/>
    </w:rPr>
  </w:style>
  <w:style w:type="character" w:customStyle="1" w:styleId="Bodytext4">
    <w:name w:val="Body text (4)_"/>
    <w:basedOn w:val="Numatytasispastraiposriftas"/>
    <w:link w:val="Bodytext40"/>
    <w:rsid w:val="00A62599"/>
    <w:rPr>
      <w:i/>
      <w:iCs/>
      <w:shd w:val="clear" w:color="auto" w:fill="FFFFFF"/>
    </w:rPr>
  </w:style>
  <w:style w:type="paragraph" w:customStyle="1" w:styleId="Bodytext20">
    <w:name w:val="Body text (2)"/>
    <w:basedOn w:val="prastasis"/>
    <w:link w:val="Bodytext2"/>
    <w:rsid w:val="00A62599"/>
    <w:pPr>
      <w:widowControl w:val="0"/>
      <w:shd w:val="clear" w:color="auto" w:fill="FFFFFF"/>
      <w:spacing w:before="1140" w:after="780" w:line="277" w:lineRule="exact"/>
      <w:jc w:val="both"/>
    </w:pPr>
    <w:rPr>
      <w:noProof w:val="0"/>
      <w:sz w:val="20"/>
      <w:szCs w:val="20"/>
    </w:rPr>
  </w:style>
  <w:style w:type="paragraph" w:customStyle="1" w:styleId="Bodytext40">
    <w:name w:val="Body text (4)"/>
    <w:basedOn w:val="prastasis"/>
    <w:link w:val="Bodytext4"/>
    <w:rsid w:val="00A62599"/>
    <w:pPr>
      <w:widowControl w:val="0"/>
      <w:shd w:val="clear" w:color="auto" w:fill="FFFFFF"/>
      <w:spacing w:before="240" w:line="274" w:lineRule="exact"/>
      <w:ind w:firstLine="600"/>
      <w:jc w:val="both"/>
    </w:pPr>
    <w:rPr>
      <w:i/>
      <w:iCs/>
      <w:noProof w:val="0"/>
      <w:sz w:val="20"/>
      <w:szCs w:val="20"/>
    </w:rPr>
  </w:style>
  <w:style w:type="character" w:customStyle="1" w:styleId="Footnote">
    <w:name w:val="Footnote_"/>
    <w:basedOn w:val="Numatytasispastraiposriftas"/>
    <w:link w:val="Footnote0"/>
    <w:rsid w:val="00A62599"/>
    <w:rPr>
      <w:sz w:val="19"/>
      <w:szCs w:val="19"/>
      <w:shd w:val="clear" w:color="auto" w:fill="FFFFFF"/>
    </w:rPr>
  </w:style>
  <w:style w:type="character" w:customStyle="1" w:styleId="Footnote2">
    <w:name w:val="Footnote (2)_"/>
    <w:basedOn w:val="Numatytasispastraiposriftas"/>
    <w:link w:val="Footnote20"/>
    <w:rsid w:val="00A62599"/>
    <w:rPr>
      <w:i/>
      <w:iCs/>
      <w:shd w:val="clear" w:color="auto" w:fill="FFFFFF"/>
    </w:rPr>
  </w:style>
  <w:style w:type="character" w:customStyle="1" w:styleId="Footnote2NotItalic">
    <w:name w:val="Footnote (2) + Not Italic"/>
    <w:basedOn w:val="Footnote2"/>
    <w:rsid w:val="00A62599"/>
    <w:rPr>
      <w:i/>
      <w:iCs/>
      <w:color w:val="000000"/>
      <w:spacing w:val="0"/>
      <w:w w:val="100"/>
      <w:position w:val="0"/>
      <w:sz w:val="24"/>
      <w:szCs w:val="24"/>
      <w:shd w:val="clear" w:color="auto" w:fill="FFFFFF"/>
      <w:lang w:val="lt-LT" w:eastAsia="lt-LT" w:bidi="lt-LT"/>
    </w:rPr>
  </w:style>
  <w:style w:type="character" w:customStyle="1" w:styleId="Bodytext2Italic">
    <w:name w:val="Body text (2) + Italic"/>
    <w:basedOn w:val="Bodytext2"/>
    <w:rsid w:val="00A62599"/>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lt-LT" w:eastAsia="lt-LT" w:bidi="lt-LT"/>
    </w:rPr>
  </w:style>
  <w:style w:type="paragraph" w:customStyle="1" w:styleId="Footnote0">
    <w:name w:val="Footnote"/>
    <w:basedOn w:val="prastasis"/>
    <w:link w:val="Footnote"/>
    <w:rsid w:val="00A62599"/>
    <w:pPr>
      <w:widowControl w:val="0"/>
      <w:shd w:val="clear" w:color="auto" w:fill="FFFFFF"/>
      <w:spacing w:line="230" w:lineRule="exact"/>
    </w:pPr>
    <w:rPr>
      <w:noProof w:val="0"/>
      <w:sz w:val="19"/>
      <w:szCs w:val="19"/>
    </w:rPr>
  </w:style>
  <w:style w:type="paragraph" w:customStyle="1" w:styleId="Footnote20">
    <w:name w:val="Footnote (2)"/>
    <w:basedOn w:val="prastasis"/>
    <w:link w:val="Footnote2"/>
    <w:rsid w:val="00A62599"/>
    <w:pPr>
      <w:widowControl w:val="0"/>
      <w:shd w:val="clear" w:color="auto" w:fill="FFFFFF"/>
      <w:spacing w:line="230" w:lineRule="exact"/>
      <w:jc w:val="both"/>
    </w:pPr>
    <w:rPr>
      <w:i/>
      <w:iCs/>
      <w:noProof w:val="0"/>
      <w:sz w:val="20"/>
      <w:szCs w:val="20"/>
    </w:rPr>
  </w:style>
  <w:style w:type="character" w:customStyle="1" w:styleId="Bodytext5">
    <w:name w:val="Body text (5)_"/>
    <w:basedOn w:val="Numatytasispastraiposriftas"/>
    <w:link w:val="Bodytext50"/>
    <w:rsid w:val="00964D57"/>
    <w:rPr>
      <w:sz w:val="19"/>
      <w:szCs w:val="19"/>
      <w:shd w:val="clear" w:color="auto" w:fill="FFFFFF"/>
    </w:rPr>
  </w:style>
  <w:style w:type="paragraph" w:customStyle="1" w:styleId="Bodytext50">
    <w:name w:val="Body text (5)"/>
    <w:basedOn w:val="prastasis"/>
    <w:link w:val="Bodytext5"/>
    <w:rsid w:val="00964D57"/>
    <w:pPr>
      <w:widowControl w:val="0"/>
      <w:shd w:val="clear" w:color="auto" w:fill="FFFFFF"/>
      <w:spacing w:before="660" w:line="230" w:lineRule="exact"/>
      <w:jc w:val="center"/>
    </w:pPr>
    <w:rPr>
      <w:noProof w:val="0"/>
      <w:sz w:val="19"/>
      <w:szCs w:val="19"/>
    </w:rPr>
  </w:style>
  <w:style w:type="paragraph" w:styleId="Sraopastraipa">
    <w:name w:val="List Paragraph"/>
    <w:basedOn w:val="prastasis"/>
    <w:uiPriority w:val="34"/>
    <w:qFormat/>
    <w:rsid w:val="006716FD"/>
    <w:pPr>
      <w:widowControl w:val="0"/>
      <w:suppressAutoHyphens/>
      <w:ind w:left="1296"/>
    </w:pPr>
    <w:rPr>
      <w:rFonts w:ascii="Times Roman" w:eastAsia="Arial" w:hAnsi="Times Roman"/>
      <w:noProof w:val="0"/>
      <w:lang w:val="lv-LV" w:eastAsia="en-US"/>
    </w:rPr>
  </w:style>
  <w:style w:type="paragraph" w:customStyle="1" w:styleId="Tekstas0">
    <w:name w:val="Tekstas"/>
    <w:basedOn w:val="prastasis"/>
    <w:rsid w:val="00B26022"/>
    <w:pPr>
      <w:spacing w:before="40" w:after="40"/>
      <w:ind w:right="40" w:firstLine="1247"/>
      <w:jc w:val="both"/>
    </w:pPr>
    <w:rPr>
      <w:noProof w:val="0"/>
    </w:rPr>
  </w:style>
  <w:style w:type="paragraph" w:customStyle="1" w:styleId="Default">
    <w:name w:val="Default"/>
    <w:rsid w:val="00B26022"/>
    <w:pPr>
      <w:autoSpaceDE w:val="0"/>
      <w:autoSpaceDN w:val="0"/>
      <w:adjustRightInd w:val="0"/>
    </w:pPr>
    <w:rPr>
      <w:color w:val="000000"/>
      <w:sz w:val="24"/>
      <w:szCs w:val="24"/>
    </w:rPr>
  </w:style>
  <w:style w:type="character" w:styleId="Emfaz">
    <w:name w:val="Emphasis"/>
    <w:basedOn w:val="Numatytasispastraiposriftas"/>
    <w:uiPriority w:val="20"/>
    <w:qFormat/>
    <w:rsid w:val="005F08E0"/>
    <w:rPr>
      <w:i/>
      <w:iCs/>
    </w:rPr>
  </w:style>
  <w:style w:type="character" w:styleId="Grietas">
    <w:name w:val="Strong"/>
    <w:basedOn w:val="Numatytasispastraiposriftas"/>
    <w:uiPriority w:val="22"/>
    <w:qFormat/>
    <w:rsid w:val="005F08E0"/>
    <w:rPr>
      <w:b/>
      <w:bCs/>
    </w:rPr>
  </w:style>
  <w:style w:type="paragraph" w:customStyle="1" w:styleId="normal1">
    <w:name w:val="normal1"/>
    <w:basedOn w:val="prastasis"/>
    <w:rsid w:val="00436871"/>
    <w:pPr>
      <w:spacing w:before="120" w:line="312" w:lineRule="atLeast"/>
      <w:jc w:val="both"/>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901956">
      <w:bodyDiv w:val="1"/>
      <w:marLeft w:val="0"/>
      <w:marRight w:val="0"/>
      <w:marTop w:val="0"/>
      <w:marBottom w:val="0"/>
      <w:divBdr>
        <w:top w:val="none" w:sz="0" w:space="0" w:color="auto"/>
        <w:left w:val="none" w:sz="0" w:space="0" w:color="auto"/>
        <w:bottom w:val="none" w:sz="0" w:space="0" w:color="auto"/>
        <w:right w:val="none" w:sz="0" w:space="0" w:color="auto"/>
      </w:divBdr>
    </w:div>
    <w:div w:id="104272670">
      <w:bodyDiv w:val="1"/>
      <w:marLeft w:val="225"/>
      <w:marRight w:val="225"/>
      <w:marTop w:val="0"/>
      <w:marBottom w:val="0"/>
      <w:divBdr>
        <w:top w:val="none" w:sz="0" w:space="0" w:color="auto"/>
        <w:left w:val="none" w:sz="0" w:space="0" w:color="auto"/>
        <w:bottom w:val="none" w:sz="0" w:space="0" w:color="auto"/>
        <w:right w:val="none" w:sz="0" w:space="0" w:color="auto"/>
      </w:divBdr>
      <w:divsChild>
        <w:div w:id="1029912603">
          <w:marLeft w:val="0"/>
          <w:marRight w:val="0"/>
          <w:marTop w:val="0"/>
          <w:marBottom w:val="0"/>
          <w:divBdr>
            <w:top w:val="none" w:sz="0" w:space="0" w:color="auto"/>
            <w:left w:val="none" w:sz="0" w:space="0" w:color="auto"/>
            <w:bottom w:val="none" w:sz="0" w:space="0" w:color="auto"/>
            <w:right w:val="none" w:sz="0" w:space="0" w:color="auto"/>
          </w:divBdr>
        </w:div>
      </w:divsChild>
    </w:div>
    <w:div w:id="105583956">
      <w:bodyDiv w:val="1"/>
      <w:marLeft w:val="225"/>
      <w:marRight w:val="225"/>
      <w:marTop w:val="0"/>
      <w:marBottom w:val="0"/>
      <w:divBdr>
        <w:top w:val="none" w:sz="0" w:space="0" w:color="auto"/>
        <w:left w:val="none" w:sz="0" w:space="0" w:color="auto"/>
        <w:bottom w:val="none" w:sz="0" w:space="0" w:color="auto"/>
        <w:right w:val="none" w:sz="0" w:space="0" w:color="auto"/>
      </w:divBdr>
      <w:divsChild>
        <w:div w:id="102699203">
          <w:marLeft w:val="0"/>
          <w:marRight w:val="0"/>
          <w:marTop w:val="0"/>
          <w:marBottom w:val="0"/>
          <w:divBdr>
            <w:top w:val="none" w:sz="0" w:space="0" w:color="auto"/>
            <w:left w:val="none" w:sz="0" w:space="0" w:color="auto"/>
            <w:bottom w:val="none" w:sz="0" w:space="0" w:color="auto"/>
            <w:right w:val="none" w:sz="0" w:space="0" w:color="auto"/>
          </w:divBdr>
        </w:div>
      </w:divsChild>
    </w:div>
    <w:div w:id="116605914">
      <w:bodyDiv w:val="1"/>
      <w:marLeft w:val="0"/>
      <w:marRight w:val="0"/>
      <w:marTop w:val="0"/>
      <w:marBottom w:val="0"/>
      <w:divBdr>
        <w:top w:val="none" w:sz="0" w:space="0" w:color="auto"/>
        <w:left w:val="none" w:sz="0" w:space="0" w:color="auto"/>
        <w:bottom w:val="none" w:sz="0" w:space="0" w:color="auto"/>
        <w:right w:val="none" w:sz="0" w:space="0" w:color="auto"/>
      </w:divBdr>
    </w:div>
    <w:div w:id="117845292">
      <w:bodyDiv w:val="1"/>
      <w:marLeft w:val="0"/>
      <w:marRight w:val="0"/>
      <w:marTop w:val="0"/>
      <w:marBottom w:val="0"/>
      <w:divBdr>
        <w:top w:val="none" w:sz="0" w:space="0" w:color="auto"/>
        <w:left w:val="none" w:sz="0" w:space="0" w:color="auto"/>
        <w:bottom w:val="none" w:sz="0" w:space="0" w:color="auto"/>
        <w:right w:val="none" w:sz="0" w:space="0" w:color="auto"/>
      </w:divBdr>
    </w:div>
    <w:div w:id="204677174">
      <w:bodyDiv w:val="1"/>
      <w:marLeft w:val="225"/>
      <w:marRight w:val="225"/>
      <w:marTop w:val="0"/>
      <w:marBottom w:val="0"/>
      <w:divBdr>
        <w:top w:val="none" w:sz="0" w:space="0" w:color="auto"/>
        <w:left w:val="none" w:sz="0" w:space="0" w:color="auto"/>
        <w:bottom w:val="none" w:sz="0" w:space="0" w:color="auto"/>
        <w:right w:val="none" w:sz="0" w:space="0" w:color="auto"/>
      </w:divBdr>
      <w:divsChild>
        <w:div w:id="1789663027">
          <w:marLeft w:val="0"/>
          <w:marRight w:val="0"/>
          <w:marTop w:val="0"/>
          <w:marBottom w:val="0"/>
          <w:divBdr>
            <w:top w:val="none" w:sz="0" w:space="0" w:color="auto"/>
            <w:left w:val="none" w:sz="0" w:space="0" w:color="auto"/>
            <w:bottom w:val="none" w:sz="0" w:space="0" w:color="auto"/>
            <w:right w:val="none" w:sz="0" w:space="0" w:color="auto"/>
          </w:divBdr>
        </w:div>
      </w:divsChild>
    </w:div>
    <w:div w:id="217473755">
      <w:bodyDiv w:val="1"/>
      <w:marLeft w:val="0"/>
      <w:marRight w:val="0"/>
      <w:marTop w:val="0"/>
      <w:marBottom w:val="0"/>
      <w:divBdr>
        <w:top w:val="none" w:sz="0" w:space="0" w:color="auto"/>
        <w:left w:val="none" w:sz="0" w:space="0" w:color="auto"/>
        <w:bottom w:val="none" w:sz="0" w:space="0" w:color="auto"/>
        <w:right w:val="none" w:sz="0" w:space="0" w:color="auto"/>
      </w:divBdr>
    </w:div>
    <w:div w:id="250941165">
      <w:bodyDiv w:val="1"/>
      <w:marLeft w:val="0"/>
      <w:marRight w:val="0"/>
      <w:marTop w:val="0"/>
      <w:marBottom w:val="0"/>
      <w:divBdr>
        <w:top w:val="none" w:sz="0" w:space="0" w:color="auto"/>
        <w:left w:val="none" w:sz="0" w:space="0" w:color="auto"/>
        <w:bottom w:val="none" w:sz="0" w:space="0" w:color="auto"/>
        <w:right w:val="none" w:sz="0" w:space="0" w:color="auto"/>
      </w:divBdr>
    </w:div>
    <w:div w:id="375550938">
      <w:bodyDiv w:val="1"/>
      <w:marLeft w:val="0"/>
      <w:marRight w:val="0"/>
      <w:marTop w:val="0"/>
      <w:marBottom w:val="0"/>
      <w:divBdr>
        <w:top w:val="none" w:sz="0" w:space="0" w:color="auto"/>
        <w:left w:val="none" w:sz="0" w:space="0" w:color="auto"/>
        <w:bottom w:val="none" w:sz="0" w:space="0" w:color="auto"/>
        <w:right w:val="none" w:sz="0" w:space="0" w:color="auto"/>
      </w:divBdr>
    </w:div>
    <w:div w:id="390226389">
      <w:bodyDiv w:val="1"/>
      <w:marLeft w:val="0"/>
      <w:marRight w:val="0"/>
      <w:marTop w:val="0"/>
      <w:marBottom w:val="150"/>
      <w:divBdr>
        <w:top w:val="none" w:sz="0" w:space="0" w:color="auto"/>
        <w:left w:val="none" w:sz="0" w:space="0" w:color="auto"/>
        <w:bottom w:val="none" w:sz="0" w:space="0" w:color="auto"/>
        <w:right w:val="none" w:sz="0" w:space="0" w:color="auto"/>
      </w:divBdr>
      <w:divsChild>
        <w:div w:id="1002850393">
          <w:marLeft w:val="600"/>
          <w:marRight w:val="0"/>
          <w:marTop w:val="0"/>
          <w:marBottom w:val="0"/>
          <w:divBdr>
            <w:top w:val="none" w:sz="0" w:space="0" w:color="auto"/>
            <w:left w:val="none" w:sz="0" w:space="0" w:color="auto"/>
            <w:bottom w:val="none" w:sz="0" w:space="0" w:color="auto"/>
            <w:right w:val="none" w:sz="0" w:space="0" w:color="auto"/>
          </w:divBdr>
          <w:divsChild>
            <w:div w:id="196754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213931">
      <w:bodyDiv w:val="1"/>
      <w:marLeft w:val="225"/>
      <w:marRight w:val="225"/>
      <w:marTop w:val="0"/>
      <w:marBottom w:val="0"/>
      <w:divBdr>
        <w:top w:val="none" w:sz="0" w:space="0" w:color="auto"/>
        <w:left w:val="none" w:sz="0" w:space="0" w:color="auto"/>
        <w:bottom w:val="none" w:sz="0" w:space="0" w:color="auto"/>
        <w:right w:val="none" w:sz="0" w:space="0" w:color="auto"/>
      </w:divBdr>
      <w:divsChild>
        <w:div w:id="1572538172">
          <w:marLeft w:val="0"/>
          <w:marRight w:val="0"/>
          <w:marTop w:val="0"/>
          <w:marBottom w:val="0"/>
          <w:divBdr>
            <w:top w:val="none" w:sz="0" w:space="0" w:color="auto"/>
            <w:left w:val="none" w:sz="0" w:space="0" w:color="auto"/>
            <w:bottom w:val="none" w:sz="0" w:space="0" w:color="auto"/>
            <w:right w:val="none" w:sz="0" w:space="0" w:color="auto"/>
          </w:divBdr>
        </w:div>
      </w:divsChild>
    </w:div>
    <w:div w:id="435440144">
      <w:bodyDiv w:val="1"/>
      <w:marLeft w:val="161"/>
      <w:marRight w:val="161"/>
      <w:marTop w:val="0"/>
      <w:marBottom w:val="0"/>
      <w:divBdr>
        <w:top w:val="none" w:sz="0" w:space="0" w:color="auto"/>
        <w:left w:val="none" w:sz="0" w:space="0" w:color="auto"/>
        <w:bottom w:val="none" w:sz="0" w:space="0" w:color="auto"/>
        <w:right w:val="none" w:sz="0" w:space="0" w:color="auto"/>
      </w:divBdr>
      <w:divsChild>
        <w:div w:id="705835903">
          <w:marLeft w:val="0"/>
          <w:marRight w:val="0"/>
          <w:marTop w:val="0"/>
          <w:marBottom w:val="0"/>
          <w:divBdr>
            <w:top w:val="none" w:sz="0" w:space="0" w:color="auto"/>
            <w:left w:val="none" w:sz="0" w:space="0" w:color="auto"/>
            <w:bottom w:val="none" w:sz="0" w:space="0" w:color="auto"/>
            <w:right w:val="none" w:sz="0" w:space="0" w:color="auto"/>
          </w:divBdr>
        </w:div>
      </w:divsChild>
    </w:div>
    <w:div w:id="438909403">
      <w:bodyDiv w:val="1"/>
      <w:marLeft w:val="0"/>
      <w:marRight w:val="0"/>
      <w:marTop w:val="0"/>
      <w:marBottom w:val="150"/>
      <w:divBdr>
        <w:top w:val="none" w:sz="0" w:space="0" w:color="auto"/>
        <w:left w:val="none" w:sz="0" w:space="0" w:color="auto"/>
        <w:bottom w:val="none" w:sz="0" w:space="0" w:color="auto"/>
        <w:right w:val="none" w:sz="0" w:space="0" w:color="auto"/>
      </w:divBdr>
      <w:divsChild>
        <w:div w:id="902719596">
          <w:marLeft w:val="600"/>
          <w:marRight w:val="0"/>
          <w:marTop w:val="0"/>
          <w:marBottom w:val="0"/>
          <w:divBdr>
            <w:top w:val="none" w:sz="0" w:space="0" w:color="auto"/>
            <w:left w:val="none" w:sz="0" w:space="0" w:color="auto"/>
            <w:bottom w:val="none" w:sz="0" w:space="0" w:color="auto"/>
            <w:right w:val="none" w:sz="0" w:space="0" w:color="auto"/>
          </w:divBdr>
          <w:divsChild>
            <w:div w:id="39828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219134">
      <w:bodyDiv w:val="1"/>
      <w:marLeft w:val="0"/>
      <w:marRight w:val="0"/>
      <w:marTop w:val="0"/>
      <w:marBottom w:val="0"/>
      <w:divBdr>
        <w:top w:val="none" w:sz="0" w:space="0" w:color="auto"/>
        <w:left w:val="none" w:sz="0" w:space="0" w:color="auto"/>
        <w:bottom w:val="none" w:sz="0" w:space="0" w:color="auto"/>
        <w:right w:val="none" w:sz="0" w:space="0" w:color="auto"/>
      </w:divBdr>
    </w:div>
    <w:div w:id="491527253">
      <w:bodyDiv w:val="1"/>
      <w:marLeft w:val="225"/>
      <w:marRight w:val="225"/>
      <w:marTop w:val="0"/>
      <w:marBottom w:val="0"/>
      <w:divBdr>
        <w:top w:val="none" w:sz="0" w:space="0" w:color="auto"/>
        <w:left w:val="none" w:sz="0" w:space="0" w:color="auto"/>
        <w:bottom w:val="none" w:sz="0" w:space="0" w:color="auto"/>
        <w:right w:val="none" w:sz="0" w:space="0" w:color="auto"/>
      </w:divBdr>
      <w:divsChild>
        <w:div w:id="267004671">
          <w:marLeft w:val="0"/>
          <w:marRight w:val="0"/>
          <w:marTop w:val="0"/>
          <w:marBottom w:val="0"/>
          <w:divBdr>
            <w:top w:val="none" w:sz="0" w:space="0" w:color="auto"/>
            <w:left w:val="none" w:sz="0" w:space="0" w:color="auto"/>
            <w:bottom w:val="none" w:sz="0" w:space="0" w:color="auto"/>
            <w:right w:val="none" w:sz="0" w:space="0" w:color="auto"/>
          </w:divBdr>
        </w:div>
      </w:divsChild>
    </w:div>
    <w:div w:id="491719575">
      <w:bodyDiv w:val="1"/>
      <w:marLeft w:val="0"/>
      <w:marRight w:val="0"/>
      <w:marTop w:val="0"/>
      <w:marBottom w:val="150"/>
      <w:divBdr>
        <w:top w:val="none" w:sz="0" w:space="0" w:color="auto"/>
        <w:left w:val="none" w:sz="0" w:space="0" w:color="auto"/>
        <w:bottom w:val="none" w:sz="0" w:space="0" w:color="auto"/>
        <w:right w:val="none" w:sz="0" w:space="0" w:color="auto"/>
      </w:divBdr>
      <w:divsChild>
        <w:div w:id="448739453">
          <w:marLeft w:val="600"/>
          <w:marRight w:val="0"/>
          <w:marTop w:val="0"/>
          <w:marBottom w:val="0"/>
          <w:divBdr>
            <w:top w:val="none" w:sz="0" w:space="0" w:color="auto"/>
            <w:left w:val="none" w:sz="0" w:space="0" w:color="auto"/>
            <w:bottom w:val="none" w:sz="0" w:space="0" w:color="auto"/>
            <w:right w:val="none" w:sz="0" w:space="0" w:color="auto"/>
          </w:divBdr>
          <w:divsChild>
            <w:div w:id="26234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884902">
      <w:bodyDiv w:val="1"/>
      <w:marLeft w:val="0"/>
      <w:marRight w:val="0"/>
      <w:marTop w:val="0"/>
      <w:marBottom w:val="0"/>
      <w:divBdr>
        <w:top w:val="none" w:sz="0" w:space="0" w:color="auto"/>
        <w:left w:val="none" w:sz="0" w:space="0" w:color="auto"/>
        <w:bottom w:val="none" w:sz="0" w:space="0" w:color="auto"/>
        <w:right w:val="none" w:sz="0" w:space="0" w:color="auto"/>
      </w:divBdr>
    </w:div>
    <w:div w:id="582489608">
      <w:bodyDiv w:val="1"/>
      <w:marLeft w:val="225"/>
      <w:marRight w:val="225"/>
      <w:marTop w:val="0"/>
      <w:marBottom w:val="0"/>
      <w:divBdr>
        <w:top w:val="none" w:sz="0" w:space="0" w:color="auto"/>
        <w:left w:val="none" w:sz="0" w:space="0" w:color="auto"/>
        <w:bottom w:val="none" w:sz="0" w:space="0" w:color="auto"/>
        <w:right w:val="none" w:sz="0" w:space="0" w:color="auto"/>
      </w:divBdr>
      <w:divsChild>
        <w:div w:id="1182276571">
          <w:marLeft w:val="0"/>
          <w:marRight w:val="0"/>
          <w:marTop w:val="0"/>
          <w:marBottom w:val="0"/>
          <w:divBdr>
            <w:top w:val="none" w:sz="0" w:space="0" w:color="auto"/>
            <w:left w:val="none" w:sz="0" w:space="0" w:color="auto"/>
            <w:bottom w:val="none" w:sz="0" w:space="0" w:color="auto"/>
            <w:right w:val="none" w:sz="0" w:space="0" w:color="auto"/>
          </w:divBdr>
        </w:div>
      </w:divsChild>
    </w:div>
    <w:div w:id="749162791">
      <w:bodyDiv w:val="1"/>
      <w:marLeft w:val="225"/>
      <w:marRight w:val="225"/>
      <w:marTop w:val="0"/>
      <w:marBottom w:val="0"/>
      <w:divBdr>
        <w:top w:val="none" w:sz="0" w:space="0" w:color="auto"/>
        <w:left w:val="none" w:sz="0" w:space="0" w:color="auto"/>
        <w:bottom w:val="none" w:sz="0" w:space="0" w:color="auto"/>
        <w:right w:val="none" w:sz="0" w:space="0" w:color="auto"/>
      </w:divBdr>
      <w:divsChild>
        <w:div w:id="921991408">
          <w:marLeft w:val="0"/>
          <w:marRight w:val="0"/>
          <w:marTop w:val="0"/>
          <w:marBottom w:val="0"/>
          <w:divBdr>
            <w:top w:val="none" w:sz="0" w:space="0" w:color="auto"/>
            <w:left w:val="none" w:sz="0" w:space="0" w:color="auto"/>
            <w:bottom w:val="none" w:sz="0" w:space="0" w:color="auto"/>
            <w:right w:val="none" w:sz="0" w:space="0" w:color="auto"/>
          </w:divBdr>
        </w:div>
      </w:divsChild>
    </w:div>
    <w:div w:id="770050017">
      <w:bodyDiv w:val="1"/>
      <w:marLeft w:val="225"/>
      <w:marRight w:val="225"/>
      <w:marTop w:val="0"/>
      <w:marBottom w:val="0"/>
      <w:divBdr>
        <w:top w:val="none" w:sz="0" w:space="0" w:color="auto"/>
        <w:left w:val="none" w:sz="0" w:space="0" w:color="auto"/>
        <w:bottom w:val="none" w:sz="0" w:space="0" w:color="auto"/>
        <w:right w:val="none" w:sz="0" w:space="0" w:color="auto"/>
      </w:divBdr>
      <w:divsChild>
        <w:div w:id="1350714043">
          <w:marLeft w:val="0"/>
          <w:marRight w:val="0"/>
          <w:marTop w:val="0"/>
          <w:marBottom w:val="0"/>
          <w:divBdr>
            <w:top w:val="none" w:sz="0" w:space="0" w:color="auto"/>
            <w:left w:val="none" w:sz="0" w:space="0" w:color="auto"/>
            <w:bottom w:val="none" w:sz="0" w:space="0" w:color="auto"/>
            <w:right w:val="none" w:sz="0" w:space="0" w:color="auto"/>
          </w:divBdr>
        </w:div>
      </w:divsChild>
    </w:div>
    <w:div w:id="789783076">
      <w:bodyDiv w:val="1"/>
      <w:marLeft w:val="225"/>
      <w:marRight w:val="225"/>
      <w:marTop w:val="0"/>
      <w:marBottom w:val="0"/>
      <w:divBdr>
        <w:top w:val="none" w:sz="0" w:space="0" w:color="auto"/>
        <w:left w:val="none" w:sz="0" w:space="0" w:color="auto"/>
        <w:bottom w:val="none" w:sz="0" w:space="0" w:color="auto"/>
        <w:right w:val="none" w:sz="0" w:space="0" w:color="auto"/>
      </w:divBdr>
      <w:divsChild>
        <w:div w:id="1292981755">
          <w:marLeft w:val="0"/>
          <w:marRight w:val="0"/>
          <w:marTop w:val="0"/>
          <w:marBottom w:val="0"/>
          <w:divBdr>
            <w:top w:val="none" w:sz="0" w:space="0" w:color="auto"/>
            <w:left w:val="none" w:sz="0" w:space="0" w:color="auto"/>
            <w:bottom w:val="none" w:sz="0" w:space="0" w:color="auto"/>
            <w:right w:val="none" w:sz="0" w:space="0" w:color="auto"/>
          </w:divBdr>
        </w:div>
      </w:divsChild>
    </w:div>
    <w:div w:id="801771901">
      <w:bodyDiv w:val="1"/>
      <w:marLeft w:val="0"/>
      <w:marRight w:val="0"/>
      <w:marTop w:val="0"/>
      <w:marBottom w:val="0"/>
      <w:divBdr>
        <w:top w:val="none" w:sz="0" w:space="0" w:color="auto"/>
        <w:left w:val="none" w:sz="0" w:space="0" w:color="auto"/>
        <w:bottom w:val="none" w:sz="0" w:space="0" w:color="auto"/>
        <w:right w:val="none" w:sz="0" w:space="0" w:color="auto"/>
      </w:divBdr>
    </w:div>
    <w:div w:id="818378800">
      <w:bodyDiv w:val="1"/>
      <w:marLeft w:val="0"/>
      <w:marRight w:val="0"/>
      <w:marTop w:val="0"/>
      <w:marBottom w:val="300"/>
      <w:divBdr>
        <w:top w:val="none" w:sz="0" w:space="0" w:color="auto"/>
        <w:left w:val="none" w:sz="0" w:space="0" w:color="auto"/>
        <w:bottom w:val="none" w:sz="0" w:space="0" w:color="auto"/>
        <w:right w:val="none" w:sz="0" w:space="0" w:color="auto"/>
      </w:divBdr>
      <w:divsChild>
        <w:div w:id="940995153">
          <w:marLeft w:val="0"/>
          <w:marRight w:val="0"/>
          <w:marTop w:val="0"/>
          <w:marBottom w:val="0"/>
          <w:divBdr>
            <w:top w:val="none" w:sz="0" w:space="0" w:color="auto"/>
            <w:left w:val="none" w:sz="0" w:space="0" w:color="auto"/>
            <w:bottom w:val="none" w:sz="0" w:space="0" w:color="auto"/>
            <w:right w:val="none" w:sz="0" w:space="0" w:color="auto"/>
          </w:divBdr>
          <w:divsChild>
            <w:div w:id="875850407">
              <w:marLeft w:val="0"/>
              <w:marRight w:val="0"/>
              <w:marTop w:val="0"/>
              <w:marBottom w:val="0"/>
              <w:divBdr>
                <w:top w:val="none" w:sz="0" w:space="0" w:color="auto"/>
                <w:left w:val="none" w:sz="0" w:space="0" w:color="auto"/>
                <w:bottom w:val="none" w:sz="0" w:space="0" w:color="auto"/>
                <w:right w:val="none" w:sz="0" w:space="0" w:color="auto"/>
              </w:divBdr>
              <w:divsChild>
                <w:div w:id="2082559217">
                  <w:marLeft w:val="-150"/>
                  <w:marRight w:val="-150"/>
                  <w:marTop w:val="0"/>
                  <w:marBottom w:val="0"/>
                  <w:divBdr>
                    <w:top w:val="none" w:sz="0" w:space="0" w:color="auto"/>
                    <w:left w:val="none" w:sz="0" w:space="0" w:color="auto"/>
                    <w:bottom w:val="none" w:sz="0" w:space="0" w:color="auto"/>
                    <w:right w:val="none" w:sz="0" w:space="0" w:color="auto"/>
                  </w:divBdr>
                  <w:divsChild>
                    <w:div w:id="419832437">
                      <w:marLeft w:val="0"/>
                      <w:marRight w:val="0"/>
                      <w:marTop w:val="0"/>
                      <w:marBottom w:val="0"/>
                      <w:divBdr>
                        <w:top w:val="none" w:sz="0" w:space="0" w:color="auto"/>
                        <w:left w:val="none" w:sz="0" w:space="0" w:color="auto"/>
                        <w:bottom w:val="none" w:sz="0" w:space="0" w:color="auto"/>
                        <w:right w:val="none" w:sz="0" w:space="0" w:color="auto"/>
                      </w:divBdr>
                      <w:divsChild>
                        <w:div w:id="1750496258">
                          <w:marLeft w:val="0"/>
                          <w:marRight w:val="0"/>
                          <w:marTop w:val="0"/>
                          <w:marBottom w:val="0"/>
                          <w:divBdr>
                            <w:top w:val="single" w:sz="6" w:space="23" w:color="E7E7E7"/>
                            <w:left w:val="single" w:sz="6" w:space="23" w:color="E7E7E7"/>
                            <w:bottom w:val="single" w:sz="6" w:space="23" w:color="E7E7E7"/>
                            <w:right w:val="single" w:sz="6" w:space="23" w:color="E7E7E7"/>
                          </w:divBdr>
                        </w:div>
                      </w:divsChild>
                    </w:div>
                  </w:divsChild>
                </w:div>
              </w:divsChild>
            </w:div>
          </w:divsChild>
        </w:div>
      </w:divsChild>
    </w:div>
    <w:div w:id="910849489">
      <w:bodyDiv w:val="1"/>
      <w:marLeft w:val="0"/>
      <w:marRight w:val="0"/>
      <w:marTop w:val="0"/>
      <w:marBottom w:val="150"/>
      <w:divBdr>
        <w:top w:val="none" w:sz="0" w:space="0" w:color="auto"/>
        <w:left w:val="none" w:sz="0" w:space="0" w:color="auto"/>
        <w:bottom w:val="none" w:sz="0" w:space="0" w:color="auto"/>
        <w:right w:val="none" w:sz="0" w:space="0" w:color="auto"/>
      </w:divBdr>
      <w:divsChild>
        <w:div w:id="1816607069">
          <w:marLeft w:val="600"/>
          <w:marRight w:val="0"/>
          <w:marTop w:val="0"/>
          <w:marBottom w:val="0"/>
          <w:divBdr>
            <w:top w:val="none" w:sz="0" w:space="0" w:color="auto"/>
            <w:left w:val="none" w:sz="0" w:space="0" w:color="auto"/>
            <w:bottom w:val="none" w:sz="0" w:space="0" w:color="auto"/>
            <w:right w:val="none" w:sz="0" w:space="0" w:color="auto"/>
          </w:divBdr>
          <w:divsChild>
            <w:div w:id="172583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892312">
      <w:bodyDiv w:val="1"/>
      <w:marLeft w:val="225"/>
      <w:marRight w:val="225"/>
      <w:marTop w:val="0"/>
      <w:marBottom w:val="0"/>
      <w:divBdr>
        <w:top w:val="none" w:sz="0" w:space="0" w:color="auto"/>
        <w:left w:val="none" w:sz="0" w:space="0" w:color="auto"/>
        <w:bottom w:val="none" w:sz="0" w:space="0" w:color="auto"/>
        <w:right w:val="none" w:sz="0" w:space="0" w:color="auto"/>
      </w:divBdr>
      <w:divsChild>
        <w:div w:id="639968056">
          <w:marLeft w:val="0"/>
          <w:marRight w:val="0"/>
          <w:marTop w:val="0"/>
          <w:marBottom w:val="0"/>
          <w:divBdr>
            <w:top w:val="none" w:sz="0" w:space="0" w:color="auto"/>
            <w:left w:val="none" w:sz="0" w:space="0" w:color="auto"/>
            <w:bottom w:val="none" w:sz="0" w:space="0" w:color="auto"/>
            <w:right w:val="none" w:sz="0" w:space="0" w:color="auto"/>
          </w:divBdr>
        </w:div>
      </w:divsChild>
    </w:div>
    <w:div w:id="942802414">
      <w:bodyDiv w:val="1"/>
      <w:marLeft w:val="0"/>
      <w:marRight w:val="0"/>
      <w:marTop w:val="0"/>
      <w:marBottom w:val="150"/>
      <w:divBdr>
        <w:top w:val="none" w:sz="0" w:space="0" w:color="auto"/>
        <w:left w:val="none" w:sz="0" w:space="0" w:color="auto"/>
        <w:bottom w:val="none" w:sz="0" w:space="0" w:color="auto"/>
        <w:right w:val="none" w:sz="0" w:space="0" w:color="auto"/>
      </w:divBdr>
      <w:divsChild>
        <w:div w:id="1876455974">
          <w:marLeft w:val="600"/>
          <w:marRight w:val="0"/>
          <w:marTop w:val="0"/>
          <w:marBottom w:val="0"/>
          <w:divBdr>
            <w:top w:val="none" w:sz="0" w:space="0" w:color="auto"/>
            <w:left w:val="none" w:sz="0" w:space="0" w:color="auto"/>
            <w:bottom w:val="none" w:sz="0" w:space="0" w:color="auto"/>
            <w:right w:val="none" w:sz="0" w:space="0" w:color="auto"/>
          </w:divBdr>
          <w:divsChild>
            <w:div w:id="148165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591776">
      <w:bodyDiv w:val="1"/>
      <w:marLeft w:val="0"/>
      <w:marRight w:val="0"/>
      <w:marTop w:val="0"/>
      <w:marBottom w:val="0"/>
      <w:divBdr>
        <w:top w:val="none" w:sz="0" w:space="0" w:color="auto"/>
        <w:left w:val="none" w:sz="0" w:space="0" w:color="auto"/>
        <w:bottom w:val="none" w:sz="0" w:space="0" w:color="auto"/>
        <w:right w:val="none" w:sz="0" w:space="0" w:color="auto"/>
      </w:divBdr>
    </w:div>
    <w:div w:id="989092420">
      <w:bodyDiv w:val="1"/>
      <w:marLeft w:val="0"/>
      <w:marRight w:val="0"/>
      <w:marTop w:val="0"/>
      <w:marBottom w:val="0"/>
      <w:divBdr>
        <w:top w:val="none" w:sz="0" w:space="0" w:color="auto"/>
        <w:left w:val="none" w:sz="0" w:space="0" w:color="auto"/>
        <w:bottom w:val="none" w:sz="0" w:space="0" w:color="auto"/>
        <w:right w:val="none" w:sz="0" w:space="0" w:color="auto"/>
      </w:divBdr>
    </w:div>
    <w:div w:id="989361340">
      <w:bodyDiv w:val="1"/>
      <w:marLeft w:val="0"/>
      <w:marRight w:val="0"/>
      <w:marTop w:val="0"/>
      <w:marBottom w:val="0"/>
      <w:divBdr>
        <w:top w:val="none" w:sz="0" w:space="0" w:color="auto"/>
        <w:left w:val="none" w:sz="0" w:space="0" w:color="auto"/>
        <w:bottom w:val="none" w:sz="0" w:space="0" w:color="auto"/>
        <w:right w:val="none" w:sz="0" w:space="0" w:color="auto"/>
      </w:divBdr>
    </w:div>
    <w:div w:id="1009255767">
      <w:bodyDiv w:val="1"/>
      <w:marLeft w:val="0"/>
      <w:marRight w:val="0"/>
      <w:marTop w:val="0"/>
      <w:marBottom w:val="0"/>
      <w:divBdr>
        <w:top w:val="none" w:sz="0" w:space="0" w:color="auto"/>
        <w:left w:val="none" w:sz="0" w:space="0" w:color="auto"/>
        <w:bottom w:val="none" w:sz="0" w:space="0" w:color="auto"/>
        <w:right w:val="none" w:sz="0" w:space="0" w:color="auto"/>
      </w:divBdr>
    </w:div>
    <w:div w:id="1095443730">
      <w:bodyDiv w:val="1"/>
      <w:marLeft w:val="225"/>
      <w:marRight w:val="225"/>
      <w:marTop w:val="0"/>
      <w:marBottom w:val="0"/>
      <w:divBdr>
        <w:top w:val="none" w:sz="0" w:space="0" w:color="auto"/>
        <w:left w:val="none" w:sz="0" w:space="0" w:color="auto"/>
        <w:bottom w:val="none" w:sz="0" w:space="0" w:color="auto"/>
        <w:right w:val="none" w:sz="0" w:space="0" w:color="auto"/>
      </w:divBdr>
      <w:divsChild>
        <w:div w:id="446628806">
          <w:marLeft w:val="0"/>
          <w:marRight w:val="0"/>
          <w:marTop w:val="0"/>
          <w:marBottom w:val="0"/>
          <w:divBdr>
            <w:top w:val="none" w:sz="0" w:space="0" w:color="auto"/>
            <w:left w:val="none" w:sz="0" w:space="0" w:color="auto"/>
            <w:bottom w:val="none" w:sz="0" w:space="0" w:color="auto"/>
            <w:right w:val="none" w:sz="0" w:space="0" w:color="auto"/>
          </w:divBdr>
        </w:div>
      </w:divsChild>
    </w:div>
    <w:div w:id="1105542391">
      <w:bodyDiv w:val="1"/>
      <w:marLeft w:val="225"/>
      <w:marRight w:val="225"/>
      <w:marTop w:val="0"/>
      <w:marBottom w:val="0"/>
      <w:divBdr>
        <w:top w:val="none" w:sz="0" w:space="0" w:color="auto"/>
        <w:left w:val="none" w:sz="0" w:space="0" w:color="auto"/>
        <w:bottom w:val="none" w:sz="0" w:space="0" w:color="auto"/>
        <w:right w:val="none" w:sz="0" w:space="0" w:color="auto"/>
      </w:divBdr>
      <w:divsChild>
        <w:div w:id="1724984405">
          <w:marLeft w:val="0"/>
          <w:marRight w:val="0"/>
          <w:marTop w:val="0"/>
          <w:marBottom w:val="0"/>
          <w:divBdr>
            <w:top w:val="none" w:sz="0" w:space="0" w:color="auto"/>
            <w:left w:val="none" w:sz="0" w:space="0" w:color="auto"/>
            <w:bottom w:val="none" w:sz="0" w:space="0" w:color="auto"/>
            <w:right w:val="none" w:sz="0" w:space="0" w:color="auto"/>
          </w:divBdr>
        </w:div>
      </w:divsChild>
    </w:div>
    <w:div w:id="1118795623">
      <w:bodyDiv w:val="1"/>
      <w:marLeft w:val="0"/>
      <w:marRight w:val="0"/>
      <w:marTop w:val="0"/>
      <w:marBottom w:val="0"/>
      <w:divBdr>
        <w:top w:val="none" w:sz="0" w:space="0" w:color="auto"/>
        <w:left w:val="none" w:sz="0" w:space="0" w:color="auto"/>
        <w:bottom w:val="none" w:sz="0" w:space="0" w:color="auto"/>
        <w:right w:val="none" w:sz="0" w:space="0" w:color="auto"/>
      </w:divBdr>
    </w:div>
    <w:div w:id="1125857325">
      <w:bodyDiv w:val="1"/>
      <w:marLeft w:val="0"/>
      <w:marRight w:val="0"/>
      <w:marTop w:val="0"/>
      <w:marBottom w:val="0"/>
      <w:divBdr>
        <w:top w:val="none" w:sz="0" w:space="0" w:color="auto"/>
        <w:left w:val="none" w:sz="0" w:space="0" w:color="auto"/>
        <w:bottom w:val="none" w:sz="0" w:space="0" w:color="auto"/>
        <w:right w:val="none" w:sz="0" w:space="0" w:color="auto"/>
      </w:divBdr>
    </w:div>
    <w:div w:id="1208955041">
      <w:bodyDiv w:val="1"/>
      <w:marLeft w:val="0"/>
      <w:marRight w:val="0"/>
      <w:marTop w:val="0"/>
      <w:marBottom w:val="0"/>
      <w:divBdr>
        <w:top w:val="none" w:sz="0" w:space="0" w:color="auto"/>
        <w:left w:val="none" w:sz="0" w:space="0" w:color="auto"/>
        <w:bottom w:val="none" w:sz="0" w:space="0" w:color="auto"/>
        <w:right w:val="none" w:sz="0" w:space="0" w:color="auto"/>
      </w:divBdr>
    </w:div>
    <w:div w:id="1451778245">
      <w:bodyDiv w:val="1"/>
      <w:marLeft w:val="0"/>
      <w:marRight w:val="0"/>
      <w:marTop w:val="0"/>
      <w:marBottom w:val="0"/>
      <w:divBdr>
        <w:top w:val="none" w:sz="0" w:space="0" w:color="auto"/>
        <w:left w:val="none" w:sz="0" w:space="0" w:color="auto"/>
        <w:bottom w:val="none" w:sz="0" w:space="0" w:color="auto"/>
        <w:right w:val="none" w:sz="0" w:space="0" w:color="auto"/>
      </w:divBdr>
    </w:div>
    <w:div w:id="1459295873">
      <w:bodyDiv w:val="1"/>
      <w:marLeft w:val="0"/>
      <w:marRight w:val="0"/>
      <w:marTop w:val="0"/>
      <w:marBottom w:val="0"/>
      <w:divBdr>
        <w:top w:val="none" w:sz="0" w:space="0" w:color="auto"/>
        <w:left w:val="none" w:sz="0" w:space="0" w:color="auto"/>
        <w:bottom w:val="none" w:sz="0" w:space="0" w:color="auto"/>
        <w:right w:val="none" w:sz="0" w:space="0" w:color="auto"/>
      </w:divBdr>
    </w:div>
    <w:div w:id="1477839147">
      <w:bodyDiv w:val="1"/>
      <w:marLeft w:val="0"/>
      <w:marRight w:val="0"/>
      <w:marTop w:val="0"/>
      <w:marBottom w:val="0"/>
      <w:divBdr>
        <w:top w:val="none" w:sz="0" w:space="0" w:color="auto"/>
        <w:left w:val="none" w:sz="0" w:space="0" w:color="auto"/>
        <w:bottom w:val="none" w:sz="0" w:space="0" w:color="auto"/>
        <w:right w:val="none" w:sz="0" w:space="0" w:color="auto"/>
      </w:divBdr>
      <w:divsChild>
        <w:div w:id="1679578864">
          <w:marLeft w:val="0"/>
          <w:marRight w:val="0"/>
          <w:marTop w:val="0"/>
          <w:marBottom w:val="0"/>
          <w:divBdr>
            <w:top w:val="none" w:sz="0" w:space="0" w:color="auto"/>
            <w:left w:val="none" w:sz="0" w:space="0" w:color="auto"/>
            <w:bottom w:val="none" w:sz="0" w:space="0" w:color="auto"/>
            <w:right w:val="none" w:sz="0" w:space="0" w:color="auto"/>
          </w:divBdr>
        </w:div>
      </w:divsChild>
    </w:div>
    <w:div w:id="1511798028">
      <w:bodyDiv w:val="1"/>
      <w:marLeft w:val="225"/>
      <w:marRight w:val="225"/>
      <w:marTop w:val="0"/>
      <w:marBottom w:val="0"/>
      <w:divBdr>
        <w:top w:val="none" w:sz="0" w:space="0" w:color="auto"/>
        <w:left w:val="none" w:sz="0" w:space="0" w:color="auto"/>
        <w:bottom w:val="none" w:sz="0" w:space="0" w:color="auto"/>
        <w:right w:val="none" w:sz="0" w:space="0" w:color="auto"/>
      </w:divBdr>
      <w:divsChild>
        <w:div w:id="1593080372">
          <w:marLeft w:val="0"/>
          <w:marRight w:val="0"/>
          <w:marTop w:val="0"/>
          <w:marBottom w:val="0"/>
          <w:divBdr>
            <w:top w:val="none" w:sz="0" w:space="0" w:color="auto"/>
            <w:left w:val="none" w:sz="0" w:space="0" w:color="auto"/>
            <w:bottom w:val="none" w:sz="0" w:space="0" w:color="auto"/>
            <w:right w:val="none" w:sz="0" w:space="0" w:color="auto"/>
          </w:divBdr>
        </w:div>
      </w:divsChild>
    </w:div>
    <w:div w:id="1579749681">
      <w:bodyDiv w:val="1"/>
      <w:marLeft w:val="0"/>
      <w:marRight w:val="0"/>
      <w:marTop w:val="0"/>
      <w:marBottom w:val="0"/>
      <w:divBdr>
        <w:top w:val="none" w:sz="0" w:space="0" w:color="auto"/>
        <w:left w:val="none" w:sz="0" w:space="0" w:color="auto"/>
        <w:bottom w:val="none" w:sz="0" w:space="0" w:color="auto"/>
        <w:right w:val="none" w:sz="0" w:space="0" w:color="auto"/>
      </w:divBdr>
    </w:div>
    <w:div w:id="1594586306">
      <w:bodyDiv w:val="1"/>
      <w:marLeft w:val="0"/>
      <w:marRight w:val="0"/>
      <w:marTop w:val="0"/>
      <w:marBottom w:val="0"/>
      <w:divBdr>
        <w:top w:val="none" w:sz="0" w:space="0" w:color="auto"/>
        <w:left w:val="none" w:sz="0" w:space="0" w:color="auto"/>
        <w:bottom w:val="none" w:sz="0" w:space="0" w:color="auto"/>
        <w:right w:val="none" w:sz="0" w:space="0" w:color="auto"/>
      </w:divBdr>
      <w:divsChild>
        <w:div w:id="1666591052">
          <w:marLeft w:val="0"/>
          <w:marRight w:val="0"/>
          <w:marTop w:val="0"/>
          <w:marBottom w:val="0"/>
          <w:divBdr>
            <w:top w:val="none" w:sz="0" w:space="0" w:color="auto"/>
            <w:left w:val="none" w:sz="0" w:space="0" w:color="auto"/>
            <w:bottom w:val="none" w:sz="0" w:space="0" w:color="auto"/>
            <w:right w:val="none" w:sz="0" w:space="0" w:color="auto"/>
          </w:divBdr>
          <w:divsChild>
            <w:div w:id="1568612814">
              <w:marLeft w:val="0"/>
              <w:marRight w:val="0"/>
              <w:marTop w:val="0"/>
              <w:marBottom w:val="0"/>
              <w:divBdr>
                <w:top w:val="none" w:sz="0" w:space="0" w:color="auto"/>
                <w:left w:val="none" w:sz="0" w:space="0" w:color="auto"/>
                <w:bottom w:val="none" w:sz="0" w:space="0" w:color="auto"/>
                <w:right w:val="none" w:sz="0" w:space="0" w:color="auto"/>
              </w:divBdr>
              <w:divsChild>
                <w:div w:id="692918560">
                  <w:marLeft w:val="0"/>
                  <w:marRight w:val="0"/>
                  <w:marTop w:val="0"/>
                  <w:marBottom w:val="0"/>
                  <w:divBdr>
                    <w:top w:val="none" w:sz="0" w:space="0" w:color="auto"/>
                    <w:left w:val="none" w:sz="0" w:space="0" w:color="auto"/>
                    <w:bottom w:val="none" w:sz="0" w:space="0" w:color="auto"/>
                    <w:right w:val="none" w:sz="0" w:space="0" w:color="auto"/>
                  </w:divBdr>
                  <w:divsChild>
                    <w:div w:id="1882285558">
                      <w:marLeft w:val="-150"/>
                      <w:marRight w:val="-150"/>
                      <w:marTop w:val="0"/>
                      <w:marBottom w:val="0"/>
                      <w:divBdr>
                        <w:top w:val="none" w:sz="0" w:space="0" w:color="auto"/>
                        <w:left w:val="none" w:sz="0" w:space="0" w:color="auto"/>
                        <w:bottom w:val="none" w:sz="0" w:space="0" w:color="auto"/>
                        <w:right w:val="none" w:sz="0" w:space="0" w:color="auto"/>
                      </w:divBdr>
                      <w:divsChild>
                        <w:div w:id="351340878">
                          <w:marLeft w:val="0"/>
                          <w:marRight w:val="0"/>
                          <w:marTop w:val="0"/>
                          <w:marBottom w:val="0"/>
                          <w:divBdr>
                            <w:top w:val="none" w:sz="0" w:space="0" w:color="auto"/>
                            <w:left w:val="none" w:sz="0" w:space="0" w:color="auto"/>
                            <w:bottom w:val="none" w:sz="0" w:space="0" w:color="auto"/>
                            <w:right w:val="none" w:sz="0" w:space="0" w:color="auto"/>
                          </w:divBdr>
                          <w:divsChild>
                            <w:div w:id="1824079283">
                              <w:marLeft w:val="0"/>
                              <w:marRight w:val="0"/>
                              <w:marTop w:val="0"/>
                              <w:marBottom w:val="0"/>
                              <w:divBdr>
                                <w:top w:val="none" w:sz="0" w:space="0" w:color="auto"/>
                                <w:left w:val="none" w:sz="0" w:space="0" w:color="auto"/>
                                <w:bottom w:val="none" w:sz="0" w:space="0" w:color="auto"/>
                                <w:right w:val="none" w:sz="0" w:space="0" w:color="auto"/>
                              </w:divBdr>
                              <w:divsChild>
                                <w:div w:id="1455824844">
                                  <w:marLeft w:val="0"/>
                                  <w:marRight w:val="0"/>
                                  <w:marTop w:val="0"/>
                                  <w:marBottom w:val="300"/>
                                  <w:divBdr>
                                    <w:top w:val="none" w:sz="0" w:space="0" w:color="auto"/>
                                    <w:left w:val="none" w:sz="0" w:space="0" w:color="auto"/>
                                    <w:bottom w:val="none" w:sz="0" w:space="0" w:color="auto"/>
                                    <w:right w:val="none" w:sz="0" w:space="0" w:color="auto"/>
                                  </w:divBdr>
                                  <w:divsChild>
                                    <w:div w:id="850609095">
                                      <w:marLeft w:val="0"/>
                                      <w:marRight w:val="0"/>
                                      <w:marTop w:val="0"/>
                                      <w:marBottom w:val="0"/>
                                      <w:divBdr>
                                        <w:top w:val="none" w:sz="0" w:space="0" w:color="auto"/>
                                        <w:left w:val="none" w:sz="0" w:space="0" w:color="auto"/>
                                        <w:bottom w:val="none" w:sz="0" w:space="0" w:color="auto"/>
                                        <w:right w:val="none" w:sz="0" w:space="0" w:color="auto"/>
                                      </w:divBdr>
                                      <w:divsChild>
                                        <w:div w:id="228149611">
                                          <w:marLeft w:val="0"/>
                                          <w:marRight w:val="0"/>
                                          <w:marTop w:val="0"/>
                                          <w:marBottom w:val="0"/>
                                          <w:divBdr>
                                            <w:top w:val="none" w:sz="0" w:space="0" w:color="auto"/>
                                            <w:left w:val="none" w:sz="0" w:space="0" w:color="auto"/>
                                            <w:bottom w:val="none" w:sz="0" w:space="0" w:color="auto"/>
                                            <w:right w:val="none" w:sz="0" w:space="0" w:color="auto"/>
                                          </w:divBdr>
                                          <w:divsChild>
                                            <w:div w:id="1684940529">
                                              <w:marLeft w:val="0"/>
                                              <w:marRight w:val="0"/>
                                              <w:marTop w:val="0"/>
                                              <w:marBottom w:val="0"/>
                                              <w:divBdr>
                                                <w:top w:val="none" w:sz="0" w:space="0" w:color="auto"/>
                                                <w:left w:val="none" w:sz="0" w:space="0" w:color="auto"/>
                                                <w:bottom w:val="none" w:sz="0" w:space="0" w:color="auto"/>
                                                <w:right w:val="none" w:sz="0" w:space="0" w:color="auto"/>
                                              </w:divBdr>
                                              <w:divsChild>
                                                <w:div w:id="1928614140">
                                                  <w:marLeft w:val="0"/>
                                                  <w:marRight w:val="0"/>
                                                  <w:marTop w:val="0"/>
                                                  <w:marBottom w:val="0"/>
                                                  <w:divBdr>
                                                    <w:top w:val="none" w:sz="0" w:space="0" w:color="auto"/>
                                                    <w:left w:val="none" w:sz="0" w:space="0" w:color="auto"/>
                                                    <w:bottom w:val="none" w:sz="0" w:space="0" w:color="auto"/>
                                                    <w:right w:val="none" w:sz="0" w:space="0" w:color="auto"/>
                                                  </w:divBdr>
                                                  <w:divsChild>
                                                    <w:div w:id="1576934792">
                                                      <w:marLeft w:val="0"/>
                                                      <w:marRight w:val="0"/>
                                                      <w:marTop w:val="0"/>
                                                      <w:marBottom w:val="0"/>
                                                      <w:divBdr>
                                                        <w:top w:val="none" w:sz="0" w:space="0" w:color="auto"/>
                                                        <w:left w:val="none" w:sz="0" w:space="0" w:color="auto"/>
                                                        <w:bottom w:val="none" w:sz="0" w:space="0" w:color="auto"/>
                                                        <w:right w:val="none" w:sz="0" w:space="0" w:color="auto"/>
                                                      </w:divBdr>
                                                      <w:divsChild>
                                                        <w:div w:id="835806084">
                                                          <w:marLeft w:val="0"/>
                                                          <w:marRight w:val="0"/>
                                                          <w:marTop w:val="0"/>
                                                          <w:marBottom w:val="0"/>
                                                          <w:divBdr>
                                                            <w:top w:val="none" w:sz="0" w:space="0" w:color="auto"/>
                                                            <w:left w:val="none" w:sz="0" w:space="0" w:color="auto"/>
                                                            <w:bottom w:val="none" w:sz="0" w:space="0" w:color="auto"/>
                                                            <w:right w:val="none" w:sz="0" w:space="0" w:color="auto"/>
                                                          </w:divBdr>
                                                          <w:divsChild>
                                                            <w:div w:id="83534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73988729">
      <w:bodyDiv w:val="1"/>
      <w:marLeft w:val="0"/>
      <w:marRight w:val="0"/>
      <w:marTop w:val="0"/>
      <w:marBottom w:val="0"/>
      <w:divBdr>
        <w:top w:val="none" w:sz="0" w:space="0" w:color="auto"/>
        <w:left w:val="none" w:sz="0" w:space="0" w:color="auto"/>
        <w:bottom w:val="none" w:sz="0" w:space="0" w:color="auto"/>
        <w:right w:val="none" w:sz="0" w:space="0" w:color="auto"/>
      </w:divBdr>
    </w:div>
    <w:div w:id="1674601711">
      <w:bodyDiv w:val="1"/>
      <w:marLeft w:val="225"/>
      <w:marRight w:val="225"/>
      <w:marTop w:val="0"/>
      <w:marBottom w:val="0"/>
      <w:divBdr>
        <w:top w:val="none" w:sz="0" w:space="0" w:color="auto"/>
        <w:left w:val="none" w:sz="0" w:space="0" w:color="auto"/>
        <w:bottom w:val="none" w:sz="0" w:space="0" w:color="auto"/>
        <w:right w:val="none" w:sz="0" w:space="0" w:color="auto"/>
      </w:divBdr>
      <w:divsChild>
        <w:div w:id="1010565376">
          <w:marLeft w:val="0"/>
          <w:marRight w:val="0"/>
          <w:marTop w:val="0"/>
          <w:marBottom w:val="0"/>
          <w:divBdr>
            <w:top w:val="none" w:sz="0" w:space="0" w:color="auto"/>
            <w:left w:val="none" w:sz="0" w:space="0" w:color="auto"/>
            <w:bottom w:val="none" w:sz="0" w:space="0" w:color="auto"/>
            <w:right w:val="none" w:sz="0" w:space="0" w:color="auto"/>
          </w:divBdr>
        </w:div>
      </w:divsChild>
    </w:div>
    <w:div w:id="1733961166">
      <w:bodyDiv w:val="1"/>
      <w:marLeft w:val="0"/>
      <w:marRight w:val="0"/>
      <w:marTop w:val="0"/>
      <w:marBottom w:val="0"/>
      <w:divBdr>
        <w:top w:val="none" w:sz="0" w:space="0" w:color="auto"/>
        <w:left w:val="none" w:sz="0" w:space="0" w:color="auto"/>
        <w:bottom w:val="none" w:sz="0" w:space="0" w:color="auto"/>
        <w:right w:val="none" w:sz="0" w:space="0" w:color="auto"/>
      </w:divBdr>
    </w:div>
    <w:div w:id="1805584081">
      <w:bodyDiv w:val="1"/>
      <w:marLeft w:val="0"/>
      <w:marRight w:val="0"/>
      <w:marTop w:val="0"/>
      <w:marBottom w:val="0"/>
      <w:divBdr>
        <w:top w:val="none" w:sz="0" w:space="0" w:color="auto"/>
        <w:left w:val="none" w:sz="0" w:space="0" w:color="auto"/>
        <w:bottom w:val="none" w:sz="0" w:space="0" w:color="auto"/>
        <w:right w:val="none" w:sz="0" w:space="0" w:color="auto"/>
      </w:divBdr>
    </w:div>
    <w:div w:id="1805804082">
      <w:bodyDiv w:val="1"/>
      <w:marLeft w:val="0"/>
      <w:marRight w:val="0"/>
      <w:marTop w:val="0"/>
      <w:marBottom w:val="0"/>
      <w:divBdr>
        <w:top w:val="none" w:sz="0" w:space="0" w:color="auto"/>
        <w:left w:val="none" w:sz="0" w:space="0" w:color="auto"/>
        <w:bottom w:val="none" w:sz="0" w:space="0" w:color="auto"/>
        <w:right w:val="none" w:sz="0" w:space="0" w:color="auto"/>
      </w:divBdr>
    </w:div>
    <w:div w:id="1948921958">
      <w:bodyDiv w:val="1"/>
      <w:marLeft w:val="225"/>
      <w:marRight w:val="225"/>
      <w:marTop w:val="0"/>
      <w:marBottom w:val="0"/>
      <w:divBdr>
        <w:top w:val="none" w:sz="0" w:space="0" w:color="auto"/>
        <w:left w:val="none" w:sz="0" w:space="0" w:color="auto"/>
        <w:bottom w:val="none" w:sz="0" w:space="0" w:color="auto"/>
        <w:right w:val="none" w:sz="0" w:space="0" w:color="auto"/>
      </w:divBdr>
      <w:divsChild>
        <w:div w:id="581766748">
          <w:marLeft w:val="0"/>
          <w:marRight w:val="0"/>
          <w:marTop w:val="0"/>
          <w:marBottom w:val="0"/>
          <w:divBdr>
            <w:top w:val="none" w:sz="0" w:space="0" w:color="auto"/>
            <w:left w:val="none" w:sz="0" w:space="0" w:color="auto"/>
            <w:bottom w:val="none" w:sz="0" w:space="0" w:color="auto"/>
            <w:right w:val="none" w:sz="0" w:space="0" w:color="auto"/>
          </w:divBdr>
        </w:div>
      </w:divsChild>
    </w:div>
    <w:div w:id="2049719392">
      <w:bodyDiv w:val="1"/>
      <w:marLeft w:val="0"/>
      <w:marRight w:val="0"/>
      <w:marTop w:val="0"/>
      <w:marBottom w:val="0"/>
      <w:divBdr>
        <w:top w:val="none" w:sz="0" w:space="0" w:color="auto"/>
        <w:left w:val="none" w:sz="0" w:space="0" w:color="auto"/>
        <w:bottom w:val="none" w:sz="0" w:space="0" w:color="auto"/>
        <w:right w:val="none" w:sz="0" w:space="0" w:color="auto"/>
      </w:divBdr>
    </w:div>
    <w:div w:id="2125533748">
      <w:bodyDiv w:val="1"/>
      <w:marLeft w:val="225"/>
      <w:marRight w:val="225"/>
      <w:marTop w:val="0"/>
      <w:marBottom w:val="0"/>
      <w:divBdr>
        <w:top w:val="none" w:sz="0" w:space="0" w:color="auto"/>
        <w:left w:val="none" w:sz="0" w:space="0" w:color="auto"/>
        <w:bottom w:val="none" w:sz="0" w:space="0" w:color="auto"/>
        <w:right w:val="none" w:sz="0" w:space="0" w:color="auto"/>
      </w:divBdr>
      <w:divsChild>
        <w:div w:id="2081631191">
          <w:marLeft w:val="0"/>
          <w:marRight w:val="0"/>
          <w:marTop w:val="0"/>
          <w:marBottom w:val="0"/>
          <w:divBdr>
            <w:top w:val="none" w:sz="0" w:space="0" w:color="auto"/>
            <w:left w:val="none" w:sz="0" w:space="0" w:color="auto"/>
            <w:bottom w:val="none" w:sz="0" w:space="0" w:color="auto"/>
            <w:right w:val="none" w:sz="0" w:space="0" w:color="auto"/>
          </w:divBdr>
        </w:div>
      </w:divsChild>
    </w:div>
    <w:div w:id="2139302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04EDA5-24AC-48BA-8590-FA9C1AA7E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11822</Words>
  <Characters>6739</Characters>
  <Application>Microsoft Office Word</Application>
  <DocSecurity>0</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VALSTYBINĖS VARTOTOJŲ TEISIŲ APSAUGOS</vt:lpstr>
      <vt:lpstr>VALSTYBINĖS VARTOTOJŲ TEISIŲ APSAUGOS</vt:lpstr>
    </vt:vector>
  </TitlesOfParts>
  <Company/>
  <LinksUpToDate>false</LinksUpToDate>
  <CharactersWithSpaces>18524</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2019-11-29T09:45:00Z</dcterms:created>
  <dc:creator>jpumput</dc:creator>
  <cp:lastModifiedBy>Vaida Rudėnaitė</cp:lastModifiedBy>
  <cp:lastPrinted>2019-10-08T12:07:00Z</cp:lastPrinted>
  <dcterms:modified xsi:type="dcterms:W3CDTF">2019-11-29T09:45:00Z</dcterms:modified>
  <cp:revision>2</cp:revision>
  <dc:title>VALSTYBINĖS VARTOTOJŲ TEISIŲ APSAUGOS</dc:title>
</cp:coreProperties>
</file>