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0CC" w:rsidRDefault="00D250CC" w:rsidP="00D250CC">
      <w:pPr>
        <w:autoSpaceDE w:val="0"/>
        <w:autoSpaceDN w:val="0"/>
        <w:adjustRightInd w:val="0"/>
        <w:spacing w:after="0" w:line="240" w:lineRule="auto"/>
        <w:jc w:val="center"/>
        <w:rPr>
          <w:rFonts w:ascii="Times New Roman" w:hAnsi="Times New Roman"/>
          <w:b/>
          <w:bCs/>
          <w:color w:val="000000"/>
          <w:sz w:val="24"/>
          <w:szCs w:val="24"/>
          <w:lang w:val="lt"/>
        </w:rPr>
      </w:pPr>
      <w:r>
        <w:rPr>
          <w:rFonts w:ascii="Times New Roman" w:hAnsi="Times New Roman"/>
          <w:b/>
          <w:bCs/>
          <w:color w:val="000000"/>
          <w:sz w:val="24"/>
          <w:szCs w:val="24"/>
          <w:lang w:val="lt"/>
        </w:rPr>
        <w:t>NUMATOMO TEISINIO REGULIAVIMO POVEIKIO VERTINIMO PAŽYMA</w:t>
      </w:r>
    </w:p>
    <w:p w:rsidR="00D250CC" w:rsidRPr="00D250CC" w:rsidRDefault="00D250CC" w:rsidP="00756471">
      <w:pPr>
        <w:shd w:val="clear" w:color="auto" w:fill="FFFFFF"/>
        <w:autoSpaceDE w:val="0"/>
        <w:autoSpaceDN w:val="0"/>
        <w:adjustRightInd w:val="0"/>
        <w:spacing w:after="0" w:line="240" w:lineRule="auto"/>
        <w:rPr>
          <w:rFonts w:ascii="Times New Roman" w:hAnsi="Times New Roman"/>
          <w:sz w:val="24"/>
          <w:szCs w:val="24"/>
          <w:lang w:val="lt"/>
        </w:rPr>
      </w:pPr>
    </w:p>
    <w:tbl>
      <w:tblPr>
        <w:tblW w:w="9781" w:type="dxa"/>
        <w:tblInd w:w="108" w:type="dxa"/>
        <w:shd w:val="clear" w:color="auto" w:fill="FFFFFF"/>
        <w:tblLayout w:type="fixed"/>
        <w:tblLook w:val="0000" w:firstRow="0" w:lastRow="0" w:firstColumn="0" w:lastColumn="0" w:noHBand="0" w:noVBand="0"/>
      </w:tblPr>
      <w:tblGrid>
        <w:gridCol w:w="2204"/>
        <w:gridCol w:w="7577"/>
      </w:tblGrid>
      <w:tr w:rsidR="00D250CC" w:rsidRPr="00756471" w:rsidTr="007C70B1">
        <w:trPr>
          <w:trHeight w:val="1"/>
        </w:trPr>
        <w:tc>
          <w:tcPr>
            <w:tcW w:w="2204" w:type="dxa"/>
            <w:tcBorders>
              <w:top w:val="nil"/>
              <w:left w:val="nil"/>
              <w:bottom w:val="nil"/>
              <w:right w:val="nil"/>
            </w:tcBorders>
            <w:shd w:val="clear" w:color="auto" w:fill="FFFFFF"/>
          </w:tcPr>
          <w:p w:rsidR="00D250CC" w:rsidRPr="00756471" w:rsidRDefault="00D250CC" w:rsidP="00756471">
            <w:pPr>
              <w:shd w:val="clear" w:color="auto" w:fill="FFFFFF"/>
              <w:autoSpaceDE w:val="0"/>
              <w:autoSpaceDN w:val="0"/>
              <w:adjustRightInd w:val="0"/>
              <w:spacing w:after="0" w:line="240" w:lineRule="auto"/>
              <w:rPr>
                <w:rFonts w:cs="Calibri"/>
                <w:lang w:val="lt"/>
              </w:rPr>
            </w:pPr>
            <w:r w:rsidRPr="00756471">
              <w:rPr>
                <w:rFonts w:ascii="Times New Roman" w:hAnsi="Times New Roman"/>
                <w:b/>
                <w:bCs/>
                <w:sz w:val="24"/>
                <w:szCs w:val="24"/>
                <w:highlight w:val="white"/>
                <w:lang w:val="lt"/>
              </w:rPr>
              <w:t>Projekto pavadinimas</w:t>
            </w:r>
          </w:p>
        </w:tc>
        <w:tc>
          <w:tcPr>
            <w:tcW w:w="7577" w:type="dxa"/>
            <w:tcBorders>
              <w:top w:val="nil"/>
              <w:left w:val="nil"/>
              <w:bottom w:val="nil"/>
              <w:right w:val="nil"/>
            </w:tcBorders>
            <w:shd w:val="clear" w:color="auto" w:fill="FFFFFF"/>
          </w:tcPr>
          <w:p w:rsidR="00D250CC" w:rsidRPr="007907F8" w:rsidRDefault="00D724F2" w:rsidP="007907F8">
            <w:pPr>
              <w:shd w:val="clear" w:color="auto" w:fill="FFFFFF"/>
              <w:suppressAutoHyphens/>
              <w:autoSpaceDE w:val="0"/>
              <w:autoSpaceDN w:val="0"/>
              <w:adjustRightInd w:val="0"/>
              <w:spacing w:after="0" w:line="240" w:lineRule="auto"/>
              <w:jc w:val="both"/>
              <w:rPr>
                <w:rFonts w:ascii="Times New Roman" w:hAnsi="Times New Roman"/>
                <w:sz w:val="24"/>
                <w:szCs w:val="24"/>
                <w:lang w:val="lt"/>
              </w:rPr>
            </w:pPr>
            <w:r w:rsidRPr="007907F8">
              <w:rPr>
                <w:rFonts w:ascii="Times New Roman" w:hAnsi="Times New Roman"/>
                <w:sz w:val="24"/>
                <w:szCs w:val="24"/>
                <w:lang w:val="lt"/>
              </w:rPr>
              <w:t>Lietuvos  Respublikos Vyriausybės nutarimų „Dėl 2003 m. balandžio 24 d. Lietuvos Respublikos Vyriausybės nutarimo Nr. 515 „Dėl Augalų genų banko steigimo“ pripažinimo netekusiu galios“</w:t>
            </w:r>
            <w:r w:rsidR="00053757">
              <w:rPr>
                <w:rFonts w:ascii="Times New Roman" w:hAnsi="Times New Roman"/>
                <w:sz w:val="24"/>
                <w:szCs w:val="24"/>
                <w:lang w:val="lt"/>
              </w:rPr>
              <w:t>,</w:t>
            </w:r>
            <w:r w:rsidRPr="007907F8">
              <w:rPr>
                <w:rFonts w:ascii="Times New Roman" w:hAnsi="Times New Roman"/>
                <w:sz w:val="24"/>
                <w:szCs w:val="24"/>
                <w:lang w:val="lt"/>
              </w:rPr>
              <w:t xml:space="preserve">  „Dėl Lietuvos Respublikos Vyriausybės 2010 m. spalio 20 d. nutarimo Nr. 1517 „Dėl Įstaigų prie ministerijų“ pakeitimo“, „Dėl Lietuvos Respublikos Vyriausybės 2008 m. balandžio 24 d. nutarimo Nr. 358 „Dėl Ministerijų, Lietuvos Respublikos Vyriausybės kanceliarijos, Vyriausybės įstaigų ir įstaigų prie ministerijų, kitų valstybės institucijų ir įstaigų sąrašo pagal grupes patvirtinimo“ pakeitimo“, „Dėl Lietuvos Respublikos Vyriausybės 2002 m. sausio 22 d. nutarimo Nr. 73 „Dėl Įgaliojimų suteikimo įgyvendinant Lietuvos Respublikos augalų nacionalinių genetinių išteklių įstatymą“ pakeitimo projekt</w:t>
            </w:r>
            <w:r w:rsidR="007907F8">
              <w:rPr>
                <w:rFonts w:ascii="Times New Roman" w:hAnsi="Times New Roman"/>
                <w:sz w:val="24"/>
                <w:szCs w:val="24"/>
                <w:lang w:val="lt"/>
              </w:rPr>
              <w:t>ai</w:t>
            </w:r>
          </w:p>
        </w:tc>
      </w:tr>
    </w:tbl>
    <w:p w:rsidR="00D250CC" w:rsidRPr="00D250CC" w:rsidRDefault="00D250CC" w:rsidP="00756471">
      <w:pPr>
        <w:shd w:val="clear" w:color="auto" w:fill="FFFFFF"/>
        <w:autoSpaceDE w:val="0"/>
        <w:autoSpaceDN w:val="0"/>
        <w:adjustRightInd w:val="0"/>
        <w:spacing w:after="0" w:line="240" w:lineRule="auto"/>
        <w:rPr>
          <w:rFonts w:ascii="Times New Roman" w:hAnsi="Times New Roman"/>
          <w:lang w:val="lt"/>
        </w:rPr>
      </w:pPr>
    </w:p>
    <w:tbl>
      <w:tblPr>
        <w:tblW w:w="0" w:type="auto"/>
        <w:tblInd w:w="108" w:type="dxa"/>
        <w:tblLayout w:type="fixed"/>
        <w:tblLook w:val="0000" w:firstRow="0" w:lastRow="0" w:firstColumn="0" w:lastColumn="0" w:noHBand="0" w:noVBand="0"/>
      </w:tblPr>
      <w:tblGrid>
        <w:gridCol w:w="2191"/>
        <w:gridCol w:w="7415"/>
      </w:tblGrid>
      <w:tr w:rsidR="00D250CC" w:rsidRPr="00756471" w:rsidTr="00756471">
        <w:trPr>
          <w:trHeight w:val="1"/>
        </w:trPr>
        <w:tc>
          <w:tcPr>
            <w:tcW w:w="2191" w:type="dxa"/>
            <w:tcBorders>
              <w:top w:val="nil"/>
              <w:left w:val="nil"/>
              <w:bottom w:val="nil"/>
              <w:right w:val="nil"/>
            </w:tcBorders>
            <w:shd w:val="clear" w:color="auto" w:fill="FFFFFF"/>
          </w:tcPr>
          <w:p w:rsidR="00D250CC" w:rsidRPr="00756471" w:rsidRDefault="00D250CC" w:rsidP="00756471">
            <w:pPr>
              <w:shd w:val="clear" w:color="auto" w:fill="FFFFFF"/>
              <w:autoSpaceDE w:val="0"/>
              <w:autoSpaceDN w:val="0"/>
              <w:adjustRightInd w:val="0"/>
              <w:spacing w:after="0" w:line="240" w:lineRule="auto"/>
              <w:rPr>
                <w:rFonts w:cs="Calibri"/>
                <w:lang w:val="lt"/>
              </w:rPr>
            </w:pPr>
            <w:r w:rsidRPr="00756471">
              <w:rPr>
                <w:rFonts w:ascii="Times New Roman" w:hAnsi="Times New Roman"/>
                <w:b/>
                <w:bCs/>
                <w:sz w:val="24"/>
                <w:szCs w:val="24"/>
                <w:highlight w:val="white"/>
                <w:lang w:val="lt"/>
              </w:rPr>
              <w:t>Projekto rengėjas</w:t>
            </w:r>
          </w:p>
        </w:tc>
        <w:tc>
          <w:tcPr>
            <w:tcW w:w="7415" w:type="dxa"/>
            <w:tcBorders>
              <w:top w:val="nil"/>
              <w:left w:val="nil"/>
              <w:bottom w:val="nil"/>
              <w:right w:val="nil"/>
            </w:tcBorders>
            <w:shd w:val="clear" w:color="auto" w:fill="FFFFFF"/>
          </w:tcPr>
          <w:p w:rsidR="00D250CC" w:rsidRPr="00756471" w:rsidRDefault="00D250CC" w:rsidP="00C862AE">
            <w:pPr>
              <w:shd w:val="clear" w:color="auto" w:fill="FFFFFF"/>
              <w:autoSpaceDE w:val="0"/>
              <w:autoSpaceDN w:val="0"/>
              <w:adjustRightInd w:val="0"/>
              <w:spacing w:after="0" w:line="240" w:lineRule="auto"/>
              <w:jc w:val="both"/>
              <w:rPr>
                <w:rFonts w:cs="Calibri"/>
                <w:lang w:val="lt"/>
              </w:rPr>
            </w:pPr>
            <w:r w:rsidRPr="00756471">
              <w:rPr>
                <w:rFonts w:ascii="Times New Roman" w:hAnsi="Times New Roman"/>
                <w:sz w:val="24"/>
                <w:szCs w:val="24"/>
                <w:lang w:val="lt"/>
              </w:rPr>
              <w:t xml:space="preserve">Aplinkos ministerijos </w:t>
            </w:r>
            <w:r w:rsidR="00E45809">
              <w:rPr>
                <w:rFonts w:ascii="Times New Roman" w:hAnsi="Times New Roman"/>
                <w:sz w:val="24"/>
                <w:szCs w:val="24"/>
                <w:lang w:val="lt"/>
              </w:rPr>
              <w:t xml:space="preserve">Gamtos apsaugos </w:t>
            </w:r>
            <w:r w:rsidR="000E3CF0">
              <w:rPr>
                <w:rFonts w:ascii="Times New Roman" w:hAnsi="Times New Roman"/>
                <w:sz w:val="24"/>
                <w:szCs w:val="24"/>
                <w:lang w:val="lt"/>
              </w:rPr>
              <w:t>politikos grupė</w:t>
            </w:r>
          </w:p>
        </w:tc>
      </w:tr>
    </w:tbl>
    <w:p w:rsidR="00D250CC" w:rsidRPr="00D250CC" w:rsidRDefault="00D250CC" w:rsidP="00756471">
      <w:pPr>
        <w:shd w:val="clear" w:color="auto" w:fill="FFFFFF"/>
        <w:autoSpaceDE w:val="0"/>
        <w:autoSpaceDN w:val="0"/>
        <w:adjustRightInd w:val="0"/>
        <w:spacing w:after="0" w:line="240" w:lineRule="auto"/>
        <w:rPr>
          <w:rFonts w:ascii="Times New Roman" w:hAnsi="Times New Roman"/>
          <w:lang w:val="lt"/>
        </w:rPr>
      </w:pPr>
    </w:p>
    <w:tbl>
      <w:tblPr>
        <w:tblW w:w="0" w:type="auto"/>
        <w:tblInd w:w="108" w:type="dxa"/>
        <w:shd w:val="clear" w:color="auto" w:fill="FFFFFF"/>
        <w:tblLayout w:type="fixed"/>
        <w:tblLook w:val="0000" w:firstRow="0" w:lastRow="0" w:firstColumn="0" w:lastColumn="0" w:noHBand="0" w:noVBand="0"/>
      </w:tblPr>
      <w:tblGrid>
        <w:gridCol w:w="2189"/>
        <w:gridCol w:w="7417"/>
      </w:tblGrid>
      <w:tr w:rsidR="00D250CC" w:rsidRPr="00756471" w:rsidTr="00756471">
        <w:trPr>
          <w:trHeight w:val="1"/>
        </w:trPr>
        <w:tc>
          <w:tcPr>
            <w:tcW w:w="2189" w:type="dxa"/>
            <w:tcBorders>
              <w:top w:val="nil"/>
              <w:left w:val="nil"/>
              <w:bottom w:val="nil"/>
              <w:right w:val="nil"/>
            </w:tcBorders>
            <w:shd w:val="clear" w:color="auto" w:fill="FFFFFF"/>
          </w:tcPr>
          <w:p w:rsidR="00D250CC" w:rsidRPr="00756471" w:rsidRDefault="00D250CC" w:rsidP="00756471">
            <w:pPr>
              <w:shd w:val="clear" w:color="auto" w:fill="FFFFFF"/>
              <w:autoSpaceDE w:val="0"/>
              <w:autoSpaceDN w:val="0"/>
              <w:adjustRightInd w:val="0"/>
              <w:spacing w:after="0" w:line="240" w:lineRule="auto"/>
              <w:rPr>
                <w:rFonts w:cs="Calibri"/>
                <w:lang w:val="lt"/>
              </w:rPr>
            </w:pPr>
            <w:r w:rsidRPr="00756471">
              <w:rPr>
                <w:rFonts w:ascii="Times New Roman" w:hAnsi="Times New Roman"/>
                <w:b/>
                <w:bCs/>
                <w:sz w:val="24"/>
                <w:szCs w:val="24"/>
                <w:lang w:val="lt"/>
              </w:rPr>
              <w:t>Projekto tikslai</w:t>
            </w:r>
          </w:p>
        </w:tc>
        <w:tc>
          <w:tcPr>
            <w:tcW w:w="7417" w:type="dxa"/>
            <w:tcBorders>
              <w:top w:val="nil"/>
              <w:left w:val="nil"/>
              <w:bottom w:val="nil"/>
              <w:right w:val="nil"/>
            </w:tcBorders>
            <w:shd w:val="clear" w:color="auto" w:fill="FFFFFF"/>
          </w:tcPr>
          <w:p w:rsidR="007907F8" w:rsidRPr="007907F8" w:rsidRDefault="007907F8" w:rsidP="007907F8">
            <w:pPr>
              <w:widowControl w:val="0"/>
              <w:suppressAutoHyphens/>
              <w:spacing w:after="0" w:line="240" w:lineRule="auto"/>
              <w:ind w:firstLine="567"/>
              <w:jc w:val="both"/>
              <w:rPr>
                <w:rFonts w:ascii="Times New Roman" w:eastAsia="Andale Sans UI" w:hAnsi="Times New Roman" w:cs="Tahoma"/>
                <w:sz w:val="24"/>
                <w:szCs w:val="24"/>
                <w:lang w:bidi="en-US"/>
              </w:rPr>
            </w:pPr>
            <w:r>
              <w:rPr>
                <w:rFonts w:ascii="Times New Roman" w:eastAsia="Andale Sans UI" w:hAnsi="Times New Roman" w:cs="Tahoma"/>
                <w:sz w:val="24"/>
                <w:szCs w:val="24"/>
                <w:lang w:bidi="en-US"/>
              </w:rPr>
              <w:t xml:space="preserve">Reorganizavus </w:t>
            </w:r>
            <w:r w:rsidRPr="007907F8">
              <w:rPr>
                <w:rFonts w:ascii="Times New Roman" w:eastAsia="Andale Sans UI" w:hAnsi="Times New Roman" w:cs="Tahoma"/>
                <w:sz w:val="24"/>
                <w:szCs w:val="24"/>
                <w:lang w:bidi="en-US"/>
              </w:rPr>
              <w:t>Augalų genų bank</w:t>
            </w:r>
            <w:r>
              <w:rPr>
                <w:rFonts w:ascii="Times New Roman" w:eastAsia="Andale Sans UI" w:hAnsi="Times New Roman" w:cs="Tahoma"/>
                <w:sz w:val="24"/>
                <w:szCs w:val="24"/>
                <w:lang w:bidi="en-US"/>
              </w:rPr>
              <w:t xml:space="preserve">ą prijungiant jį </w:t>
            </w:r>
            <w:r w:rsidRPr="007907F8">
              <w:rPr>
                <w:rFonts w:ascii="Times New Roman" w:eastAsia="Andale Sans UI" w:hAnsi="Times New Roman" w:cs="Tahoma"/>
                <w:sz w:val="24"/>
                <w:szCs w:val="24"/>
                <w:lang w:bidi="en-US"/>
              </w:rPr>
              <w:t>prie Valstybinės miškų tarnybos, pripažįstami netekusiais galios arba keičiami Vyriausybės nutarimai siekiant  panaikinti nuorodas į Augalų genų banką, nes po Augalų genų banko reorganizacijos jo teises ir pareigas nuo 2020 m. liepos 1 d. perėmė Valstybinė miškų tarnyba. Vyriausybės 2002 m. sausio 22 d. nutarimas Nr. 73 „Dėl Lietuvos Respublikos augalų nacionalinių genetinių išteklių įstatymo įgyvendinimo“ keičiamas siekiant su augalų nacionalinių genetinių išteklių išsaugojimu susijusias funkcijas pagal kompetenciją priskirti Aplinkos ministerijai pavaldžioms institucijoms: bendradarbiavimą  su užsienio institucijomis augalų nacionalinių genetinių išteklių srityje – Valstybinei  miškų tarnybai,</w:t>
            </w:r>
            <w:r w:rsidRPr="007907F8">
              <w:rPr>
                <w:rFonts w:ascii="&amp;quot" w:eastAsia="Andale Sans UI" w:hAnsi="&amp;quot" w:cs="Tahoma"/>
                <w:color w:val="000000"/>
                <w:sz w:val="24"/>
                <w:szCs w:val="24"/>
                <w:lang w:eastAsia="en-GB" w:bidi="en-US"/>
              </w:rPr>
              <w:t xml:space="preserve">  ūkinės veiklos poveikio augalų nacionaliniams genetiniams ištekliams nustatymą – Aplinkos apsaugos agentūrai,</w:t>
            </w:r>
            <w:r w:rsidRPr="007907F8">
              <w:rPr>
                <w:rFonts w:ascii="Times New Roman" w:eastAsia="Andale Sans UI" w:hAnsi="Times New Roman" w:cs="Tahoma"/>
                <w:sz w:val="24"/>
                <w:szCs w:val="24"/>
                <w:lang w:bidi="en-US"/>
              </w:rPr>
              <w:t xml:space="preserve"> </w:t>
            </w:r>
            <w:r w:rsidRPr="007907F8">
              <w:rPr>
                <w:rFonts w:ascii="&amp;quot" w:eastAsia="Andale Sans UI" w:hAnsi="&amp;quot" w:cs="Tahoma"/>
                <w:color w:val="000000"/>
                <w:sz w:val="24"/>
                <w:szCs w:val="24"/>
                <w:lang w:eastAsia="en-GB" w:bidi="en-US"/>
              </w:rPr>
              <w:t>ūkinės veiklos poveikio augalų nacionaliniams genetiniams ištekliams kontrolę – Aplinkos apsaugos departamentui</w:t>
            </w:r>
            <w:r w:rsidRPr="007907F8">
              <w:rPr>
                <w:rFonts w:ascii="Times New Roman" w:eastAsia="Andale Sans UI" w:hAnsi="Times New Roman" w:cs="Tahoma"/>
                <w:sz w:val="24"/>
                <w:szCs w:val="24"/>
                <w:lang w:bidi="en-US"/>
              </w:rPr>
              <w:t xml:space="preserve">. </w:t>
            </w:r>
          </w:p>
          <w:p w:rsidR="00D250CC" w:rsidRPr="000E3CF0" w:rsidRDefault="00D250CC" w:rsidP="00C862AE">
            <w:pPr>
              <w:autoSpaceDE w:val="0"/>
              <w:autoSpaceDN w:val="0"/>
              <w:adjustRightInd w:val="0"/>
              <w:spacing w:after="0"/>
              <w:jc w:val="both"/>
              <w:rPr>
                <w:rFonts w:ascii="Times New Roman" w:hAnsi="Times New Roman"/>
                <w:sz w:val="24"/>
                <w:szCs w:val="24"/>
                <w:lang w:val="lt"/>
              </w:rPr>
            </w:pPr>
          </w:p>
        </w:tc>
      </w:tr>
    </w:tbl>
    <w:p w:rsidR="00D250CC" w:rsidRPr="00D250CC" w:rsidRDefault="00D250CC" w:rsidP="00756471">
      <w:pPr>
        <w:shd w:val="clear" w:color="auto" w:fill="FFFFFF"/>
        <w:autoSpaceDE w:val="0"/>
        <w:autoSpaceDN w:val="0"/>
        <w:adjustRightInd w:val="0"/>
        <w:spacing w:after="0" w:line="240" w:lineRule="auto"/>
        <w:rPr>
          <w:rFonts w:ascii="Times New Roman" w:hAnsi="Times New Roman"/>
          <w:lang w:val="lt"/>
        </w:rPr>
      </w:pPr>
    </w:p>
    <w:tbl>
      <w:tblPr>
        <w:tblW w:w="0" w:type="auto"/>
        <w:tblInd w:w="108" w:type="dxa"/>
        <w:shd w:val="clear" w:color="auto" w:fill="FFFFFF"/>
        <w:tblLayout w:type="fixed"/>
        <w:tblLook w:val="0000" w:firstRow="0" w:lastRow="0" w:firstColumn="0" w:lastColumn="0" w:noHBand="0" w:noVBand="0"/>
      </w:tblPr>
      <w:tblGrid>
        <w:gridCol w:w="2164"/>
        <w:gridCol w:w="7442"/>
      </w:tblGrid>
      <w:tr w:rsidR="00D250CC" w:rsidRPr="00756471" w:rsidTr="00756471">
        <w:trPr>
          <w:trHeight w:val="415"/>
        </w:trPr>
        <w:tc>
          <w:tcPr>
            <w:tcW w:w="2164" w:type="dxa"/>
            <w:tcBorders>
              <w:top w:val="nil"/>
              <w:left w:val="nil"/>
              <w:bottom w:val="nil"/>
              <w:right w:val="nil"/>
            </w:tcBorders>
            <w:shd w:val="clear" w:color="auto" w:fill="FFFFFF"/>
          </w:tcPr>
          <w:p w:rsidR="00D250CC" w:rsidRPr="00756471" w:rsidRDefault="00D250CC" w:rsidP="00756471">
            <w:pPr>
              <w:shd w:val="clear" w:color="auto" w:fill="FFFFFF"/>
              <w:autoSpaceDE w:val="0"/>
              <w:autoSpaceDN w:val="0"/>
              <w:adjustRightInd w:val="0"/>
              <w:spacing w:after="0" w:line="240" w:lineRule="auto"/>
              <w:rPr>
                <w:rFonts w:cs="Calibri"/>
                <w:lang w:val="lt"/>
              </w:rPr>
            </w:pPr>
          </w:p>
        </w:tc>
        <w:tc>
          <w:tcPr>
            <w:tcW w:w="7442" w:type="dxa"/>
            <w:tcBorders>
              <w:top w:val="nil"/>
              <w:left w:val="nil"/>
              <w:bottom w:val="nil"/>
              <w:right w:val="nil"/>
            </w:tcBorders>
            <w:shd w:val="clear" w:color="auto" w:fill="FFFFFF"/>
          </w:tcPr>
          <w:p w:rsidR="00D250CC" w:rsidRPr="00756471" w:rsidRDefault="00D250CC" w:rsidP="00756471">
            <w:pPr>
              <w:shd w:val="clear" w:color="auto" w:fill="FFFFFF"/>
              <w:autoSpaceDE w:val="0"/>
              <w:autoSpaceDN w:val="0"/>
              <w:adjustRightInd w:val="0"/>
              <w:spacing w:after="0" w:line="240" w:lineRule="auto"/>
              <w:jc w:val="center"/>
              <w:rPr>
                <w:rFonts w:ascii="Times New Roman" w:hAnsi="Times New Roman"/>
                <w:b/>
                <w:bCs/>
                <w:sz w:val="24"/>
                <w:szCs w:val="24"/>
                <w:lang w:val="lt"/>
              </w:rPr>
            </w:pPr>
            <w:r w:rsidRPr="00756471">
              <w:rPr>
                <w:rFonts w:ascii="Times New Roman" w:hAnsi="Times New Roman"/>
                <w:b/>
                <w:bCs/>
                <w:sz w:val="24"/>
                <w:szCs w:val="24"/>
                <w:lang w:val="lt"/>
              </w:rPr>
              <w:t xml:space="preserve">Siūlomo projekto poveikio įvertinimas </w:t>
            </w:r>
          </w:p>
          <w:p w:rsidR="00D250CC" w:rsidRPr="00756471" w:rsidRDefault="00D250CC" w:rsidP="00756471">
            <w:pPr>
              <w:shd w:val="clear" w:color="auto" w:fill="FFFFFF"/>
              <w:autoSpaceDE w:val="0"/>
              <w:autoSpaceDN w:val="0"/>
              <w:adjustRightInd w:val="0"/>
              <w:spacing w:after="0" w:line="240" w:lineRule="auto"/>
              <w:jc w:val="center"/>
              <w:rPr>
                <w:rFonts w:cs="Calibri"/>
                <w:lang w:val="lt"/>
              </w:rPr>
            </w:pPr>
            <w:r w:rsidRPr="00756471">
              <w:rPr>
                <w:rFonts w:ascii="Times New Roman" w:hAnsi="Times New Roman"/>
                <w:b/>
                <w:bCs/>
                <w:sz w:val="24"/>
                <w:szCs w:val="24"/>
                <w:lang w:val="lt"/>
              </w:rPr>
              <w:t>(teigiamos ir (ar) neigiamos pasekmės)</w:t>
            </w:r>
          </w:p>
        </w:tc>
      </w:tr>
    </w:tbl>
    <w:p w:rsidR="00D250CC" w:rsidRPr="00D250CC" w:rsidRDefault="00D250CC" w:rsidP="00756471">
      <w:pPr>
        <w:shd w:val="clear" w:color="auto" w:fill="FFFFFF"/>
        <w:autoSpaceDE w:val="0"/>
        <w:autoSpaceDN w:val="0"/>
        <w:adjustRightInd w:val="0"/>
        <w:spacing w:after="0" w:line="240" w:lineRule="auto"/>
        <w:rPr>
          <w:rFonts w:ascii="Times New Roman" w:hAnsi="Times New Roman"/>
          <w:sz w:val="24"/>
          <w:szCs w:val="24"/>
          <w:lang w:val="lt"/>
        </w:rPr>
      </w:pPr>
    </w:p>
    <w:tbl>
      <w:tblPr>
        <w:tblW w:w="0" w:type="auto"/>
        <w:tblInd w:w="108" w:type="dxa"/>
        <w:tblLayout w:type="fixed"/>
        <w:tblLook w:val="0000" w:firstRow="0" w:lastRow="0" w:firstColumn="0" w:lastColumn="0" w:noHBand="0" w:noVBand="0"/>
      </w:tblPr>
      <w:tblGrid>
        <w:gridCol w:w="2235"/>
        <w:gridCol w:w="7371"/>
      </w:tblGrid>
      <w:tr w:rsidR="00D250CC" w:rsidRPr="007907F8" w:rsidTr="00756471">
        <w:trPr>
          <w:trHeight w:val="1"/>
        </w:trPr>
        <w:tc>
          <w:tcPr>
            <w:tcW w:w="2235" w:type="dxa"/>
            <w:tcBorders>
              <w:top w:val="nil"/>
              <w:left w:val="nil"/>
              <w:bottom w:val="nil"/>
              <w:right w:val="nil"/>
            </w:tcBorders>
            <w:shd w:val="clear" w:color="auto" w:fill="FFFFFF"/>
          </w:tcPr>
          <w:p w:rsidR="00D250CC" w:rsidRPr="007907F8" w:rsidRDefault="00D250CC" w:rsidP="00C862AE">
            <w:pPr>
              <w:shd w:val="clear" w:color="auto" w:fill="FFFFFF"/>
              <w:autoSpaceDE w:val="0"/>
              <w:autoSpaceDN w:val="0"/>
              <w:adjustRightInd w:val="0"/>
              <w:spacing w:after="0" w:line="240" w:lineRule="auto"/>
              <w:rPr>
                <w:rFonts w:ascii="Times New Roman" w:hAnsi="Times New Roman"/>
                <w:sz w:val="24"/>
                <w:szCs w:val="24"/>
                <w:lang w:val="lt"/>
              </w:rPr>
            </w:pPr>
            <w:r w:rsidRPr="007907F8">
              <w:rPr>
                <w:rFonts w:ascii="Times New Roman" w:hAnsi="Times New Roman"/>
                <w:b/>
                <w:bCs/>
                <w:sz w:val="24"/>
                <w:szCs w:val="24"/>
                <w:lang w:val="lt"/>
              </w:rPr>
              <w:t>Poveikis aplinkai</w:t>
            </w:r>
            <w:r w:rsidR="00C862AE" w:rsidRPr="007907F8">
              <w:rPr>
                <w:rFonts w:ascii="Times New Roman" w:hAnsi="Times New Roman"/>
                <w:b/>
                <w:bCs/>
                <w:sz w:val="24"/>
                <w:szCs w:val="24"/>
                <w:lang w:val="lt"/>
              </w:rPr>
              <w:t xml:space="preserve"> ir klimatui</w:t>
            </w:r>
          </w:p>
        </w:tc>
        <w:tc>
          <w:tcPr>
            <w:tcW w:w="7371" w:type="dxa"/>
            <w:tcBorders>
              <w:top w:val="nil"/>
              <w:left w:val="nil"/>
              <w:bottom w:val="nil"/>
              <w:right w:val="nil"/>
            </w:tcBorders>
            <w:shd w:val="clear" w:color="auto" w:fill="FFFFFF"/>
          </w:tcPr>
          <w:p w:rsidR="00D250CC" w:rsidRPr="007907F8" w:rsidRDefault="007907F8" w:rsidP="00053757">
            <w:pPr>
              <w:shd w:val="clear" w:color="auto" w:fill="FFFFFF"/>
              <w:autoSpaceDE w:val="0"/>
              <w:autoSpaceDN w:val="0"/>
              <w:adjustRightInd w:val="0"/>
              <w:spacing w:after="0" w:line="240" w:lineRule="auto"/>
              <w:jc w:val="both"/>
              <w:rPr>
                <w:rFonts w:ascii="Times New Roman" w:hAnsi="Times New Roman"/>
                <w:sz w:val="24"/>
                <w:szCs w:val="24"/>
                <w:lang w:val="lt"/>
              </w:rPr>
            </w:pPr>
            <w:r w:rsidRPr="007907F8">
              <w:rPr>
                <w:rFonts w:ascii="Times New Roman" w:hAnsi="Times New Roman"/>
                <w:sz w:val="24"/>
                <w:szCs w:val="24"/>
                <w:lang w:val="lt"/>
              </w:rPr>
              <w:t>Teigiamas</w:t>
            </w:r>
            <w:r w:rsidR="00053757">
              <w:rPr>
                <w:rFonts w:ascii="Times New Roman" w:hAnsi="Times New Roman"/>
                <w:sz w:val="24"/>
                <w:szCs w:val="24"/>
                <w:lang w:val="lt"/>
              </w:rPr>
              <w:t>.</w:t>
            </w:r>
            <w:r w:rsidRPr="007907F8">
              <w:rPr>
                <w:rFonts w:ascii="Times New Roman" w:hAnsi="Times New Roman"/>
                <w:sz w:val="24"/>
                <w:szCs w:val="24"/>
                <w:lang w:val="lt"/>
              </w:rPr>
              <w:t xml:space="preserve"> </w:t>
            </w:r>
            <w:r w:rsidR="00053757">
              <w:rPr>
                <w:rFonts w:ascii="Times New Roman" w:hAnsi="Times New Roman"/>
                <w:sz w:val="24"/>
                <w:szCs w:val="24"/>
                <w:lang w:val="lt"/>
              </w:rPr>
              <w:t>Su</w:t>
            </w:r>
            <w:bookmarkStart w:id="0" w:name="_GoBack"/>
            <w:bookmarkEnd w:id="0"/>
            <w:r w:rsidRPr="007907F8">
              <w:rPr>
                <w:rFonts w:ascii="Times New Roman" w:hAnsi="Times New Roman"/>
                <w:sz w:val="24"/>
                <w:szCs w:val="24"/>
                <w:lang w:val="lt"/>
              </w:rPr>
              <w:t xml:space="preserve"> Augalų nacionalinių genetinių išteklių išsaugojimu susijusias funkcijas pagal kompetenciją priskyrus Aplinkos ministerijai pavaldžioms institucijoms, sustiprės augalų nacionalinių genetinių išteklių išsaugojimas ir jų naudojimo kontrolė. </w:t>
            </w:r>
          </w:p>
        </w:tc>
      </w:tr>
    </w:tbl>
    <w:p w:rsidR="00D250CC" w:rsidRPr="007907F8" w:rsidRDefault="00D250CC" w:rsidP="00756471">
      <w:pPr>
        <w:shd w:val="clear" w:color="auto" w:fill="FFFFFF"/>
        <w:autoSpaceDE w:val="0"/>
        <w:autoSpaceDN w:val="0"/>
        <w:adjustRightInd w:val="0"/>
        <w:spacing w:after="0" w:line="240" w:lineRule="auto"/>
        <w:rPr>
          <w:rFonts w:ascii="Times New Roman" w:hAnsi="Times New Roman"/>
          <w:sz w:val="24"/>
          <w:szCs w:val="24"/>
          <w:lang w:val="lt"/>
        </w:rPr>
      </w:pPr>
    </w:p>
    <w:tbl>
      <w:tblPr>
        <w:tblW w:w="0" w:type="auto"/>
        <w:tblInd w:w="108" w:type="dxa"/>
        <w:tblLayout w:type="fixed"/>
        <w:tblLook w:val="0000" w:firstRow="0" w:lastRow="0" w:firstColumn="0" w:lastColumn="0" w:noHBand="0" w:noVBand="0"/>
      </w:tblPr>
      <w:tblGrid>
        <w:gridCol w:w="2235"/>
        <w:gridCol w:w="7371"/>
      </w:tblGrid>
      <w:tr w:rsidR="00D250CC" w:rsidRPr="007907F8" w:rsidTr="00756471">
        <w:trPr>
          <w:trHeight w:val="1"/>
        </w:trPr>
        <w:tc>
          <w:tcPr>
            <w:tcW w:w="2235" w:type="dxa"/>
            <w:tcBorders>
              <w:top w:val="nil"/>
              <w:left w:val="nil"/>
              <w:bottom w:val="nil"/>
              <w:right w:val="nil"/>
            </w:tcBorders>
            <w:shd w:val="clear" w:color="auto" w:fill="FFFFFF"/>
          </w:tcPr>
          <w:p w:rsidR="00D250CC" w:rsidRPr="007907F8" w:rsidRDefault="00D250CC" w:rsidP="00756471">
            <w:pPr>
              <w:shd w:val="clear" w:color="auto" w:fill="FFFFFF"/>
              <w:autoSpaceDE w:val="0"/>
              <w:autoSpaceDN w:val="0"/>
              <w:adjustRightInd w:val="0"/>
              <w:spacing w:after="0" w:line="240" w:lineRule="auto"/>
              <w:rPr>
                <w:rFonts w:ascii="Times New Roman" w:hAnsi="Times New Roman"/>
                <w:sz w:val="24"/>
                <w:szCs w:val="24"/>
                <w:lang w:val="lt"/>
              </w:rPr>
            </w:pPr>
            <w:r w:rsidRPr="007907F8">
              <w:rPr>
                <w:rFonts w:ascii="Times New Roman" w:hAnsi="Times New Roman"/>
                <w:b/>
                <w:bCs/>
                <w:sz w:val="24"/>
                <w:szCs w:val="24"/>
                <w:lang w:val="lt"/>
              </w:rPr>
              <w:t>Poveikis valstybės finansams</w:t>
            </w:r>
          </w:p>
        </w:tc>
        <w:tc>
          <w:tcPr>
            <w:tcW w:w="7371" w:type="dxa"/>
            <w:tcBorders>
              <w:top w:val="nil"/>
              <w:left w:val="nil"/>
              <w:bottom w:val="nil"/>
              <w:right w:val="nil"/>
            </w:tcBorders>
            <w:shd w:val="clear" w:color="auto" w:fill="FFFFFF"/>
          </w:tcPr>
          <w:p w:rsidR="00D250CC" w:rsidRPr="007907F8" w:rsidRDefault="00C862AE" w:rsidP="00C433D8">
            <w:pPr>
              <w:shd w:val="clear" w:color="auto" w:fill="FFFFFF"/>
              <w:autoSpaceDE w:val="0"/>
              <w:autoSpaceDN w:val="0"/>
              <w:adjustRightInd w:val="0"/>
              <w:spacing w:after="0" w:line="240" w:lineRule="auto"/>
              <w:jc w:val="both"/>
              <w:rPr>
                <w:rFonts w:ascii="Times New Roman" w:hAnsi="Times New Roman"/>
                <w:sz w:val="24"/>
                <w:szCs w:val="24"/>
                <w:lang w:val="lt"/>
              </w:rPr>
            </w:pPr>
            <w:r w:rsidRPr="007907F8">
              <w:rPr>
                <w:rFonts w:ascii="Times New Roman" w:hAnsi="Times New Roman"/>
                <w:sz w:val="24"/>
                <w:szCs w:val="24"/>
                <w:lang w:val="lt"/>
              </w:rPr>
              <w:t>Teigiamas</w:t>
            </w:r>
            <w:r w:rsidR="00D250CC" w:rsidRPr="007907F8">
              <w:rPr>
                <w:rFonts w:ascii="Times New Roman" w:hAnsi="Times New Roman"/>
                <w:sz w:val="24"/>
                <w:szCs w:val="24"/>
                <w:lang w:val="lt"/>
              </w:rPr>
              <w:t xml:space="preserve">. </w:t>
            </w:r>
            <w:r w:rsidR="00AA3637" w:rsidRPr="007907F8">
              <w:rPr>
                <w:rFonts w:ascii="Times New Roman" w:hAnsi="Times New Roman"/>
                <w:sz w:val="24"/>
                <w:szCs w:val="24"/>
                <w:lang w:val="lt"/>
              </w:rPr>
              <w:t xml:space="preserve">Augalų genų banką prijungus prie Valstybinės miškų tarnybos ir centralizavus finansų funkcijas, atsisakius dalies </w:t>
            </w:r>
            <w:r w:rsidR="00C433D8" w:rsidRPr="007907F8">
              <w:rPr>
                <w:rFonts w:ascii="Times New Roman" w:hAnsi="Times New Roman"/>
                <w:sz w:val="24"/>
                <w:szCs w:val="24"/>
                <w:lang w:val="lt"/>
              </w:rPr>
              <w:t xml:space="preserve">šiuo metu Augalų genų banke esančių </w:t>
            </w:r>
            <w:r w:rsidR="00AA3637" w:rsidRPr="007907F8">
              <w:rPr>
                <w:rFonts w:ascii="Times New Roman" w:hAnsi="Times New Roman"/>
                <w:sz w:val="24"/>
                <w:szCs w:val="24"/>
                <w:lang w:val="lt"/>
              </w:rPr>
              <w:t xml:space="preserve"> vadovaujančių pareigybių, </w:t>
            </w:r>
            <w:r w:rsidR="00C433D8" w:rsidRPr="007907F8">
              <w:rPr>
                <w:rFonts w:ascii="Times New Roman" w:hAnsi="Times New Roman"/>
                <w:sz w:val="24"/>
                <w:szCs w:val="24"/>
                <w:lang w:val="lt"/>
              </w:rPr>
              <w:t xml:space="preserve">bus sutaupyta lėšų augalų nacionalinių genetinių išteklių išsaugojimo veiklai vykdyti.  </w:t>
            </w:r>
          </w:p>
        </w:tc>
      </w:tr>
    </w:tbl>
    <w:p w:rsidR="00D250CC" w:rsidRPr="007907F8" w:rsidRDefault="00D250CC" w:rsidP="00756471">
      <w:pPr>
        <w:shd w:val="clear" w:color="auto" w:fill="FFFFFF"/>
        <w:autoSpaceDE w:val="0"/>
        <w:autoSpaceDN w:val="0"/>
        <w:adjustRightInd w:val="0"/>
        <w:spacing w:after="0" w:line="240" w:lineRule="auto"/>
        <w:rPr>
          <w:rFonts w:ascii="Times New Roman" w:hAnsi="Times New Roman"/>
          <w:sz w:val="24"/>
          <w:szCs w:val="24"/>
          <w:lang w:val="lt"/>
        </w:rPr>
      </w:pPr>
    </w:p>
    <w:tbl>
      <w:tblPr>
        <w:tblW w:w="0" w:type="auto"/>
        <w:tblInd w:w="108" w:type="dxa"/>
        <w:tblLayout w:type="fixed"/>
        <w:tblLook w:val="0000" w:firstRow="0" w:lastRow="0" w:firstColumn="0" w:lastColumn="0" w:noHBand="0" w:noVBand="0"/>
      </w:tblPr>
      <w:tblGrid>
        <w:gridCol w:w="2210"/>
        <w:gridCol w:w="7396"/>
      </w:tblGrid>
      <w:tr w:rsidR="00D250CC" w:rsidRPr="007907F8" w:rsidTr="007907F8">
        <w:trPr>
          <w:trHeight w:val="68"/>
        </w:trPr>
        <w:tc>
          <w:tcPr>
            <w:tcW w:w="2210" w:type="dxa"/>
            <w:shd w:val="clear" w:color="auto" w:fill="FFFFFF"/>
          </w:tcPr>
          <w:p w:rsidR="00D250CC" w:rsidRPr="007907F8" w:rsidRDefault="00D250CC" w:rsidP="00756471">
            <w:pPr>
              <w:shd w:val="clear" w:color="auto" w:fill="FFFFFF"/>
              <w:autoSpaceDE w:val="0"/>
              <w:autoSpaceDN w:val="0"/>
              <w:adjustRightInd w:val="0"/>
              <w:spacing w:after="0" w:line="240" w:lineRule="auto"/>
              <w:rPr>
                <w:rFonts w:ascii="Times New Roman" w:hAnsi="Times New Roman"/>
                <w:sz w:val="24"/>
                <w:szCs w:val="24"/>
                <w:lang w:val="lt"/>
              </w:rPr>
            </w:pPr>
            <w:r w:rsidRPr="007907F8">
              <w:rPr>
                <w:rFonts w:ascii="Times New Roman" w:hAnsi="Times New Roman"/>
                <w:b/>
                <w:bCs/>
                <w:sz w:val="24"/>
                <w:szCs w:val="24"/>
                <w:highlight w:val="white"/>
                <w:lang w:val="lt"/>
              </w:rPr>
              <w:t xml:space="preserve">Poveikis viešojo valdymo sistemai </w:t>
            </w:r>
          </w:p>
        </w:tc>
        <w:tc>
          <w:tcPr>
            <w:tcW w:w="7396" w:type="dxa"/>
            <w:shd w:val="clear" w:color="auto" w:fill="FFFFFF"/>
          </w:tcPr>
          <w:p w:rsidR="00D250CC" w:rsidRPr="007907F8" w:rsidRDefault="0074764A" w:rsidP="007907F8">
            <w:pPr>
              <w:shd w:val="clear" w:color="auto" w:fill="FFFFFF"/>
              <w:autoSpaceDE w:val="0"/>
              <w:autoSpaceDN w:val="0"/>
              <w:adjustRightInd w:val="0"/>
              <w:spacing w:after="0" w:line="240" w:lineRule="auto"/>
              <w:jc w:val="both"/>
              <w:rPr>
                <w:rFonts w:ascii="Times New Roman" w:hAnsi="Times New Roman"/>
                <w:sz w:val="24"/>
                <w:szCs w:val="24"/>
              </w:rPr>
            </w:pPr>
            <w:r w:rsidRPr="007907F8">
              <w:rPr>
                <w:rFonts w:ascii="Times New Roman" w:hAnsi="Times New Roman"/>
                <w:sz w:val="24"/>
                <w:szCs w:val="24"/>
                <w:lang w:val="lt"/>
              </w:rPr>
              <w:t>Teigiamas</w:t>
            </w:r>
            <w:r w:rsidR="00025E40" w:rsidRPr="007907F8">
              <w:rPr>
                <w:rFonts w:ascii="Times New Roman" w:hAnsi="Times New Roman"/>
                <w:sz w:val="24"/>
                <w:szCs w:val="24"/>
                <w:lang w:val="lt"/>
              </w:rPr>
              <w:t>.</w:t>
            </w:r>
            <w:r w:rsidR="00C862AE" w:rsidRPr="007907F8">
              <w:rPr>
                <w:rFonts w:ascii="Times New Roman" w:hAnsi="Times New Roman"/>
                <w:sz w:val="24"/>
                <w:szCs w:val="24"/>
                <w:lang w:val="lt"/>
              </w:rPr>
              <w:t xml:space="preserve"> Augalų genų banką prijungus prie Valstybinės miškų tarnybos sumažintas Aplinkos ministerijai pavaldžių biudžetinių įstaigų skaičius, optimizuot</w:t>
            </w:r>
            <w:r w:rsidR="00F950F0" w:rsidRPr="007907F8">
              <w:rPr>
                <w:rFonts w:ascii="Times New Roman" w:hAnsi="Times New Roman"/>
                <w:sz w:val="24"/>
                <w:szCs w:val="24"/>
                <w:lang w:val="lt"/>
              </w:rPr>
              <w:t>a</w:t>
            </w:r>
            <w:r w:rsidR="00C862AE" w:rsidRPr="007907F8">
              <w:rPr>
                <w:rFonts w:ascii="Times New Roman" w:hAnsi="Times New Roman"/>
                <w:sz w:val="24"/>
                <w:szCs w:val="24"/>
                <w:lang w:val="lt"/>
              </w:rPr>
              <w:t xml:space="preserve">  jų veikla, centralizuotos administravimo, finansų, personalo, materialinių išteklių valdymo ir kitos bendrosios funkcijos.</w:t>
            </w:r>
          </w:p>
        </w:tc>
      </w:tr>
    </w:tbl>
    <w:p w:rsidR="00D250CC" w:rsidRDefault="00D250CC" w:rsidP="00D250CC">
      <w:pPr>
        <w:autoSpaceDE w:val="0"/>
        <w:autoSpaceDN w:val="0"/>
        <w:adjustRightInd w:val="0"/>
        <w:spacing w:after="0" w:line="240" w:lineRule="auto"/>
        <w:rPr>
          <w:rFonts w:ascii="Times New Roman" w:hAnsi="Times New Roman"/>
          <w:i/>
          <w:iCs/>
          <w:lang w:val="lt"/>
        </w:rPr>
      </w:pPr>
    </w:p>
    <w:p w:rsidR="00D250CC" w:rsidRDefault="00D250CC" w:rsidP="00D250CC">
      <w:pPr>
        <w:autoSpaceDE w:val="0"/>
        <w:autoSpaceDN w:val="0"/>
        <w:adjustRightInd w:val="0"/>
        <w:spacing w:after="0" w:line="240" w:lineRule="auto"/>
        <w:jc w:val="both"/>
        <w:rPr>
          <w:rFonts w:ascii="Times New Roman" w:hAnsi="Times New Roman"/>
          <w:b/>
          <w:bCs/>
          <w:lang w:val="lt"/>
        </w:rPr>
      </w:pPr>
      <w:r>
        <w:rPr>
          <w:rFonts w:ascii="Times New Roman" w:hAnsi="Times New Roman"/>
          <w:b/>
          <w:bCs/>
          <w:sz w:val="24"/>
          <w:szCs w:val="24"/>
          <w:lang w:val="lt"/>
        </w:rPr>
        <w:t>Informacija apie asmenį ir instituciją, atsakingą už poveikio vertinimą</w:t>
      </w:r>
    </w:p>
    <w:tbl>
      <w:tblPr>
        <w:tblW w:w="0" w:type="auto"/>
        <w:tblInd w:w="108" w:type="dxa"/>
        <w:tblLayout w:type="fixed"/>
        <w:tblLook w:val="0000" w:firstRow="0" w:lastRow="0" w:firstColumn="0" w:lastColumn="0" w:noHBand="0" w:noVBand="0"/>
      </w:tblPr>
      <w:tblGrid>
        <w:gridCol w:w="2670"/>
        <w:gridCol w:w="6936"/>
      </w:tblGrid>
      <w:tr w:rsidR="00D250CC" w:rsidRPr="00756471">
        <w:trPr>
          <w:trHeight w:val="1"/>
        </w:trPr>
        <w:tc>
          <w:tcPr>
            <w:tcW w:w="2670" w:type="dxa"/>
            <w:tcBorders>
              <w:top w:val="single" w:sz="3" w:space="0" w:color="000000"/>
              <w:left w:val="single" w:sz="3" w:space="0" w:color="000000"/>
              <w:bottom w:val="single" w:sz="3" w:space="0" w:color="000000"/>
              <w:right w:val="single" w:sz="3" w:space="0" w:color="000000"/>
            </w:tcBorders>
            <w:shd w:val="clear" w:color="000000" w:fill="FFFFFF"/>
          </w:tcPr>
          <w:p w:rsidR="00D250CC" w:rsidRPr="00756471" w:rsidRDefault="00D250CC">
            <w:pPr>
              <w:autoSpaceDE w:val="0"/>
              <w:autoSpaceDN w:val="0"/>
              <w:adjustRightInd w:val="0"/>
              <w:spacing w:after="0" w:line="240" w:lineRule="auto"/>
              <w:rPr>
                <w:rFonts w:cs="Calibri"/>
                <w:lang w:val="lt"/>
              </w:rPr>
            </w:pPr>
            <w:r w:rsidRPr="00756471">
              <w:rPr>
                <w:rFonts w:ascii="Times New Roman" w:hAnsi="Times New Roman"/>
                <w:sz w:val="24"/>
                <w:szCs w:val="24"/>
                <w:lang w:val="lt"/>
              </w:rPr>
              <w:t>Vardas ir pavardė</w:t>
            </w:r>
          </w:p>
        </w:tc>
        <w:tc>
          <w:tcPr>
            <w:tcW w:w="6936" w:type="dxa"/>
            <w:tcBorders>
              <w:top w:val="single" w:sz="3" w:space="0" w:color="000000"/>
              <w:left w:val="single" w:sz="3" w:space="0" w:color="000000"/>
              <w:bottom w:val="single" w:sz="3" w:space="0" w:color="000000"/>
              <w:right w:val="single" w:sz="3" w:space="0" w:color="000000"/>
            </w:tcBorders>
            <w:shd w:val="clear" w:color="000000" w:fill="FFFFFF"/>
          </w:tcPr>
          <w:p w:rsidR="00D250CC" w:rsidRPr="000E3CF0" w:rsidRDefault="000E3CF0" w:rsidP="000E3CF0">
            <w:pPr>
              <w:autoSpaceDE w:val="0"/>
              <w:autoSpaceDN w:val="0"/>
              <w:adjustRightInd w:val="0"/>
              <w:spacing w:after="0" w:line="240" w:lineRule="auto"/>
              <w:rPr>
                <w:rFonts w:ascii="Times New Roman" w:hAnsi="Times New Roman"/>
                <w:sz w:val="24"/>
                <w:szCs w:val="24"/>
                <w:lang w:val="lt"/>
              </w:rPr>
            </w:pPr>
            <w:r w:rsidRPr="000E3CF0">
              <w:rPr>
                <w:rFonts w:ascii="Times New Roman" w:hAnsi="Times New Roman"/>
                <w:sz w:val="24"/>
                <w:szCs w:val="24"/>
                <w:lang w:val="lt"/>
              </w:rPr>
              <w:t xml:space="preserve">Lina </w:t>
            </w:r>
            <w:proofErr w:type="spellStart"/>
            <w:r>
              <w:rPr>
                <w:rFonts w:ascii="Times New Roman" w:hAnsi="Times New Roman"/>
                <w:sz w:val="24"/>
                <w:szCs w:val="24"/>
                <w:lang w:val="lt"/>
              </w:rPr>
              <w:t>Č</w:t>
            </w:r>
            <w:r w:rsidRPr="000E3CF0">
              <w:rPr>
                <w:rFonts w:ascii="Times New Roman" w:hAnsi="Times New Roman"/>
                <w:sz w:val="24"/>
                <w:szCs w:val="24"/>
                <w:lang w:val="lt"/>
              </w:rPr>
              <w:t>aplikaitė-Denisovienė</w:t>
            </w:r>
            <w:proofErr w:type="spellEnd"/>
          </w:p>
        </w:tc>
      </w:tr>
      <w:tr w:rsidR="00D250CC" w:rsidRPr="00756471">
        <w:trPr>
          <w:trHeight w:val="1"/>
        </w:trPr>
        <w:tc>
          <w:tcPr>
            <w:tcW w:w="2670" w:type="dxa"/>
            <w:tcBorders>
              <w:top w:val="single" w:sz="3" w:space="0" w:color="000000"/>
              <w:left w:val="single" w:sz="3" w:space="0" w:color="000000"/>
              <w:bottom w:val="single" w:sz="3" w:space="0" w:color="000000"/>
              <w:right w:val="single" w:sz="3" w:space="0" w:color="000000"/>
            </w:tcBorders>
            <w:shd w:val="clear" w:color="000000" w:fill="FFFFFF"/>
          </w:tcPr>
          <w:p w:rsidR="00D250CC" w:rsidRPr="000E3CF0" w:rsidRDefault="00D250CC">
            <w:pPr>
              <w:autoSpaceDE w:val="0"/>
              <w:autoSpaceDN w:val="0"/>
              <w:adjustRightInd w:val="0"/>
              <w:spacing w:after="0" w:line="240" w:lineRule="auto"/>
              <w:rPr>
                <w:rFonts w:ascii="Times New Roman" w:hAnsi="Times New Roman"/>
                <w:sz w:val="24"/>
                <w:szCs w:val="24"/>
                <w:lang w:val="lt"/>
              </w:rPr>
            </w:pPr>
            <w:r w:rsidRPr="000E3CF0">
              <w:rPr>
                <w:rFonts w:ascii="Times New Roman" w:hAnsi="Times New Roman"/>
                <w:sz w:val="24"/>
                <w:szCs w:val="24"/>
                <w:lang w:val="lt"/>
              </w:rPr>
              <w:t>Pareigos</w:t>
            </w:r>
          </w:p>
        </w:tc>
        <w:tc>
          <w:tcPr>
            <w:tcW w:w="6936" w:type="dxa"/>
            <w:tcBorders>
              <w:top w:val="single" w:sz="3" w:space="0" w:color="000000"/>
              <w:left w:val="single" w:sz="3" w:space="0" w:color="000000"/>
              <w:bottom w:val="single" w:sz="3" w:space="0" w:color="000000"/>
              <w:right w:val="single" w:sz="3" w:space="0" w:color="000000"/>
            </w:tcBorders>
            <w:shd w:val="clear" w:color="000000" w:fill="FFFFFF"/>
          </w:tcPr>
          <w:p w:rsidR="00D250CC" w:rsidRPr="000E3CF0" w:rsidRDefault="000E3CF0" w:rsidP="000E3CF0">
            <w:pPr>
              <w:autoSpaceDE w:val="0"/>
              <w:autoSpaceDN w:val="0"/>
              <w:adjustRightInd w:val="0"/>
              <w:spacing w:after="0" w:line="240" w:lineRule="auto"/>
              <w:jc w:val="both"/>
              <w:rPr>
                <w:rFonts w:ascii="Times New Roman" w:hAnsi="Times New Roman"/>
                <w:sz w:val="24"/>
                <w:szCs w:val="24"/>
                <w:lang w:val="lt"/>
              </w:rPr>
            </w:pPr>
            <w:r w:rsidRPr="000E3CF0">
              <w:rPr>
                <w:rFonts w:ascii="Times New Roman" w:hAnsi="Times New Roman"/>
                <w:sz w:val="24"/>
                <w:szCs w:val="24"/>
                <w:lang w:val="lt"/>
              </w:rPr>
              <w:t xml:space="preserve">Vyresn. patarėja </w:t>
            </w:r>
          </w:p>
        </w:tc>
      </w:tr>
      <w:tr w:rsidR="00D250CC" w:rsidRPr="00756471">
        <w:trPr>
          <w:trHeight w:val="1"/>
        </w:trPr>
        <w:tc>
          <w:tcPr>
            <w:tcW w:w="2670" w:type="dxa"/>
            <w:tcBorders>
              <w:top w:val="single" w:sz="3" w:space="0" w:color="000000"/>
              <w:left w:val="single" w:sz="3" w:space="0" w:color="000000"/>
              <w:bottom w:val="single" w:sz="3" w:space="0" w:color="000000"/>
              <w:right w:val="single" w:sz="3" w:space="0" w:color="000000"/>
            </w:tcBorders>
            <w:shd w:val="clear" w:color="000000" w:fill="FFFFFF"/>
          </w:tcPr>
          <w:p w:rsidR="00D250CC" w:rsidRPr="00756471" w:rsidRDefault="00D250CC">
            <w:pPr>
              <w:autoSpaceDE w:val="0"/>
              <w:autoSpaceDN w:val="0"/>
              <w:adjustRightInd w:val="0"/>
              <w:spacing w:after="0" w:line="240" w:lineRule="auto"/>
              <w:rPr>
                <w:rFonts w:cs="Calibri"/>
                <w:lang w:val="lt"/>
              </w:rPr>
            </w:pPr>
            <w:r w:rsidRPr="00756471">
              <w:rPr>
                <w:rFonts w:ascii="Times New Roman" w:hAnsi="Times New Roman"/>
                <w:sz w:val="24"/>
                <w:szCs w:val="24"/>
                <w:lang w:val="lt"/>
              </w:rPr>
              <w:t>Institucija (padalinys)</w:t>
            </w:r>
          </w:p>
        </w:tc>
        <w:tc>
          <w:tcPr>
            <w:tcW w:w="6936" w:type="dxa"/>
            <w:tcBorders>
              <w:top w:val="single" w:sz="3" w:space="0" w:color="000000"/>
              <w:left w:val="single" w:sz="3" w:space="0" w:color="000000"/>
              <w:bottom w:val="single" w:sz="3" w:space="0" w:color="000000"/>
              <w:right w:val="single" w:sz="3" w:space="0" w:color="000000"/>
            </w:tcBorders>
            <w:shd w:val="clear" w:color="000000" w:fill="FFFFFF"/>
          </w:tcPr>
          <w:p w:rsidR="00D250CC" w:rsidRPr="00756471" w:rsidRDefault="00D250CC" w:rsidP="00C862AE">
            <w:pPr>
              <w:autoSpaceDE w:val="0"/>
              <w:autoSpaceDN w:val="0"/>
              <w:adjustRightInd w:val="0"/>
              <w:spacing w:after="0" w:line="240" w:lineRule="auto"/>
              <w:jc w:val="both"/>
              <w:rPr>
                <w:rFonts w:cs="Calibri"/>
                <w:lang w:val="lt"/>
              </w:rPr>
            </w:pPr>
            <w:r w:rsidRPr="00756471">
              <w:rPr>
                <w:rFonts w:ascii="Times New Roman" w:hAnsi="Times New Roman"/>
                <w:sz w:val="24"/>
                <w:szCs w:val="24"/>
                <w:lang w:val="lt"/>
              </w:rPr>
              <w:t xml:space="preserve">Aplinkos ministerijos </w:t>
            </w:r>
            <w:r w:rsidR="00E45809">
              <w:rPr>
                <w:rFonts w:ascii="Times New Roman" w:hAnsi="Times New Roman"/>
                <w:sz w:val="24"/>
                <w:szCs w:val="24"/>
                <w:lang w:val="lt"/>
              </w:rPr>
              <w:t xml:space="preserve">Gamtos apsaugos  </w:t>
            </w:r>
            <w:r w:rsidR="000E3CF0">
              <w:rPr>
                <w:rFonts w:ascii="Times New Roman" w:hAnsi="Times New Roman"/>
                <w:sz w:val="24"/>
                <w:szCs w:val="24"/>
                <w:lang w:val="lt"/>
              </w:rPr>
              <w:t>politikos grupė</w:t>
            </w:r>
          </w:p>
        </w:tc>
      </w:tr>
      <w:tr w:rsidR="00D250CC" w:rsidRPr="00756471">
        <w:trPr>
          <w:trHeight w:val="511"/>
        </w:trPr>
        <w:tc>
          <w:tcPr>
            <w:tcW w:w="2670" w:type="dxa"/>
            <w:tcBorders>
              <w:top w:val="single" w:sz="3" w:space="0" w:color="000000"/>
              <w:left w:val="single" w:sz="3" w:space="0" w:color="000000"/>
              <w:bottom w:val="single" w:sz="3" w:space="0" w:color="000000"/>
              <w:right w:val="single" w:sz="3" w:space="0" w:color="000000"/>
            </w:tcBorders>
            <w:shd w:val="clear" w:color="000000" w:fill="FFFFFF"/>
          </w:tcPr>
          <w:p w:rsidR="00D250CC" w:rsidRPr="00756471" w:rsidRDefault="00D250CC">
            <w:pPr>
              <w:autoSpaceDE w:val="0"/>
              <w:autoSpaceDN w:val="0"/>
              <w:adjustRightInd w:val="0"/>
              <w:spacing w:after="0" w:line="240" w:lineRule="auto"/>
              <w:rPr>
                <w:rFonts w:cs="Calibri"/>
                <w:lang w:val="lt"/>
              </w:rPr>
            </w:pPr>
            <w:r w:rsidRPr="00756471">
              <w:rPr>
                <w:rFonts w:ascii="Times New Roman" w:hAnsi="Times New Roman"/>
                <w:sz w:val="24"/>
                <w:szCs w:val="24"/>
                <w:lang w:val="lt"/>
              </w:rPr>
              <w:t>Telefono numeris ir elektroninio pašto adresas</w:t>
            </w:r>
          </w:p>
        </w:tc>
        <w:tc>
          <w:tcPr>
            <w:tcW w:w="6936" w:type="dxa"/>
            <w:tcBorders>
              <w:top w:val="single" w:sz="3" w:space="0" w:color="000000"/>
              <w:left w:val="single" w:sz="3" w:space="0" w:color="000000"/>
              <w:bottom w:val="single" w:sz="3" w:space="0" w:color="000000"/>
              <w:right w:val="single" w:sz="3" w:space="0" w:color="000000"/>
            </w:tcBorders>
            <w:shd w:val="clear" w:color="000000" w:fill="FFFFFF"/>
          </w:tcPr>
          <w:p w:rsidR="00D250CC" w:rsidRPr="00756471" w:rsidRDefault="00C862AE" w:rsidP="000E3CF0">
            <w:pPr>
              <w:autoSpaceDE w:val="0"/>
              <w:autoSpaceDN w:val="0"/>
              <w:adjustRightInd w:val="0"/>
              <w:spacing w:after="0" w:line="240" w:lineRule="auto"/>
              <w:jc w:val="both"/>
              <w:rPr>
                <w:rFonts w:cs="Calibri"/>
                <w:lang w:val="lt"/>
              </w:rPr>
            </w:pPr>
            <w:r>
              <w:rPr>
                <w:rFonts w:ascii="Times New Roman" w:hAnsi="Times New Roman"/>
                <w:sz w:val="24"/>
                <w:szCs w:val="24"/>
                <w:lang w:val="en-GB"/>
              </w:rPr>
              <w:t>+370</w:t>
            </w:r>
            <w:r w:rsidR="0015078D">
              <w:rPr>
                <w:rFonts w:ascii="Times New Roman" w:hAnsi="Times New Roman"/>
                <w:sz w:val="24"/>
                <w:szCs w:val="24"/>
                <w:lang w:val="en-GB"/>
              </w:rPr>
              <w:t xml:space="preserve"> </w:t>
            </w:r>
            <w:r>
              <w:rPr>
                <w:rFonts w:ascii="Times New Roman" w:hAnsi="Times New Roman"/>
                <w:sz w:val="24"/>
                <w:szCs w:val="24"/>
                <w:lang w:val="en-GB"/>
              </w:rPr>
              <w:t>615 54788</w:t>
            </w:r>
            <w:r w:rsidR="00D250CC" w:rsidRPr="00756471">
              <w:rPr>
                <w:rFonts w:ascii="Times New Roman" w:hAnsi="Times New Roman"/>
                <w:sz w:val="24"/>
                <w:szCs w:val="24"/>
                <w:lang w:val="lt"/>
              </w:rPr>
              <w:t xml:space="preserve">; </w:t>
            </w:r>
            <w:r w:rsidR="000E3CF0">
              <w:rPr>
                <w:rFonts w:ascii="Times New Roman" w:hAnsi="Times New Roman"/>
                <w:sz w:val="24"/>
                <w:szCs w:val="24"/>
                <w:lang w:val="lt"/>
              </w:rPr>
              <w:t>lina.caplikaite</w:t>
            </w:r>
            <w:r w:rsidR="00D250CC" w:rsidRPr="00756471">
              <w:rPr>
                <w:rFonts w:ascii="Times New Roman" w:hAnsi="Times New Roman"/>
                <w:sz w:val="24"/>
                <w:szCs w:val="24"/>
                <w:lang w:val="lt"/>
              </w:rPr>
              <w:t>@am.lt</w:t>
            </w:r>
          </w:p>
        </w:tc>
      </w:tr>
    </w:tbl>
    <w:p w:rsidR="00642472" w:rsidRDefault="00642472"/>
    <w:sectPr w:rsidR="0064247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Andale Sans UI">
    <w:altName w:val="Arial"/>
    <w:charset w:val="BA"/>
    <w:family w:val="swiss"/>
    <w:pitch w:val="variable"/>
  </w:font>
  <w:font w:name="Tahoma">
    <w:panose1 w:val="020B0604030504040204"/>
    <w:charset w:val="BA"/>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0CC"/>
    <w:rsid w:val="00025E40"/>
    <w:rsid w:val="00053757"/>
    <w:rsid w:val="000E3CF0"/>
    <w:rsid w:val="0015078D"/>
    <w:rsid w:val="00293421"/>
    <w:rsid w:val="003869A1"/>
    <w:rsid w:val="00642472"/>
    <w:rsid w:val="006814D1"/>
    <w:rsid w:val="006B37CA"/>
    <w:rsid w:val="006F7E41"/>
    <w:rsid w:val="0074764A"/>
    <w:rsid w:val="00756471"/>
    <w:rsid w:val="007907F8"/>
    <w:rsid w:val="007C70B1"/>
    <w:rsid w:val="008E72DE"/>
    <w:rsid w:val="00AA3637"/>
    <w:rsid w:val="00BF513C"/>
    <w:rsid w:val="00C433D8"/>
    <w:rsid w:val="00C862AE"/>
    <w:rsid w:val="00CA5AE0"/>
    <w:rsid w:val="00D250CC"/>
    <w:rsid w:val="00D724F2"/>
    <w:rsid w:val="00D75348"/>
    <w:rsid w:val="00D869DA"/>
    <w:rsid w:val="00DB0BE5"/>
    <w:rsid w:val="00E45809"/>
    <w:rsid w:val="00E939F1"/>
    <w:rsid w:val="00EB5906"/>
    <w:rsid w:val="00ED5CBA"/>
    <w:rsid w:val="00F950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0CC"/>
    <w:pPr>
      <w:spacing w:after="200" w:line="276" w:lineRule="auto"/>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0CC"/>
    <w:pPr>
      <w:spacing w:after="200" w:line="276" w:lineRule="auto"/>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484</Words>
  <Characters>2761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p.paukste</dc:creator>
  <cp:lastModifiedBy>Lina Caplikaite - Denisoviene</cp:lastModifiedBy>
  <cp:revision>5</cp:revision>
  <cp:lastPrinted>2016-10-11T10:54:00Z</cp:lastPrinted>
  <dcterms:created xsi:type="dcterms:W3CDTF">2020-06-23T11:30:00Z</dcterms:created>
  <dcterms:modified xsi:type="dcterms:W3CDTF">2020-06-25T06:47:00Z</dcterms:modified>
</cp:coreProperties>
</file>