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DE0B" w14:textId="77777777" w:rsidR="00C9073D" w:rsidRDefault="00C9073D" w:rsidP="00C9073D">
      <w:pPr>
        <w:spacing w:before="160"/>
        <w:ind w:left="-851"/>
        <w:jc w:val="center"/>
        <w:rPr>
          <w:b/>
          <w:caps/>
        </w:rPr>
      </w:pPr>
      <w:r>
        <w:rPr>
          <w:noProof/>
          <w:lang w:val="en-US"/>
        </w:rPr>
        <w:drawing>
          <wp:anchor distT="0" distB="0" distL="114300" distR="114300" simplePos="0" relativeHeight="251658241" behindDoc="0" locked="0" layoutInCell="0" allowOverlap="1" wp14:anchorId="40367286" wp14:editId="03D442DE">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4B0E">
        <w:rPr>
          <w:b/>
          <w:caps/>
        </w:rPr>
        <w:t xml:space="preserve">LIETUVOS RESPUBLIKOS </w:t>
      </w:r>
      <w:r w:rsidR="00523471">
        <w:rPr>
          <w:b/>
          <w:caps/>
        </w:rPr>
        <w:t xml:space="preserve">EKONOMIKOS IR INOVACIJŲ </w:t>
      </w:r>
      <w:r w:rsidRPr="005F4B0E">
        <w:rPr>
          <w:b/>
          <w:caps/>
        </w:rPr>
        <w:t>MINISTERIJA</w:t>
      </w:r>
    </w:p>
    <w:p w14:paraId="364C1D72" w14:textId="77777777" w:rsidR="00C9073D" w:rsidRDefault="00C9073D" w:rsidP="00C9073D">
      <w:pPr>
        <w:ind w:left="-851"/>
        <w:jc w:val="center"/>
        <w:rPr>
          <w:b/>
          <w:caps/>
          <w:sz w:val="10"/>
        </w:rPr>
      </w:pPr>
    </w:p>
    <w:p w14:paraId="211262E7" w14:textId="77777777" w:rsidR="0086511D" w:rsidRDefault="0086511D" w:rsidP="0086511D">
      <w:pPr>
        <w:spacing w:before="40"/>
        <w:ind w:left="-851"/>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kanc@eimin.lt</w:t>
      </w:r>
      <w:proofErr w:type="spellEnd"/>
      <w:r>
        <w:rPr>
          <w:sz w:val="17"/>
        </w:rPr>
        <w:t>, http://eimin.lrv.lt.</w:t>
      </w:r>
    </w:p>
    <w:p w14:paraId="5968EC24" w14:textId="77777777" w:rsidR="0086511D" w:rsidRDefault="0086511D" w:rsidP="0086511D">
      <w:pPr>
        <w:widowControl w:val="0"/>
        <w:spacing w:after="40"/>
        <w:ind w:left="-851"/>
        <w:jc w:val="center"/>
        <w:rPr>
          <w:sz w:val="17"/>
        </w:rPr>
      </w:pPr>
      <w:r>
        <w:rPr>
          <w:sz w:val="17"/>
        </w:rPr>
        <w:t>Duomenys kaupiami ir saugomi Juridinių asmenų registre, kodas 188621919</w:t>
      </w:r>
    </w:p>
    <w:p w14:paraId="29381212" w14:textId="77777777" w:rsidR="00C9073D" w:rsidRPr="006E0DF9" w:rsidRDefault="00C9073D" w:rsidP="00C9073D">
      <w:pPr>
        <w:ind w:left="-851"/>
        <w:jc w:val="center"/>
      </w:pPr>
      <w:r>
        <w:rPr>
          <w:noProof/>
          <w:lang w:val="en-US"/>
        </w:rPr>
        <mc:AlternateContent>
          <mc:Choice Requires="wps">
            <w:drawing>
              <wp:anchor distT="0" distB="0" distL="114300" distR="114300" simplePos="0" relativeHeight="251658240" behindDoc="1" locked="0" layoutInCell="1" allowOverlap="1" wp14:anchorId="0115FD5E" wp14:editId="43A5B3E6">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52FBDB"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hmGmjdgAAAAEAQAADwAAAGRy cy9kb3ducmV2LnhtbEyOwW6DMBBE75H6D9ZWyi0xqQRJKCaqWvXUU0kPHBe8AVS8RtgB8vdxTu1x NKM3LzstphcTja6zrGC3jUAQ11Z33Cj4OX9uDiCcR9bYWyYFN3Jwyp9WGabazvxNU+EbESDsUlTQ ej+kUrq6JYNuawfi0F3saNCHODZSjzgHuOnlSxQl0mDH4aHFgd5bqn+Lq1Fwth+XLi6L6lDaMpki mr9uxazU+nl5ewXhafF/Y3joB3XIg1Nlr6yd6BVsdklYKjiCCO0xjvcgqkeUeSb/y+d3AAAA//8D AFBLAQItABQABgAIAAAAIQC2gziS/gAAAOEBAAATAAAAAAAAAAAAAAAAAAAAAABbQ29udGVudF9U eXBlc10ueG1sUEsBAi0AFAAGAAgAAAAhADj9If/WAAAAlAEAAAsAAAAAAAAAAAAAAAAALwEAAF9y ZWxzLy5yZWxzUEsBAi0AFAAGAAgAAAAhALaGrvClAgAAlQUAAA4AAAAAAAAAAAAAAAAALgIAAGRy cy9lMm9Eb2MueG1sUEsBAi0AFAAGAAgAAAAhAIZhpo3YAAAABAEAAA8AAAAAAAAAAAAAAAAA/wQA AGRycy9kb3ducmV2LnhtbFBLBQYAAAAABAAEAPMAAAAEBgAAAAA= " strokeweight=".5pt">
                <v:shadow color="#7f7f7f" opacity=".5" offset="1pt"/>
              </v:shape>
            </w:pict>
          </mc:Fallback>
        </mc:AlternateContent>
      </w:r>
    </w:p>
    <w:tbl>
      <w:tblPr>
        <w:tblW w:w="9647" w:type="dxa"/>
        <w:tblCellMar>
          <w:left w:w="0" w:type="dxa"/>
          <w:right w:w="28" w:type="dxa"/>
        </w:tblCellMar>
        <w:tblLook w:val="04A0" w:firstRow="1" w:lastRow="0" w:firstColumn="1" w:lastColumn="0" w:noHBand="0" w:noVBand="1"/>
      </w:tblPr>
      <w:tblGrid>
        <w:gridCol w:w="4823"/>
        <w:gridCol w:w="443"/>
        <w:gridCol w:w="1619"/>
        <w:gridCol w:w="2762"/>
      </w:tblGrid>
      <w:tr w:rsidR="00C9073D" w14:paraId="4C92D2D0" w14:textId="77777777" w:rsidTr="009262F4">
        <w:trPr>
          <w:cantSplit/>
          <w:trHeight w:val="270"/>
        </w:trPr>
        <w:tc>
          <w:tcPr>
            <w:tcW w:w="4823" w:type="dxa"/>
            <w:vMerge w:val="restart"/>
            <w:hideMark/>
          </w:tcPr>
          <w:p w14:paraId="671A1314" w14:textId="77777777" w:rsidR="00A31CC3" w:rsidRDefault="00DC2CCB" w:rsidP="00C775E6">
            <w:pPr>
              <w:jc w:val="left"/>
              <w:rPr>
                <w:rFonts w:eastAsiaTheme="minorHAnsi"/>
                <w:szCs w:val="24"/>
                <w:lang w:eastAsia="lt-LT"/>
              </w:rPr>
            </w:pPr>
            <w:r w:rsidRPr="00612CFD">
              <w:rPr>
                <w:rFonts w:eastAsiaTheme="minorHAnsi"/>
                <w:szCs w:val="24"/>
                <w:lang w:eastAsia="lt-LT"/>
              </w:rPr>
              <w:t xml:space="preserve">Lietuvos Respublikos </w:t>
            </w:r>
            <w:r w:rsidR="00A534AE">
              <w:rPr>
                <w:rFonts w:eastAsiaTheme="minorHAnsi"/>
                <w:szCs w:val="24"/>
                <w:lang w:eastAsia="lt-LT"/>
              </w:rPr>
              <w:t>teisingumo</w:t>
            </w:r>
          </w:p>
          <w:p w14:paraId="6E5ADE99" w14:textId="77777777" w:rsidR="00C9073D" w:rsidRPr="00612CFD" w:rsidRDefault="00DC2CCB" w:rsidP="00C775E6">
            <w:pPr>
              <w:jc w:val="left"/>
              <w:rPr>
                <w:szCs w:val="24"/>
                <w:lang w:eastAsia="lt-LT"/>
              </w:rPr>
            </w:pPr>
            <w:r w:rsidRPr="00612CFD">
              <w:rPr>
                <w:rFonts w:eastAsiaTheme="minorHAnsi"/>
                <w:szCs w:val="24"/>
                <w:lang w:eastAsia="lt-LT"/>
              </w:rPr>
              <w:t>ministerijai</w:t>
            </w:r>
          </w:p>
        </w:tc>
        <w:tc>
          <w:tcPr>
            <w:tcW w:w="443" w:type="dxa"/>
          </w:tcPr>
          <w:p w14:paraId="2F1A88D9" w14:textId="77777777" w:rsidR="00C9073D" w:rsidRDefault="00C9073D" w:rsidP="00E3384A">
            <w:pPr>
              <w:jc w:val="left"/>
              <w:rPr>
                <w:lang w:eastAsia="lt-LT"/>
              </w:rPr>
            </w:pPr>
          </w:p>
        </w:tc>
        <w:tc>
          <w:tcPr>
            <w:tcW w:w="1619" w:type="dxa"/>
            <w:hideMark/>
          </w:tcPr>
          <w:p w14:paraId="2800AAA6" w14:textId="77777777" w:rsidR="00C9073D" w:rsidRDefault="00523471" w:rsidP="001000BC">
            <w:pPr>
              <w:jc w:val="left"/>
              <w:rPr>
                <w:lang w:eastAsia="lt-LT"/>
              </w:rPr>
            </w:pPr>
            <w:r>
              <w:rPr>
                <w:lang w:eastAsia="lt-LT"/>
              </w:rPr>
              <w:t>2019</w:t>
            </w:r>
            <w:r w:rsidR="006C1A48">
              <w:rPr>
                <w:lang w:eastAsia="lt-LT"/>
              </w:rPr>
              <w:t>-</w:t>
            </w:r>
            <w:r w:rsidR="00DA1270">
              <w:rPr>
                <w:lang w:eastAsia="lt-LT"/>
              </w:rPr>
              <w:t>0</w:t>
            </w:r>
            <w:r w:rsidR="006B4910">
              <w:rPr>
                <w:lang w:eastAsia="lt-LT"/>
              </w:rPr>
              <w:t>4</w:t>
            </w:r>
            <w:r w:rsidR="00DA1270">
              <w:rPr>
                <w:lang w:eastAsia="lt-LT"/>
              </w:rPr>
              <w:t>-</w:t>
            </w:r>
          </w:p>
        </w:tc>
        <w:tc>
          <w:tcPr>
            <w:tcW w:w="2761" w:type="dxa"/>
            <w:hideMark/>
          </w:tcPr>
          <w:p w14:paraId="3C9F7686" w14:textId="77777777" w:rsidR="00C9073D" w:rsidRDefault="00C9073D" w:rsidP="00660176">
            <w:pPr>
              <w:jc w:val="left"/>
              <w:rPr>
                <w:lang w:eastAsia="lt-LT"/>
              </w:rPr>
            </w:pPr>
            <w:r>
              <w:rPr>
                <w:lang w:eastAsia="lt-LT"/>
              </w:rPr>
              <w:t>Nr. (</w:t>
            </w:r>
            <w:r w:rsidR="006C1A48" w:rsidRPr="00527FB1">
              <w:t>39.</w:t>
            </w:r>
            <w:r w:rsidR="006C1A48">
              <w:t>8</w:t>
            </w:r>
            <w:r w:rsidR="006C1A48" w:rsidRPr="00527FB1">
              <w:t>-</w:t>
            </w:r>
            <w:r w:rsidR="006C1A48">
              <w:t>42</w:t>
            </w:r>
            <w:r w:rsidR="006C1A48">
              <w:rPr>
                <w:lang w:eastAsia="lt-LT"/>
              </w:rPr>
              <w:t>)-</w:t>
            </w:r>
          </w:p>
        </w:tc>
      </w:tr>
      <w:tr w:rsidR="00C9073D" w14:paraId="1868EC47" w14:textId="77777777" w:rsidTr="009262F4">
        <w:trPr>
          <w:cantSplit/>
          <w:trHeight w:val="285"/>
        </w:trPr>
        <w:tc>
          <w:tcPr>
            <w:tcW w:w="0" w:type="auto"/>
            <w:vMerge/>
            <w:vAlign w:val="center"/>
            <w:hideMark/>
          </w:tcPr>
          <w:p w14:paraId="37AE5120" w14:textId="77777777" w:rsidR="00C9073D" w:rsidRPr="004C71D7" w:rsidRDefault="00C9073D" w:rsidP="00E3384A">
            <w:pPr>
              <w:jc w:val="left"/>
              <w:rPr>
                <w:lang w:eastAsia="lt-LT"/>
              </w:rPr>
            </w:pPr>
          </w:p>
        </w:tc>
        <w:tc>
          <w:tcPr>
            <w:tcW w:w="443" w:type="dxa"/>
            <w:hideMark/>
          </w:tcPr>
          <w:p w14:paraId="356B111E" w14:textId="77777777" w:rsidR="00C9073D" w:rsidRDefault="00C9073D" w:rsidP="00E3384A">
            <w:pPr>
              <w:jc w:val="left"/>
              <w:rPr>
                <w:lang w:eastAsia="lt-LT"/>
              </w:rPr>
            </w:pPr>
            <w:r>
              <w:rPr>
                <w:lang w:eastAsia="lt-LT"/>
              </w:rPr>
              <w:t>Į</w:t>
            </w:r>
          </w:p>
        </w:tc>
        <w:tc>
          <w:tcPr>
            <w:tcW w:w="1619" w:type="dxa"/>
            <w:hideMark/>
          </w:tcPr>
          <w:p w14:paraId="677C733A" w14:textId="77777777" w:rsidR="00C9073D" w:rsidRPr="00484616" w:rsidRDefault="00660176" w:rsidP="001000BC">
            <w:r>
              <w:t>2019</w:t>
            </w:r>
            <w:r w:rsidR="00C9073D" w:rsidRPr="00484616">
              <w:t>-</w:t>
            </w:r>
            <w:r>
              <w:t>0</w:t>
            </w:r>
            <w:r w:rsidR="00A534AE">
              <w:t>3-18</w:t>
            </w:r>
          </w:p>
        </w:tc>
        <w:tc>
          <w:tcPr>
            <w:tcW w:w="2761" w:type="dxa"/>
            <w:hideMark/>
          </w:tcPr>
          <w:p w14:paraId="2C5D7547" w14:textId="77777777" w:rsidR="00C9073D" w:rsidRDefault="006C1A48" w:rsidP="006C1A48">
            <w:r>
              <w:rPr>
                <w:lang w:eastAsia="lt-LT"/>
              </w:rPr>
              <w:t xml:space="preserve">Nr. </w:t>
            </w:r>
            <w:r w:rsidR="006B4910">
              <w:t xml:space="preserve"> </w:t>
            </w:r>
            <w:r w:rsidR="00A534AE" w:rsidRPr="00A534AE">
              <w:t>(1.27E) 2T-241</w:t>
            </w:r>
          </w:p>
        </w:tc>
      </w:tr>
      <w:tr w:rsidR="00C9073D" w14:paraId="7BCCA0E6" w14:textId="77777777" w:rsidTr="009262F4">
        <w:trPr>
          <w:cantSplit/>
          <w:trHeight w:val="270"/>
        </w:trPr>
        <w:tc>
          <w:tcPr>
            <w:tcW w:w="4823" w:type="dxa"/>
          </w:tcPr>
          <w:p w14:paraId="0C3D1E36" w14:textId="77777777" w:rsidR="00C9073D" w:rsidRPr="004C71D7" w:rsidRDefault="00C9073D" w:rsidP="00E3384A">
            <w:pPr>
              <w:jc w:val="left"/>
              <w:rPr>
                <w:lang w:eastAsia="lt-LT"/>
              </w:rPr>
            </w:pPr>
          </w:p>
        </w:tc>
        <w:tc>
          <w:tcPr>
            <w:tcW w:w="443" w:type="dxa"/>
          </w:tcPr>
          <w:p w14:paraId="1FBCBCDC" w14:textId="77777777" w:rsidR="00C9073D" w:rsidRDefault="00C9073D" w:rsidP="00E3384A">
            <w:pPr>
              <w:jc w:val="left"/>
              <w:rPr>
                <w:lang w:eastAsia="lt-LT"/>
              </w:rPr>
            </w:pPr>
          </w:p>
        </w:tc>
        <w:tc>
          <w:tcPr>
            <w:tcW w:w="1619" w:type="dxa"/>
          </w:tcPr>
          <w:p w14:paraId="26A60317" w14:textId="77777777" w:rsidR="00C9073D" w:rsidRDefault="00C9073D" w:rsidP="00E3384A">
            <w:pPr>
              <w:jc w:val="left"/>
              <w:rPr>
                <w:lang w:eastAsia="lt-LT"/>
              </w:rPr>
            </w:pPr>
          </w:p>
        </w:tc>
        <w:tc>
          <w:tcPr>
            <w:tcW w:w="2761" w:type="dxa"/>
          </w:tcPr>
          <w:p w14:paraId="49D1418D" w14:textId="77777777" w:rsidR="00C9073D" w:rsidRDefault="00C9073D" w:rsidP="00E3384A">
            <w:pPr>
              <w:jc w:val="left"/>
              <w:rPr>
                <w:lang w:eastAsia="lt-LT"/>
              </w:rPr>
            </w:pPr>
          </w:p>
        </w:tc>
      </w:tr>
      <w:tr w:rsidR="00C9073D" w14:paraId="71B9BCAA" w14:textId="77777777" w:rsidTr="009262F4">
        <w:trPr>
          <w:cantSplit/>
          <w:trHeight w:val="285"/>
        </w:trPr>
        <w:tc>
          <w:tcPr>
            <w:tcW w:w="4823" w:type="dxa"/>
          </w:tcPr>
          <w:p w14:paraId="7445A039" w14:textId="77777777" w:rsidR="00C9073D" w:rsidRPr="004C71D7" w:rsidRDefault="00C9073D" w:rsidP="00DC2CCB">
            <w:pPr>
              <w:jc w:val="left"/>
              <w:rPr>
                <w:lang w:eastAsia="lt-LT"/>
              </w:rPr>
            </w:pPr>
          </w:p>
        </w:tc>
        <w:tc>
          <w:tcPr>
            <w:tcW w:w="443" w:type="dxa"/>
          </w:tcPr>
          <w:p w14:paraId="2E209089" w14:textId="77777777" w:rsidR="00C9073D" w:rsidRDefault="00C9073D" w:rsidP="00E3384A">
            <w:pPr>
              <w:jc w:val="left"/>
              <w:rPr>
                <w:lang w:eastAsia="lt-LT"/>
              </w:rPr>
            </w:pPr>
          </w:p>
        </w:tc>
        <w:tc>
          <w:tcPr>
            <w:tcW w:w="1619" w:type="dxa"/>
          </w:tcPr>
          <w:p w14:paraId="3255ABEA" w14:textId="77777777" w:rsidR="00C9073D" w:rsidRDefault="00C9073D" w:rsidP="00E3384A">
            <w:pPr>
              <w:jc w:val="left"/>
              <w:rPr>
                <w:lang w:eastAsia="lt-LT"/>
              </w:rPr>
            </w:pPr>
          </w:p>
        </w:tc>
        <w:tc>
          <w:tcPr>
            <w:tcW w:w="2761" w:type="dxa"/>
          </w:tcPr>
          <w:p w14:paraId="1BB1092D" w14:textId="77777777" w:rsidR="00C9073D" w:rsidRDefault="00C9073D" w:rsidP="00E3384A">
            <w:pPr>
              <w:jc w:val="left"/>
              <w:rPr>
                <w:lang w:eastAsia="lt-LT"/>
              </w:rPr>
            </w:pPr>
          </w:p>
        </w:tc>
      </w:tr>
      <w:tr w:rsidR="00C9073D" w14:paraId="5C65F6F0" w14:textId="77777777" w:rsidTr="009262F4">
        <w:trPr>
          <w:cantSplit/>
          <w:trHeight w:val="270"/>
        </w:trPr>
        <w:tc>
          <w:tcPr>
            <w:tcW w:w="4823" w:type="dxa"/>
          </w:tcPr>
          <w:p w14:paraId="7D87C43C" w14:textId="77777777" w:rsidR="00C9073D" w:rsidRPr="004C71D7" w:rsidRDefault="00C9073D" w:rsidP="00E3384A">
            <w:pPr>
              <w:jc w:val="left"/>
              <w:rPr>
                <w:lang w:eastAsia="lt-LT"/>
              </w:rPr>
            </w:pPr>
          </w:p>
        </w:tc>
        <w:tc>
          <w:tcPr>
            <w:tcW w:w="443" w:type="dxa"/>
          </w:tcPr>
          <w:p w14:paraId="5C802303" w14:textId="77777777" w:rsidR="00C9073D" w:rsidRDefault="00C9073D" w:rsidP="00E3384A">
            <w:pPr>
              <w:jc w:val="left"/>
              <w:rPr>
                <w:lang w:eastAsia="lt-LT"/>
              </w:rPr>
            </w:pPr>
          </w:p>
        </w:tc>
        <w:tc>
          <w:tcPr>
            <w:tcW w:w="1619" w:type="dxa"/>
          </w:tcPr>
          <w:p w14:paraId="3ACC159D" w14:textId="77777777" w:rsidR="00C9073D" w:rsidRDefault="00C9073D" w:rsidP="00E3384A">
            <w:pPr>
              <w:jc w:val="left"/>
              <w:rPr>
                <w:lang w:eastAsia="lt-LT"/>
              </w:rPr>
            </w:pPr>
          </w:p>
        </w:tc>
        <w:tc>
          <w:tcPr>
            <w:tcW w:w="2761" w:type="dxa"/>
          </w:tcPr>
          <w:p w14:paraId="4265F49D" w14:textId="77777777" w:rsidR="00C9073D" w:rsidRDefault="00C9073D" w:rsidP="00E3384A">
            <w:pPr>
              <w:jc w:val="left"/>
              <w:rPr>
                <w:lang w:eastAsia="lt-LT"/>
              </w:rPr>
            </w:pPr>
          </w:p>
        </w:tc>
      </w:tr>
      <w:tr w:rsidR="00C9073D" w:rsidRPr="00CF6765" w14:paraId="77280E42" w14:textId="77777777" w:rsidTr="009262F4">
        <w:trPr>
          <w:cantSplit/>
          <w:trHeight w:val="563"/>
        </w:trPr>
        <w:tc>
          <w:tcPr>
            <w:tcW w:w="9647" w:type="dxa"/>
            <w:gridSpan w:val="4"/>
            <w:hideMark/>
          </w:tcPr>
          <w:p w14:paraId="4EBF2F1A" w14:textId="77777777" w:rsidR="00A534AE" w:rsidRDefault="00A534AE" w:rsidP="00A534AE">
            <w:pPr>
              <w:pStyle w:val="Pavadinimas1"/>
              <w:ind w:right="-1"/>
              <w:jc w:val="both"/>
            </w:pPr>
            <w:r>
              <w:rPr>
                <w:b/>
              </w:rPr>
              <w:t>DĖL Lietuvos respublikos vyriausybės programos PRIORITETINĘ priemonĘ įgyvendinANČIŲ TEISĖS AKTŲ PROJEKTŲ DERINIMO</w:t>
            </w:r>
          </w:p>
          <w:p w14:paraId="177ED117" w14:textId="77777777" w:rsidR="00C9073D" w:rsidRPr="00CF6765" w:rsidRDefault="00C9073D" w:rsidP="00F87788">
            <w:pPr>
              <w:rPr>
                <w:b/>
                <w:bCs/>
                <w:lang w:eastAsia="lt-LT"/>
              </w:rPr>
            </w:pPr>
          </w:p>
        </w:tc>
      </w:tr>
    </w:tbl>
    <w:p w14:paraId="56B7EEF0" w14:textId="77777777" w:rsidR="00C9073D" w:rsidRDefault="00C9073D" w:rsidP="00504CD4">
      <w:pPr>
        <w:spacing w:line="360" w:lineRule="auto"/>
      </w:pPr>
    </w:p>
    <w:p w14:paraId="69565BDB" w14:textId="77777777" w:rsidR="00C35BA2" w:rsidRDefault="00504CD4" w:rsidP="00DA41E8">
      <w:pPr>
        <w:ind w:firstLine="851"/>
      </w:pPr>
      <w:r w:rsidRPr="0012230D">
        <w:rPr>
          <w:rFonts w:eastAsiaTheme="minorHAnsi"/>
          <w:szCs w:val="24"/>
        </w:rPr>
        <w:t xml:space="preserve">Lietuvos Respublikos </w:t>
      </w:r>
      <w:r>
        <w:rPr>
          <w:rFonts w:eastAsiaTheme="minorHAnsi"/>
          <w:szCs w:val="24"/>
        </w:rPr>
        <w:t>ekonomikos ir inovacijų</w:t>
      </w:r>
      <w:r w:rsidRPr="0012230D">
        <w:rPr>
          <w:rFonts w:eastAsiaTheme="minorHAnsi"/>
          <w:szCs w:val="24"/>
        </w:rPr>
        <w:t xml:space="preserve"> ministerija išnagrinėj</w:t>
      </w:r>
      <w:r w:rsidR="00DA41E8">
        <w:rPr>
          <w:rFonts w:eastAsiaTheme="minorHAnsi"/>
          <w:szCs w:val="24"/>
        </w:rPr>
        <w:t>o</w:t>
      </w:r>
      <w:r w:rsidRPr="0012230D">
        <w:rPr>
          <w:szCs w:val="24"/>
        </w:rPr>
        <w:t xml:space="preserve"> </w:t>
      </w:r>
      <w:r>
        <w:rPr>
          <w:szCs w:val="24"/>
        </w:rPr>
        <w:t xml:space="preserve">Lietuvos Respublikos </w:t>
      </w:r>
      <w:r w:rsidR="00A534AE">
        <w:rPr>
          <w:szCs w:val="24"/>
        </w:rPr>
        <w:t>teisingumo</w:t>
      </w:r>
      <w:r w:rsidR="006B4910">
        <w:rPr>
          <w:szCs w:val="24"/>
        </w:rPr>
        <w:t xml:space="preserve"> </w:t>
      </w:r>
      <w:r>
        <w:rPr>
          <w:szCs w:val="24"/>
        </w:rPr>
        <w:t xml:space="preserve">ministerijos 2019 m. </w:t>
      </w:r>
      <w:r w:rsidR="00A534AE">
        <w:rPr>
          <w:szCs w:val="24"/>
        </w:rPr>
        <w:t>kovo</w:t>
      </w:r>
      <w:r w:rsidR="006B4910">
        <w:rPr>
          <w:szCs w:val="24"/>
        </w:rPr>
        <w:t xml:space="preserve"> 1</w:t>
      </w:r>
      <w:r w:rsidR="00A534AE">
        <w:rPr>
          <w:szCs w:val="24"/>
        </w:rPr>
        <w:t>8</w:t>
      </w:r>
      <w:r w:rsidR="006B4910">
        <w:rPr>
          <w:szCs w:val="24"/>
        </w:rPr>
        <w:t xml:space="preserve"> </w:t>
      </w:r>
      <w:r>
        <w:rPr>
          <w:szCs w:val="24"/>
        </w:rPr>
        <w:t xml:space="preserve">d. raštu Nr. </w:t>
      </w:r>
      <w:r w:rsidR="00A534AE" w:rsidRPr="00A534AE">
        <w:t>(1.27E) 2T-241</w:t>
      </w:r>
      <w:r>
        <w:rPr>
          <w:szCs w:val="24"/>
        </w:rPr>
        <w:t xml:space="preserve"> </w:t>
      </w:r>
      <w:r w:rsidR="00DA41E8">
        <w:rPr>
          <w:rFonts w:eastAsiaTheme="minorHAnsi"/>
          <w:szCs w:val="24"/>
        </w:rPr>
        <w:t>pateiktus</w:t>
      </w:r>
      <w:r w:rsidRPr="0012230D">
        <w:rPr>
          <w:rFonts w:eastAsiaTheme="minorHAnsi"/>
          <w:szCs w:val="24"/>
        </w:rPr>
        <w:t xml:space="preserve"> derinti </w:t>
      </w:r>
      <w:r w:rsidR="00DA41E8">
        <w:t xml:space="preserve">Lietuvos Respublikos civilinio kodekso 4.173, 4.177 straipsnių, ketvirtosios knygos II dalies XI skyriaus antrojo skirsnio, 4.184, 4.189 straipsnių, ketvirtosios knygos II dalies XI skyriaus ketvirtojo ir penktojo skirsnių, 4.202, 4.207, 4.209, 4.210, 4.212, 4.213, 4.223, 4.224, 4.225, 6.104, 6.561 straipsnių pakeitimo įstatymo, Lietuvos Respublikos civilinio proceso kodekso 746 straipsnio pakeitimo įstatymo, Lietuvos Respublikos hipotekos registro įstatymo Nr. I-1544 pripažinimo netekusiu galios įstatymo, Lietuvos Respublikos nekilnojamojo turto registro įstatymo Nr. I-1539 5, 11, 15, 17 ir 38 straipsnių pakeitimo įstatymo, Lietuvos Respublikos sutarčių registro įstatymo Nr. XI-1140 pakeitimo įstatymo, Lietuvos Respublikos notariato įstatymo Nr. I-2882 46 ir </w:t>
      </w:r>
      <w:r w:rsidR="00DA41E8">
        <w:rPr>
          <w:bCs/>
          <w:lang w:val="pt-BR" w:eastAsia="lt-LT"/>
        </w:rPr>
        <w:t>49</w:t>
      </w:r>
      <w:r w:rsidR="00DA41E8">
        <w:rPr>
          <w:bCs/>
          <w:vertAlign w:val="superscript"/>
          <w:lang w:val="pt-BR" w:eastAsia="lt-LT"/>
        </w:rPr>
        <w:t>1</w:t>
      </w:r>
      <w:r w:rsidR="00DA41E8">
        <w:t> straipsnių pakeitimo įstatymo, Lietuvos Respublikos valstybės informacinių išteklių valdymo įstatymo Nr. XI-1807 16 straipsnio pakeitimo įstatymo, Lietuvos Respublikos civilinio kodekso 4.127, 4.170, 4.171, 4.172, 4.173, 4.174, 4.175, 4.176, 4.177, 4. 4.178,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DA41E8">
        <w:rPr>
          <w:vertAlign w:val="superscript"/>
        </w:rPr>
        <w:t>1</w:t>
      </w:r>
      <w:r w:rsidR="00DA41E8">
        <w:t>, 4.194</w:t>
      </w:r>
      <w:r w:rsidR="00DA41E8">
        <w:rPr>
          <w:vertAlign w:val="superscript"/>
        </w:rPr>
        <w:t>1</w:t>
      </w:r>
      <w:r w:rsidR="00DA41E8">
        <w:t xml:space="preserve"> straipsniais įstatymo Nr. XI-1842 pakeitimo įstatymo  projektus</w:t>
      </w:r>
      <w:r w:rsidR="00A655DC">
        <w:t xml:space="preserve"> ir teikia pastabas</w:t>
      </w:r>
      <w:r w:rsidR="00DA41E8">
        <w:t xml:space="preserve">. </w:t>
      </w:r>
    </w:p>
    <w:p w14:paraId="310EC543" w14:textId="77777777" w:rsidR="00E73398" w:rsidRDefault="00E73398" w:rsidP="00E73398">
      <w:pPr>
        <w:ind w:firstLine="851"/>
      </w:pPr>
      <w:r>
        <w:t>Ekonomikos ir inovacijų ministerija palaiko Teisingumo ministerijos veiksmus, susijusius su įkeitimo registravimo proceso modernizavimu, nes tai turės teigiamos įtakos ne tik Lietuvos pozicijai pagal Pasaulio banko skelbiamą verslo sąlygų tyrimą „</w:t>
      </w:r>
      <w:proofErr w:type="spellStart"/>
      <w:r>
        <w:t>Doing</w:t>
      </w:r>
      <w:proofErr w:type="spellEnd"/>
      <w:r>
        <w:t xml:space="preserve"> </w:t>
      </w:r>
      <w:proofErr w:type="spellStart"/>
      <w:r>
        <w:t>Business</w:t>
      </w:r>
      <w:proofErr w:type="spellEnd"/>
      <w:r>
        <w:t>“, bet ir pagerins skolinimo sąlygas mažoms ir vidutinėms įmonėms (toliau – MVĮ). Lietuva pagal „</w:t>
      </w:r>
      <w:proofErr w:type="spellStart"/>
      <w:r>
        <w:t>Doing</w:t>
      </w:r>
      <w:proofErr w:type="spellEnd"/>
      <w:r>
        <w:t xml:space="preserve"> </w:t>
      </w:r>
      <w:proofErr w:type="spellStart"/>
      <w:r>
        <w:t>Business</w:t>
      </w:r>
      <w:proofErr w:type="spellEnd"/>
      <w:r>
        <w:t>“ reitingo kredito gavimo rodiklį yra 44-ta iš 190 valstybių. Modernizavus įkeitimo institutą, Lietuva pagal „</w:t>
      </w:r>
      <w:proofErr w:type="spellStart"/>
      <w:r>
        <w:t>Doing</w:t>
      </w:r>
      <w:proofErr w:type="spellEnd"/>
      <w:r>
        <w:t xml:space="preserve"> </w:t>
      </w:r>
      <w:proofErr w:type="spellStart"/>
      <w:r>
        <w:t>Business</w:t>
      </w:r>
      <w:proofErr w:type="spellEnd"/>
      <w:r>
        <w:t xml:space="preserve">“ reitingo kredito gavimo rodiklį galėtų pakilti per 22 vietas į 22 vietą, o pagal bendrą reitingą per 4 vietas, į dešimtą vietą. </w:t>
      </w:r>
    </w:p>
    <w:p w14:paraId="1EB279FA" w14:textId="77777777" w:rsidR="00E73398" w:rsidRDefault="00E73398" w:rsidP="00E73398">
      <w:pPr>
        <w:ind w:right="8" w:firstLine="720"/>
        <w:rPr>
          <w:rFonts w:eastAsiaTheme="minorHAnsi"/>
          <w:szCs w:val="24"/>
        </w:rPr>
      </w:pPr>
      <w:r>
        <w:rPr>
          <w:szCs w:val="24"/>
        </w:rPr>
        <w:t xml:space="preserve">Modernaus įkeitimo registrų standarto, kuris apima registraciją, grindžiamą pranešimo pateikimu, kai nereikalaujama pateikti jokių dokumentų, interneto prieigą prie duomenų, įdiegimas gali turėti daug teigiamų aspektų, pvz., padėtų taupyti laiką, sąnaudas ir pagerintų nutolusių ar mažų finansinių institucijų skolinimą mažoms ir vidutinėms įmonėms. Efektyvūs įkeitimo registrai gali sumažinti stebėsenos išlaidas, nes šalims būtų pranešta apie užtikrinimo teisę ir kreditoriaus pirmenybę prieš trečiąsias šalis. Lengva, greita ir nebrangi registracija skatintų šalis atskleisti sandorius, kuriuos jie galėjo slėpti. </w:t>
      </w:r>
      <w:r>
        <w:rPr>
          <w:rFonts w:eastAsiaTheme="minorHAnsi"/>
          <w:szCs w:val="24"/>
        </w:rPr>
        <w:t xml:space="preserve">Pasaulio banko nuomone, kuri grindžiama įvairiais atliktais </w:t>
      </w:r>
      <w:hyperlink r:id="rId9" w:anchor="Maintaining" w:history="1">
        <w:r>
          <w:rPr>
            <w:rStyle w:val="Hipersaitas"/>
            <w:rFonts w:eastAsiaTheme="minorHAnsi"/>
            <w:szCs w:val="24"/>
          </w:rPr>
          <w:t>tyrimais</w:t>
        </w:r>
      </w:hyperlink>
      <w:r>
        <w:rPr>
          <w:rStyle w:val="Puslapioinaosnuoroda"/>
          <w:rFonts w:eastAsiaTheme="minorHAnsi"/>
          <w:szCs w:val="24"/>
        </w:rPr>
        <w:footnoteReference w:id="2"/>
      </w:r>
      <w:r>
        <w:rPr>
          <w:rFonts w:eastAsiaTheme="minorHAnsi"/>
          <w:szCs w:val="24"/>
        </w:rPr>
        <w:t xml:space="preserve">, </w:t>
      </w:r>
      <w:r>
        <w:t xml:space="preserve">įkeitimo registrai skatina kilnojamojo turto įkeitimą paskoloms garantuoti. </w:t>
      </w:r>
      <w:r w:rsidR="00AF6D66">
        <w:t>Pasaulio banko atlikt</w:t>
      </w:r>
      <w:r w:rsidR="00B74F1C">
        <w:t>as</w:t>
      </w:r>
      <w:r w:rsidR="003427E5">
        <w:t xml:space="preserve"> </w:t>
      </w:r>
      <w:r w:rsidR="00E423A8">
        <w:t>grupės šalių</w:t>
      </w:r>
      <w:r w:rsidR="003427E5">
        <w:t xml:space="preserve"> </w:t>
      </w:r>
      <w:r w:rsidR="00AF6D66">
        <w:t>t</w:t>
      </w:r>
      <w:r>
        <w:t>yrim</w:t>
      </w:r>
      <w:r w:rsidR="00AF6D66">
        <w:t>as</w:t>
      </w:r>
      <w:r>
        <w:t xml:space="preserve"> rodo, kad naujo įkeitimo registro sukūrimas gali būti ekonomiškai naudingas</w:t>
      </w:r>
      <w:r w:rsidR="00685FE3">
        <w:t xml:space="preserve"> </w:t>
      </w:r>
      <w:r w:rsidR="00AF6D66">
        <w:t>–</w:t>
      </w:r>
      <w:r>
        <w:t xml:space="preserve"> galimybė gauti bankų finansavimą vidutiniškai išauga maždaug 8 procentiniais punktais, palūkanų normos mažėja maždaug 3 procentiniais punktais, o paskolų terminai padidėja maždaug 6 mėnesiais. Teigiamas poveikis mažesnėms įmonėms yra didesnis</w:t>
      </w:r>
      <w:r>
        <w:rPr>
          <w:rFonts w:eastAsiaTheme="minorHAnsi"/>
          <w:szCs w:val="24"/>
        </w:rPr>
        <w:t xml:space="preserve">. </w:t>
      </w:r>
    </w:p>
    <w:p w14:paraId="3FFE2F1B" w14:textId="77777777" w:rsidR="006E7992" w:rsidRDefault="006E7992" w:rsidP="006E7992">
      <w:pPr>
        <w:ind w:right="8" w:firstLine="720"/>
        <w:rPr>
          <w:rStyle w:val="Hipersaitas"/>
          <w:color w:val="000000" w:themeColor="text1"/>
          <w:szCs w:val="24"/>
          <w:u w:val="none"/>
        </w:rPr>
      </w:pPr>
      <w:r w:rsidRPr="00826B11">
        <w:t>Primename, kad Pasaulio banko vertinimu, Lietuvos Respublikos civilinio kodekso (toliau – Civilinis kodeksas) 4.202 straipsnio nuostatos neatitinka geriausios tarptautinės</w:t>
      </w:r>
      <w:r w:rsidR="00E06D62" w:rsidRPr="00826B11">
        <w:t xml:space="preserve"> praktikos</w:t>
      </w:r>
      <w:r w:rsidRPr="00826B11">
        <w:t xml:space="preserve"> dėl numatyto apribojimo </w:t>
      </w:r>
      <w:r>
        <w:rPr>
          <w:color w:val="222222"/>
        </w:rPr>
        <w:t xml:space="preserve">– </w:t>
      </w:r>
      <w:r>
        <w:t xml:space="preserve">įkaito davėjas, įkeitęs esančias apyvartoje prekių atsargas (prekes, žaliavas, pusgaminius, pagamintą produkciją), turi teisę keisti įkeistų prekių atsargų sudėtį ir formą, tik jei </w:t>
      </w:r>
      <w:r w:rsidRPr="00D62515">
        <w:rPr>
          <w:b/>
        </w:rPr>
        <w:t>nemažės bendra jų vertė.</w:t>
      </w:r>
      <w:r>
        <w:rPr>
          <w:b/>
        </w:rPr>
        <w:t xml:space="preserve"> </w:t>
      </w:r>
      <w:r w:rsidRPr="002D4AA7">
        <w:t>Pagal</w:t>
      </w:r>
      <w:r>
        <w:t xml:space="preserve"> Jungtinių Tautų Tarptautinės prekybos teisės komisijos (angl. UNCITRAL) parengtą </w:t>
      </w:r>
      <w:r>
        <w:rPr>
          <w:szCs w:val="24"/>
        </w:rPr>
        <w:t xml:space="preserve">Teisėkūros gido dėl užtikrintų sandorių </w:t>
      </w:r>
      <w:r w:rsidRPr="007D0151">
        <w:rPr>
          <w:szCs w:val="24"/>
        </w:rPr>
        <w:t>(</w:t>
      </w:r>
      <w:r>
        <w:rPr>
          <w:szCs w:val="24"/>
        </w:rPr>
        <w:t xml:space="preserve">angl. </w:t>
      </w:r>
      <w:hyperlink r:id="rId10" w:history="1">
        <w:proofErr w:type="spellStart"/>
        <w:r w:rsidRPr="00985144">
          <w:rPr>
            <w:rStyle w:val="Hipersaitas"/>
            <w:i/>
            <w:color w:val="000000" w:themeColor="text1"/>
            <w:szCs w:val="24"/>
            <w:u w:val="none"/>
          </w:rPr>
          <w:t>Legislative</w:t>
        </w:r>
        <w:proofErr w:type="spellEnd"/>
        <w:r w:rsidRPr="00985144">
          <w:rPr>
            <w:rStyle w:val="Hipersaitas"/>
            <w:i/>
            <w:color w:val="000000" w:themeColor="text1"/>
            <w:szCs w:val="24"/>
            <w:u w:val="none"/>
          </w:rPr>
          <w:t xml:space="preserve"> </w:t>
        </w:r>
        <w:proofErr w:type="spellStart"/>
        <w:r w:rsidRPr="00985144">
          <w:rPr>
            <w:rStyle w:val="Hipersaitas"/>
            <w:i/>
            <w:color w:val="000000" w:themeColor="text1"/>
            <w:szCs w:val="24"/>
            <w:u w:val="none"/>
          </w:rPr>
          <w:t>Guide</w:t>
        </w:r>
        <w:proofErr w:type="spellEnd"/>
        <w:r w:rsidRPr="00985144">
          <w:rPr>
            <w:rStyle w:val="Hipersaitas"/>
            <w:i/>
            <w:color w:val="000000" w:themeColor="text1"/>
            <w:szCs w:val="24"/>
            <w:u w:val="none"/>
          </w:rPr>
          <w:t xml:space="preserve"> </w:t>
        </w:r>
        <w:proofErr w:type="spellStart"/>
        <w:r w:rsidRPr="00985144">
          <w:rPr>
            <w:rStyle w:val="Hipersaitas"/>
            <w:i/>
            <w:color w:val="000000" w:themeColor="text1"/>
            <w:szCs w:val="24"/>
            <w:u w:val="none"/>
          </w:rPr>
          <w:t>on</w:t>
        </w:r>
        <w:proofErr w:type="spellEnd"/>
        <w:r w:rsidRPr="00985144">
          <w:rPr>
            <w:rStyle w:val="Hipersaitas"/>
            <w:i/>
            <w:color w:val="000000" w:themeColor="text1"/>
            <w:szCs w:val="24"/>
            <w:u w:val="none"/>
          </w:rPr>
          <w:t xml:space="preserve"> </w:t>
        </w:r>
        <w:proofErr w:type="spellStart"/>
        <w:r w:rsidRPr="00985144">
          <w:rPr>
            <w:rStyle w:val="Hipersaitas"/>
            <w:i/>
            <w:color w:val="000000" w:themeColor="text1"/>
            <w:szCs w:val="24"/>
            <w:u w:val="none"/>
          </w:rPr>
          <w:t>Secured</w:t>
        </w:r>
        <w:proofErr w:type="spellEnd"/>
        <w:r w:rsidRPr="00985144">
          <w:rPr>
            <w:rStyle w:val="Hipersaitas"/>
            <w:i/>
            <w:color w:val="000000" w:themeColor="text1"/>
            <w:szCs w:val="24"/>
            <w:u w:val="none"/>
          </w:rPr>
          <w:t xml:space="preserve"> </w:t>
        </w:r>
        <w:proofErr w:type="spellStart"/>
        <w:r w:rsidRPr="00985144">
          <w:rPr>
            <w:rStyle w:val="Hipersaitas"/>
            <w:i/>
            <w:color w:val="000000" w:themeColor="text1"/>
            <w:szCs w:val="24"/>
            <w:u w:val="none"/>
          </w:rPr>
          <w:t>Transactions</w:t>
        </w:r>
        <w:proofErr w:type="spellEnd"/>
      </w:hyperlink>
      <w:r w:rsidRPr="00985144">
        <w:rPr>
          <w:rStyle w:val="Hipersaitas"/>
          <w:i/>
          <w:color w:val="000000" w:themeColor="text1"/>
          <w:szCs w:val="24"/>
          <w:u w:val="none"/>
        </w:rPr>
        <w:t>)</w:t>
      </w:r>
      <w:r w:rsidRPr="00985144">
        <w:rPr>
          <w:rStyle w:val="Hipersaitas"/>
          <w:color w:val="000000" w:themeColor="text1"/>
          <w:szCs w:val="24"/>
          <w:u w:val="none"/>
        </w:rPr>
        <w:t xml:space="preserve"> 17 rekomendaciją – teisini</w:t>
      </w:r>
      <w:r>
        <w:rPr>
          <w:rStyle w:val="Hipersaitas"/>
          <w:color w:val="000000" w:themeColor="text1"/>
          <w:szCs w:val="24"/>
          <w:u w:val="none"/>
        </w:rPr>
        <w:t>u</w:t>
      </w:r>
      <w:r w:rsidRPr="00985144">
        <w:rPr>
          <w:rStyle w:val="Hipersaitas"/>
          <w:color w:val="000000" w:themeColor="text1"/>
          <w:szCs w:val="24"/>
          <w:u w:val="none"/>
        </w:rPr>
        <w:t xml:space="preserve"> reguliavim</w:t>
      </w:r>
      <w:r>
        <w:rPr>
          <w:rStyle w:val="Hipersaitas"/>
          <w:color w:val="000000" w:themeColor="text1"/>
          <w:szCs w:val="24"/>
          <w:u w:val="none"/>
        </w:rPr>
        <w:t>u</w:t>
      </w:r>
      <w:r w:rsidRPr="00985144">
        <w:rPr>
          <w:rStyle w:val="Hipersaitas"/>
          <w:color w:val="000000" w:themeColor="text1"/>
          <w:szCs w:val="24"/>
          <w:u w:val="none"/>
        </w:rPr>
        <w:t xml:space="preserve"> turi </w:t>
      </w:r>
      <w:r>
        <w:rPr>
          <w:rStyle w:val="Hipersaitas"/>
          <w:color w:val="000000" w:themeColor="text1"/>
          <w:szCs w:val="24"/>
          <w:u w:val="none"/>
        </w:rPr>
        <w:t xml:space="preserve">būti </w:t>
      </w:r>
      <w:r w:rsidRPr="00985144">
        <w:rPr>
          <w:rStyle w:val="Hipersaitas"/>
          <w:color w:val="000000" w:themeColor="text1"/>
          <w:szCs w:val="24"/>
          <w:u w:val="none"/>
        </w:rPr>
        <w:t>numat</w:t>
      </w:r>
      <w:r>
        <w:rPr>
          <w:rStyle w:val="Hipersaitas"/>
          <w:color w:val="000000" w:themeColor="text1"/>
          <w:szCs w:val="24"/>
          <w:u w:val="none"/>
        </w:rPr>
        <w:t>oma</w:t>
      </w:r>
      <w:r w:rsidRPr="00985144">
        <w:rPr>
          <w:rStyle w:val="Hipersaitas"/>
          <w:color w:val="000000" w:themeColor="text1"/>
          <w:szCs w:val="24"/>
          <w:u w:val="none"/>
        </w:rPr>
        <w:t>, kad įkeitimo teisė gali suvaržyti bet kokį turtą, įskaitant turto dalis ar nedalomas teises į turtą. Įkei</w:t>
      </w:r>
      <w:r>
        <w:rPr>
          <w:rStyle w:val="Hipersaitas"/>
          <w:color w:val="000000" w:themeColor="text1"/>
          <w:szCs w:val="24"/>
          <w:u w:val="none"/>
        </w:rPr>
        <w:t>s</w:t>
      </w:r>
      <w:r w:rsidRPr="00985144">
        <w:rPr>
          <w:rStyle w:val="Hipersaitas"/>
          <w:color w:val="000000" w:themeColor="text1"/>
          <w:szCs w:val="24"/>
          <w:u w:val="none"/>
        </w:rPr>
        <w:t>ti galima ir turtą, kuri</w:t>
      </w:r>
      <w:r>
        <w:rPr>
          <w:rStyle w:val="Hipersaitas"/>
          <w:color w:val="000000" w:themeColor="text1"/>
          <w:szCs w:val="24"/>
          <w:u w:val="none"/>
        </w:rPr>
        <w:t>o</w:t>
      </w:r>
      <w:r w:rsidRPr="00985144">
        <w:rPr>
          <w:rStyle w:val="Hipersaitas"/>
          <w:color w:val="000000" w:themeColor="text1"/>
          <w:szCs w:val="24"/>
          <w:u w:val="none"/>
        </w:rPr>
        <w:t xml:space="preserve"> sandorio sudarymo metu dar ne</w:t>
      </w:r>
      <w:r>
        <w:rPr>
          <w:rStyle w:val="Hipersaitas"/>
          <w:color w:val="000000" w:themeColor="text1"/>
          <w:szCs w:val="24"/>
          <w:u w:val="none"/>
        </w:rPr>
        <w:t>buvo</w:t>
      </w:r>
      <w:r w:rsidRPr="00985144">
        <w:rPr>
          <w:rStyle w:val="Hipersaitas"/>
          <w:color w:val="000000" w:themeColor="text1"/>
          <w:szCs w:val="24"/>
          <w:u w:val="none"/>
        </w:rPr>
        <w:t xml:space="preserve"> ar įkaito davėjas jo dar nevaldė ar neturėjo teisės užstatyti. Užstatyti galima </w:t>
      </w:r>
      <w:r>
        <w:rPr>
          <w:rStyle w:val="Hipersaitas"/>
          <w:color w:val="000000" w:themeColor="text1"/>
          <w:szCs w:val="24"/>
          <w:u w:val="none"/>
        </w:rPr>
        <w:t xml:space="preserve">ir </w:t>
      </w:r>
      <w:r w:rsidRPr="00985144">
        <w:rPr>
          <w:rStyle w:val="Hipersaitas"/>
          <w:color w:val="000000" w:themeColor="text1"/>
          <w:szCs w:val="24"/>
          <w:u w:val="none"/>
        </w:rPr>
        <w:t xml:space="preserve">visą įkaito davėjo turtą. Bet kokios išimtys iš šios taisyklės turi būti ribotos ir aprašytos įstatyme aiškiai ir konkrečiai. </w:t>
      </w:r>
    </w:p>
    <w:p w14:paraId="1561FCFF" w14:textId="77777777" w:rsidR="006E7992" w:rsidRPr="00985144" w:rsidRDefault="006E7992" w:rsidP="006E7992">
      <w:pPr>
        <w:ind w:right="8" w:firstLine="720"/>
        <w:rPr>
          <w:rStyle w:val="Hipersaitas"/>
          <w:color w:val="000000" w:themeColor="text1"/>
          <w:szCs w:val="24"/>
          <w:u w:val="none"/>
        </w:rPr>
      </w:pPr>
      <w:r>
        <w:t>C</w:t>
      </w:r>
      <w:r w:rsidRPr="000B2C50">
        <w:t xml:space="preserve">ivilinio kodekso 4.173, 4.177 straipsnių, ketvirtosios knygos </w:t>
      </w:r>
      <w:r>
        <w:t>II dalies XI</w:t>
      </w:r>
      <w:r w:rsidRPr="000B2C50">
        <w:t> skyriaus antrojo skirsnio, 4.184, 4.189 straipsni</w:t>
      </w:r>
      <w:r>
        <w:t xml:space="preserve">ų, ketvirtosios knygos II </w:t>
      </w:r>
      <w:r w:rsidRPr="000B2C50">
        <w:t xml:space="preserve">dalies </w:t>
      </w:r>
      <w:r>
        <w:t>XI</w:t>
      </w:r>
      <w:r w:rsidRPr="000B2C50">
        <w:t> skyriaus ketvirtojo ir penktojo skirsnių, 4.202, 4.207, 4.209, 4.210, 4.212, 4.213, 4.223, 4.224, 4.225, 6.104, 6.561 straipsnių pakeitimo</w:t>
      </w:r>
      <w:r>
        <w:t xml:space="preserve"> įstatymo projekto (toliau – Įstatymo projektas) 8 straipsnyje, kuriuo keičiama Civilinio kodekso 4.202 straipsnio 2 dalis, siūloma numatyti, kad bendra taisyklė dėl įkeistą turtinį kompleksą sudarančių objektų disponavimo išlieka, t. y. galima disponuoti įkeistu turtiniu kompleksu, tik jeigu nemažėja bendra įkeisto turto vertė, tačiau leidžiama išimtis „išskyrus atvejus, jeigu šalys susitaria kitaip“.</w:t>
      </w:r>
    </w:p>
    <w:p w14:paraId="6B338279" w14:textId="77777777" w:rsidR="006E7992" w:rsidRPr="001970F4" w:rsidRDefault="006E7992" w:rsidP="006E7992">
      <w:pPr>
        <w:ind w:firstLine="851"/>
      </w:pPr>
      <w:r w:rsidRPr="000B3801">
        <w:t xml:space="preserve">Pasaulio bankas nurodė, kad </w:t>
      </w:r>
      <w:r w:rsidRPr="001970F4">
        <w:t>kredito gavimo rodikli</w:t>
      </w:r>
      <w:r>
        <w:t>u</w:t>
      </w:r>
      <w:r w:rsidRPr="001970F4">
        <w:t xml:space="preserve"> matuoja</w:t>
      </w:r>
      <w:r>
        <w:t>ma</w:t>
      </w:r>
      <w:r w:rsidRPr="001970F4">
        <w:t xml:space="preserve"> tai, kas taikoma kaip bendroji (privaloma) įstatymo taisyklė</w:t>
      </w:r>
      <w:r>
        <w:t>, ir</w:t>
      </w:r>
      <w:r w:rsidRPr="001970F4">
        <w:t xml:space="preserve"> neatsižvelgiama į tai, ką šalys galėtų sutarti sutartyje. Todėl pažymėtina, kad </w:t>
      </w:r>
      <w:r>
        <w:t xml:space="preserve">siūlomas </w:t>
      </w:r>
      <w:r w:rsidRPr="001970F4">
        <w:t xml:space="preserve">Civilinio kodekso 4.202 straipsnio 2 dalies pakeitimas įtakos kredito gavimo rodiklio rezultatų gerėjimui </w:t>
      </w:r>
      <w:r>
        <w:t xml:space="preserve">neturės </w:t>
      </w:r>
      <w:r w:rsidRPr="001970F4">
        <w:t xml:space="preserve">ir Pasaulio bankas reformos </w:t>
      </w:r>
      <w:r>
        <w:t>nelaikys įvykdyta</w:t>
      </w:r>
      <w:r w:rsidRPr="001970F4">
        <w:t xml:space="preserve">. Siūlome tikslinti Įstatymo projekto 8 straipsnyje nurodytą Civilinio kodekso 4.202 straipsnio 2 dalies formuluotę, atsižvelgiant į Pasaulio banko kredito gavimo rodiklio metodologijos taikymo išaiškinimą. </w:t>
      </w:r>
    </w:p>
    <w:p w14:paraId="322152DF" w14:textId="77777777" w:rsidR="006E7992" w:rsidRDefault="006E7992" w:rsidP="006E7992">
      <w:pPr>
        <w:ind w:firstLine="720"/>
        <w:rPr>
          <w:sz w:val="22"/>
        </w:rPr>
      </w:pPr>
      <w:r>
        <w:t xml:space="preserve">Atkreipiame dėmesį, kad Įstatymo projekte, Lietuvos Respublikos civilinio proceso kodekso 746 straipsnio pakeitimo įstatymo projekte ir Lietuvos Respublikos notariato įstatymo Nr. I-2882 46 ir </w:t>
      </w:r>
      <w:r>
        <w:rPr>
          <w:lang w:val="pt-BR"/>
        </w:rPr>
        <w:t>49</w:t>
      </w:r>
      <w:r>
        <w:rPr>
          <w:vertAlign w:val="superscript"/>
          <w:lang w:val="pt-BR"/>
        </w:rPr>
        <w:t>1</w:t>
      </w:r>
      <w:r>
        <w:t xml:space="preserve"> straipsnių pakeitimo įstatymo projekte vartojama sąvoka </w:t>
      </w:r>
      <w:r>
        <w:rPr>
          <w:spacing w:val="-4"/>
        </w:rPr>
        <w:t xml:space="preserve">„viešas registras“, kuri nėra apibrėžta. </w:t>
      </w:r>
      <w:r>
        <w:t>Atsižvelgdami į tai, kad Lietuvos Respublikos valstybės informacinių išteklių valdymo įstatyme įtvirtinta formuluotė „valstybės registras“, ir siekdami teisinio aiškumo ir nuoseklaus sąvokų vartojimo, siūlytume suvienodinti šiame įstatyme ir pirmiau minėtų įstatymų projektuose vartojamas sąvokas.</w:t>
      </w:r>
    </w:p>
    <w:p w14:paraId="4374F2AE" w14:textId="77777777" w:rsidR="00DA41E8" w:rsidRPr="00C35BA2" w:rsidRDefault="006E7992" w:rsidP="006B0775">
      <w:pPr>
        <w:ind w:firstLine="720"/>
        <w:rPr>
          <w:szCs w:val="24"/>
        </w:rPr>
      </w:pPr>
      <w:r>
        <w:t>Dėl kitų pateiktų derinti teisės aktų projektų pastabų neturime.</w:t>
      </w:r>
    </w:p>
    <w:p w14:paraId="788EC37E" w14:textId="77777777" w:rsidR="002F0A74" w:rsidRDefault="002F0A74" w:rsidP="00C9073D">
      <w:pPr>
        <w:spacing w:line="360" w:lineRule="auto"/>
      </w:pPr>
    </w:p>
    <w:p w14:paraId="17EEA127" w14:textId="77777777" w:rsidR="00863183" w:rsidRDefault="00863183" w:rsidP="00C9073D">
      <w:pPr>
        <w:spacing w:line="360" w:lineRule="auto"/>
      </w:pPr>
    </w:p>
    <w:p w14:paraId="38A909B2" w14:textId="77777777" w:rsidR="00962AAD" w:rsidRPr="005946FB" w:rsidRDefault="002B03FB" w:rsidP="00C9073D">
      <w:pPr>
        <w:spacing w:line="360" w:lineRule="auto"/>
        <w:rPr>
          <w:szCs w:val="24"/>
        </w:rPr>
      </w:pPr>
      <w:r>
        <w:t>Ekonomikos ir inovacijų</w:t>
      </w:r>
      <w:r w:rsidRPr="00903C81">
        <w:rPr>
          <w:szCs w:val="24"/>
        </w:rPr>
        <w:t xml:space="preserve"> </w:t>
      </w:r>
      <w:r w:rsidR="00A65E22">
        <w:rPr>
          <w:szCs w:val="24"/>
        </w:rPr>
        <w:t>vice</w:t>
      </w:r>
      <w:r>
        <w:rPr>
          <w:szCs w:val="24"/>
        </w:rPr>
        <w:t xml:space="preserve">ministras  </w:t>
      </w:r>
      <w:r w:rsidRPr="00903C81">
        <w:rPr>
          <w:szCs w:val="24"/>
        </w:rPr>
        <w:t xml:space="preserve">                                      </w:t>
      </w:r>
      <w:r w:rsidR="00A65E22">
        <w:rPr>
          <w:szCs w:val="24"/>
        </w:rPr>
        <w:t xml:space="preserve">                         </w:t>
      </w:r>
      <w:bookmarkStart w:id="0" w:name="part_4d9e2464afd0457fad9381c1e843efd6"/>
      <w:bookmarkEnd w:id="0"/>
      <w:r w:rsidR="00A65E22">
        <w:rPr>
          <w:szCs w:val="24"/>
        </w:rPr>
        <w:t xml:space="preserve">        </w:t>
      </w:r>
      <w:bookmarkStart w:id="1" w:name="_GoBack"/>
      <w:bookmarkEnd w:id="1"/>
    </w:p>
    <w:p w14:paraId="47E5B1CD" w14:textId="77777777" w:rsidR="009262F4" w:rsidRDefault="009262F4"/>
    <w:p w14:paraId="51E2F1E5" w14:textId="77777777" w:rsidR="009262F4" w:rsidRDefault="009262F4"/>
    <w:p w14:paraId="0A66B1AA" w14:textId="77777777" w:rsidR="009262F4" w:rsidRDefault="009262F4"/>
    <w:p w14:paraId="20BA8793" w14:textId="77777777" w:rsidR="009262F4" w:rsidRDefault="002907C7">
      <w:pPr>
        <w:rPr>
          <w:rStyle w:val="Hipersaitas"/>
        </w:rPr>
      </w:pPr>
      <w:r>
        <w:t>Kristina Kertenė</w:t>
      </w:r>
      <w:r w:rsidR="000B710E" w:rsidRPr="000B710E">
        <w:t>, tel. 8 706 64</w:t>
      </w:r>
      <w:r w:rsidR="00A31CC3">
        <w:t xml:space="preserve"> </w:t>
      </w:r>
      <w:r>
        <w:t>719</w:t>
      </w:r>
      <w:r w:rsidR="000B710E" w:rsidRPr="000B710E">
        <w:t xml:space="preserve">, el. p. </w:t>
      </w:r>
      <w:hyperlink r:id="rId11" w:history="1">
        <w:r w:rsidRPr="009A6197">
          <w:rPr>
            <w:rStyle w:val="Hipersaitas"/>
          </w:rPr>
          <w:t>kristina.kertene@eimin.lt</w:t>
        </w:r>
      </w:hyperlink>
    </w:p>
    <w:p w14:paraId="2EEFCA73" w14:textId="77777777" w:rsidR="009A6CE4" w:rsidRDefault="009A6CE4">
      <w:r>
        <w:t>Renata Tracevičienė, tel. 8</w:t>
      </w:r>
      <w:r w:rsidRPr="008A6A6D">
        <w:t xml:space="preserve"> 706 63 212, el. p. </w:t>
      </w:r>
      <w:hyperlink r:id="rId12" w:history="1">
        <w:r>
          <w:rPr>
            <w:rStyle w:val="Hipersaitas"/>
          </w:rPr>
          <w:t>renata.traceviciene@eimin.lt</w:t>
        </w:r>
      </w:hyperlink>
    </w:p>
    <w:sectPr w:rsidR="009A6CE4" w:rsidSect="00E3384A">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5C47" w14:textId="77777777" w:rsidR="00B10244" w:rsidRDefault="00B10244">
      <w:r>
        <w:separator/>
      </w:r>
    </w:p>
  </w:endnote>
  <w:endnote w:type="continuationSeparator" w:id="0">
    <w:p w14:paraId="67C35D44" w14:textId="77777777" w:rsidR="00B10244" w:rsidRDefault="00B10244">
      <w:r>
        <w:continuationSeparator/>
      </w:r>
    </w:p>
  </w:endnote>
  <w:endnote w:type="continuationNotice" w:id="1">
    <w:p w14:paraId="76D81858" w14:textId="77777777" w:rsidR="00B10244" w:rsidRDefault="00B1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1A19" w14:textId="77777777" w:rsidR="00E3384A" w:rsidRDefault="00E338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07DC2A" w14:textId="77777777" w:rsidR="00E3384A" w:rsidRDefault="00E338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5767" w14:textId="77777777" w:rsidR="00E3384A" w:rsidRDefault="00E3384A" w:rsidP="00E3384A">
    <w:pPr>
      <w:pStyle w:val="Porat"/>
      <w:ind w:left="648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BF31" w14:textId="77777777" w:rsidR="00E3384A" w:rsidRDefault="00E3384A">
    <w:pPr>
      <w:pStyle w:val="Porat"/>
    </w:pPr>
    <w:r>
      <w:rPr>
        <w:noProof/>
        <w:lang w:val="en-US"/>
      </w:rPr>
      <mc:AlternateContent>
        <mc:Choice Requires="wps">
          <w:drawing>
            <wp:anchor distT="0" distB="0" distL="114300" distR="114300" simplePos="0" relativeHeight="251658240" behindDoc="0" locked="0" layoutInCell="1" allowOverlap="1" wp14:anchorId="14B8A085" wp14:editId="09F2D3A1">
              <wp:simplePos x="0" y="0"/>
              <wp:positionH relativeFrom="column">
                <wp:posOffset>4749165</wp:posOffset>
              </wp:positionH>
              <wp:positionV relativeFrom="paragraph">
                <wp:posOffset>-292100</wp:posOffset>
              </wp:positionV>
              <wp:extent cx="1790700" cy="647700"/>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1790700" cy="647700"/>
                      </a:xfrm>
                      <a:prstGeom prst="rect">
                        <a:avLst/>
                      </a:prstGeom>
                      <a:solidFill>
                        <a:schemeClr val="lt1"/>
                      </a:solidFill>
                      <a:ln w="6350">
                        <a:noFill/>
                      </a:ln>
                    </wps:spPr>
                    <wps:txbx>
                      <w:txbxContent>
                        <w:p w14:paraId="7E952CD2" w14:textId="77777777" w:rsidR="00E3384A" w:rsidRDefault="00077714">
                          <w:r>
                            <w:rPr>
                              <w:noProof/>
                              <w:lang w:val="en-US"/>
                            </w:rPr>
                            <w:drawing>
                              <wp:inline distT="0" distB="0" distL="0" distR="0" wp14:anchorId="1E4E3D7C" wp14:editId="3A998634">
                                <wp:extent cx="1353820" cy="530798"/>
                                <wp:effectExtent l="0" t="0" r="0" b="3175"/>
                                <wp:docPr id="4" name="Picture 3"/>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530798"/>
                                        </a:xfrm>
                                        <a:prstGeom prst="rect">
                                          <a:avLst/>
                                        </a:prstGeom>
                                        <a:noFill/>
                                      </pic:spPr>
                                    </pic:pic>
                                  </a:graphicData>
                                </a:graphic>
                              </wp:inline>
                            </w:drawing>
                          </w:r>
                          <w:r>
                            <w:rPr>
                              <w:noProof/>
                              <w:lang w:val="en-US"/>
                            </w:rPr>
                            <w:drawing>
                              <wp:inline distT="0" distB="0" distL="0" distR="0" wp14:anchorId="2EBE4FA9" wp14:editId="5602C6E8">
                                <wp:extent cx="1353820" cy="530798"/>
                                <wp:effectExtent l="0" t="0" r="0" b="3175"/>
                                <wp:docPr id="3" name="Picture 3"/>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53079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F65E6" id="_x0000_t202" coordsize="21600,21600" o:spt="202" path="m,l,21600r21600,l21600,xe">
              <v:stroke joinstyle="miter"/>
              <v:path gradientshapeok="t" o:connecttype="rect"/>
            </v:shapetype>
            <v:shape id="Teksto laukas 2" o:spid="_x0000_s1026" type="#_x0000_t202" style="position:absolute;left:0;text-align:left;margin-left:373.95pt;margin-top:-23pt;width:14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dMRAIAAH4EAAAOAAAAZHJzL2Uyb0RvYy54bWysVN9v2jAQfp+0/8Hy+0hgtLSIUDEqpklV WwmmPhvHJlFtn2cbEvbX7+wEyro9TXtx7nzn7358d5ndtVqRg3C+BlPQ4SCnRBgOZW12Bf2+WX26 ocQHZkqmwIiCHoWnd/OPH2aNnYoRVKBK4QiCGD9tbEGrEOw0yzyvhGZ+AFYYNEpwmgVU3S4rHWsQ XatslOfXWQOutA648B5v7zsjnSd8KQUPT1J6EYgqKOYW0unSuY1nNp+x6c4xW9W8T4P9Qxaa1QaD nqHuWWBk7+o/oHTNHXiQYcBBZyBlzUWqAasZ5u+qWVfMilQLNsfbc5v8/4Plj4dnR+qyoCNKDNNI 0Ua8+gBEsf0r82QUW9RYP0XPtUXf0H6BFqk+3Xu8jJW30un4xZoI2rHZx3ODRRsIj48mt/kkRxNH 2/V4EmWEz95eW+fDVwGaRKGgDglMfWWHBx8615NLDOZB1eWqViopcWjEUjlyYEi3CilHBP/NSxnS YPDPV3kCNhCfd8jKYC6x1q6mKIV22/YN2EJ5xPoddEPkLV/VmOQD8+GZOZwarAs3ITzhIRVgEOgl SipwP/92H/2RTLRS0uAUFtT/2DMnKFHfDNJ8OxyP49gmZXw1GaHiLi3bS4vZ6yVg5UPcOcuTGP2D OonSgX7BhVnEqGhihmPsgoaTuAzdbuDCcbFYJCccVMvCg1lbHqFjpyMFm/aFOdvzFJDhRzjNK5u+ o6vzjS8NLPYBZJ24jA3uutr3HYc8TUO/kHGLLvXk9fbbmP8CAAD//wMAUEsDBBQABgAIAAAAIQDa 0HCj4QAAAAsBAAAPAAAAZHJzL2Rvd25yZXYueG1sTI/LTsMwEEX3SPyDNUhsUOvQV2iIUyEEVGJH 04LYufGQRMTjKHaT8PdMV7CcO0f3kW5G24geO187UnA7jUAgFc7UVCrY58+TOxA+aDK6cYQKftDD Jru8SHVi3EBv2O9CKdiEfKIVVCG0iZS+qNBqP3UtEv++XGd14LMrpen0wOa2kbMoWkmra+KESrf4 WGHxvTtZBZ835cerH18Ow3w5b5+2fR6/m1yp66vx4R5EwDH8wXCuz9Uh405HdyLjRaMgXsRrRhVM FisedSai2Zqlo4IlKzJL5f8N2S8AAAD//wMAUEsBAi0AFAAGAAgAAAAhALaDOJL+AAAA4QEAABMA AAAAAAAAAAAAAAAAAAAAAFtDb250ZW50X1R5cGVzXS54bWxQSwECLQAUAAYACAAAACEAOP0h/9YA AACUAQAACwAAAAAAAAAAAAAAAAAvAQAAX3JlbHMvLnJlbHNQSwECLQAUAAYACAAAACEA/pqnTEQC AAB+BAAADgAAAAAAAAAAAAAAAAAuAgAAZHJzL2Uyb0RvYy54bWxQSwECLQAUAAYACAAAACEA2tBw o+EAAAALAQAADwAAAAAAAAAAAAAAAACeBAAAZHJzL2Rvd25yZXYueG1sUEsFBgAAAAAEAAQA8wAA AKwFAAAAAA== " fillcolor="white [3201]" stroked="f" strokeweight=".5pt">
              <v:textbox>
                <w:txbxContent>
                  <w:p w:rsidR="00E3384A" w:rsidRDefault="00077714">
                    <w:r>
                      <w:rPr>
                        <w:noProof/>
                        <w:lang w:val="en-US"/>
                      </w:rPr>
                      <w:drawing>
                        <wp:inline distT="0" distB="0" distL="0" distR="0" wp14:anchorId="63797044" wp14:editId="44D4C5B5">
                          <wp:extent cx="1353820" cy="530798"/>
                          <wp:effectExtent l="0" t="0" r="0" b="317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820" cy="530798"/>
                                  </a:xfrm>
                                  <a:prstGeom prst="rect">
                                    <a:avLst/>
                                  </a:prstGeom>
                                  <a:noFill/>
                                </pic:spPr>
                              </pic:pic>
                            </a:graphicData>
                          </a:graphic>
                        </wp:inline>
                      </w:drawing>
                    </w:r>
                    <w:r>
                      <w:rPr>
                        <w:noProof/>
                        <w:lang w:val="en-US"/>
                      </w:rPr>
                      <w:drawing>
                        <wp:inline distT="0" distB="0" distL="0" distR="0" wp14:anchorId="04B1C3BB" wp14:editId="32AE9967">
                          <wp:extent cx="1353820" cy="53079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820" cy="530798"/>
                                  </a:xfrm>
                                  <a:prstGeom prst="rect">
                                    <a:avLst/>
                                  </a:prstGeom>
                                  <a:noFill/>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B001A" w14:textId="77777777" w:rsidR="00B10244" w:rsidRDefault="00B10244">
      <w:r>
        <w:separator/>
      </w:r>
    </w:p>
  </w:footnote>
  <w:footnote w:type="continuationSeparator" w:id="0">
    <w:p w14:paraId="023D1A05" w14:textId="77777777" w:rsidR="00B10244" w:rsidRDefault="00B10244">
      <w:r>
        <w:continuationSeparator/>
      </w:r>
    </w:p>
  </w:footnote>
  <w:footnote w:type="continuationNotice" w:id="1">
    <w:p w14:paraId="3451C7BD" w14:textId="77777777" w:rsidR="00B10244" w:rsidRDefault="00B10244"/>
  </w:footnote>
  <w:footnote w:id="2">
    <w:p w14:paraId="43AD7BA3" w14:textId="77777777" w:rsidR="00E73398" w:rsidRDefault="00E73398" w:rsidP="00E73398">
      <w:pPr>
        <w:pStyle w:val="Puslapioinaostekstas"/>
      </w:pPr>
      <w:r>
        <w:rPr>
          <w:rStyle w:val="Puslapioinaosnuoroda"/>
        </w:rPr>
        <w:footnoteRef/>
      </w:r>
      <w:r w:rsidR="00905DB6">
        <w:rPr>
          <w:lang w:val="en"/>
        </w:rPr>
        <w:t xml:space="preserve">Love, </w:t>
      </w:r>
      <w:proofErr w:type="spellStart"/>
      <w:r w:rsidR="00905DB6">
        <w:rPr>
          <w:lang w:val="en"/>
        </w:rPr>
        <w:t>Inessa</w:t>
      </w:r>
      <w:proofErr w:type="spellEnd"/>
      <w:r w:rsidR="00905DB6">
        <w:rPr>
          <w:lang w:val="en"/>
        </w:rPr>
        <w:t xml:space="preserve">, </w:t>
      </w:r>
      <w:proofErr w:type="spellStart"/>
      <w:r w:rsidR="00905DB6">
        <w:rPr>
          <w:lang w:val="en"/>
        </w:rPr>
        <w:t>María</w:t>
      </w:r>
      <w:proofErr w:type="spellEnd"/>
      <w:r w:rsidR="00905DB6">
        <w:rPr>
          <w:lang w:val="en"/>
        </w:rPr>
        <w:t xml:space="preserve"> Soledad </w:t>
      </w:r>
      <w:proofErr w:type="spellStart"/>
      <w:r w:rsidR="00905DB6">
        <w:rPr>
          <w:lang w:val="en"/>
        </w:rPr>
        <w:t>Martínez</w:t>
      </w:r>
      <w:proofErr w:type="spellEnd"/>
      <w:r w:rsidR="00905DB6">
        <w:rPr>
          <w:lang w:val="en"/>
        </w:rPr>
        <w:t xml:space="preserve"> </w:t>
      </w:r>
      <w:proofErr w:type="spellStart"/>
      <w:r w:rsidR="00905DB6">
        <w:rPr>
          <w:lang w:val="en"/>
        </w:rPr>
        <w:t>Pería</w:t>
      </w:r>
      <w:proofErr w:type="spellEnd"/>
      <w:r w:rsidR="00905DB6">
        <w:rPr>
          <w:lang w:val="en"/>
        </w:rPr>
        <w:t xml:space="preserve"> and Sandeep Singh. 2013. “Collateral Registries for Movable Assets: Does Their Introduction Spur Firms’ Access to Bank Finance?” Policy Research Working Paper 6477, World Bank,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190734"/>
      <w:docPartObj>
        <w:docPartGallery w:val="Page Numbers (Top of Page)"/>
        <w:docPartUnique/>
      </w:docPartObj>
    </w:sdtPr>
    <w:sdtEndPr/>
    <w:sdtContent>
      <w:p w14:paraId="1656661D" w14:textId="77777777" w:rsidR="00E44C22" w:rsidRDefault="00E44C22">
        <w:pPr>
          <w:pStyle w:val="Antrats"/>
          <w:jc w:val="center"/>
        </w:pPr>
        <w:r>
          <w:fldChar w:fldCharType="begin"/>
        </w:r>
        <w:r>
          <w:instrText>PAGE   \* MERGEFORMAT</w:instrText>
        </w:r>
        <w:r>
          <w:fldChar w:fldCharType="separate"/>
        </w:r>
        <w:r w:rsidR="002D7F89">
          <w:rPr>
            <w:noProof/>
          </w:rPr>
          <w:t>2</w:t>
        </w:r>
        <w:r>
          <w:fldChar w:fldCharType="end"/>
        </w:r>
      </w:p>
    </w:sdtContent>
  </w:sdt>
  <w:p w14:paraId="0B982255" w14:textId="77777777" w:rsidR="00E3384A" w:rsidRDefault="00E3384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338E" w14:textId="77777777" w:rsidR="00E3384A" w:rsidRDefault="00E3384A" w:rsidP="00E3384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B19"/>
    <w:multiLevelType w:val="hybridMultilevel"/>
    <w:tmpl w:val="61FC7280"/>
    <w:lvl w:ilvl="0" w:tplc="FE8CD1CC">
      <w:start w:val="1"/>
      <w:numFmt w:val="decimal"/>
      <w:lvlText w:val="%1."/>
      <w:lvlJc w:val="left"/>
      <w:pPr>
        <w:ind w:left="1495" w:hanging="360"/>
      </w:pPr>
      <w:rPr>
        <w:rFonts w:ascii="Times New Roman" w:hAnsi="Times New Roman" w:cs="Times New Roman"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4542BE2"/>
    <w:multiLevelType w:val="hybridMultilevel"/>
    <w:tmpl w:val="826C03DA"/>
    <w:lvl w:ilvl="0" w:tplc="26E47D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B2958F9"/>
    <w:multiLevelType w:val="hybridMultilevel"/>
    <w:tmpl w:val="550E6DE8"/>
    <w:lvl w:ilvl="0" w:tplc="35683540">
      <w:start w:val="1"/>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3D"/>
    <w:rsid w:val="00003E8D"/>
    <w:rsid w:val="00016B8F"/>
    <w:rsid w:val="0002039B"/>
    <w:rsid w:val="0002376F"/>
    <w:rsid w:val="0003323A"/>
    <w:rsid w:val="00036AC4"/>
    <w:rsid w:val="00051B2A"/>
    <w:rsid w:val="000561B2"/>
    <w:rsid w:val="00056D47"/>
    <w:rsid w:val="0005784B"/>
    <w:rsid w:val="00061502"/>
    <w:rsid w:val="000676E2"/>
    <w:rsid w:val="00077714"/>
    <w:rsid w:val="000A5B93"/>
    <w:rsid w:val="000B1118"/>
    <w:rsid w:val="000B2C50"/>
    <w:rsid w:val="000B3801"/>
    <w:rsid w:val="000B710E"/>
    <w:rsid w:val="000C3EAA"/>
    <w:rsid w:val="000D6293"/>
    <w:rsid w:val="000E1209"/>
    <w:rsid w:val="000E5305"/>
    <w:rsid w:val="000F7AF4"/>
    <w:rsid w:val="001000BC"/>
    <w:rsid w:val="0011084F"/>
    <w:rsid w:val="00111087"/>
    <w:rsid w:val="001609BA"/>
    <w:rsid w:val="0016537F"/>
    <w:rsid w:val="00183185"/>
    <w:rsid w:val="00185D25"/>
    <w:rsid w:val="00192F9E"/>
    <w:rsid w:val="0019503F"/>
    <w:rsid w:val="001970F4"/>
    <w:rsid w:val="001A5A54"/>
    <w:rsid w:val="001A62E3"/>
    <w:rsid w:val="001C3923"/>
    <w:rsid w:val="001C5553"/>
    <w:rsid w:val="001D6E57"/>
    <w:rsid w:val="001E2B5A"/>
    <w:rsid w:val="001F38DF"/>
    <w:rsid w:val="00240F62"/>
    <w:rsid w:val="00241165"/>
    <w:rsid w:val="002540BF"/>
    <w:rsid w:val="00266A0F"/>
    <w:rsid w:val="00273207"/>
    <w:rsid w:val="00290548"/>
    <w:rsid w:val="002907C7"/>
    <w:rsid w:val="0029223A"/>
    <w:rsid w:val="00297B7F"/>
    <w:rsid w:val="002B03FB"/>
    <w:rsid w:val="002B498D"/>
    <w:rsid w:val="002D22BD"/>
    <w:rsid w:val="002D7F89"/>
    <w:rsid w:val="002F0A74"/>
    <w:rsid w:val="002F2BFB"/>
    <w:rsid w:val="002F36E3"/>
    <w:rsid w:val="00313F49"/>
    <w:rsid w:val="00316375"/>
    <w:rsid w:val="00333C78"/>
    <w:rsid w:val="003427E5"/>
    <w:rsid w:val="00342E62"/>
    <w:rsid w:val="0035235E"/>
    <w:rsid w:val="00352B23"/>
    <w:rsid w:val="003555E1"/>
    <w:rsid w:val="00360543"/>
    <w:rsid w:val="00370E7F"/>
    <w:rsid w:val="00386CE2"/>
    <w:rsid w:val="003A17A1"/>
    <w:rsid w:val="003B28E3"/>
    <w:rsid w:val="003B358F"/>
    <w:rsid w:val="003D0283"/>
    <w:rsid w:val="003D147C"/>
    <w:rsid w:val="003E40E9"/>
    <w:rsid w:val="003F54CE"/>
    <w:rsid w:val="00403AEC"/>
    <w:rsid w:val="004278AB"/>
    <w:rsid w:val="00434B4E"/>
    <w:rsid w:val="004475A1"/>
    <w:rsid w:val="004476C8"/>
    <w:rsid w:val="004505E5"/>
    <w:rsid w:val="00466603"/>
    <w:rsid w:val="00473DDD"/>
    <w:rsid w:val="004A3E14"/>
    <w:rsid w:val="004C71D7"/>
    <w:rsid w:val="004D4CA5"/>
    <w:rsid w:val="004D6D7B"/>
    <w:rsid w:val="004F1CAD"/>
    <w:rsid w:val="00504CD4"/>
    <w:rsid w:val="00506AC2"/>
    <w:rsid w:val="00523471"/>
    <w:rsid w:val="005348EA"/>
    <w:rsid w:val="00535A80"/>
    <w:rsid w:val="00550908"/>
    <w:rsid w:val="00550D7E"/>
    <w:rsid w:val="00560E2D"/>
    <w:rsid w:val="005631D1"/>
    <w:rsid w:val="00574943"/>
    <w:rsid w:val="00574E42"/>
    <w:rsid w:val="005874A9"/>
    <w:rsid w:val="005946FB"/>
    <w:rsid w:val="00596DD0"/>
    <w:rsid w:val="005A0BF2"/>
    <w:rsid w:val="005B54BC"/>
    <w:rsid w:val="005E0D61"/>
    <w:rsid w:val="005F77F5"/>
    <w:rsid w:val="00602F87"/>
    <w:rsid w:val="00612CFD"/>
    <w:rsid w:val="00625F72"/>
    <w:rsid w:val="006307D0"/>
    <w:rsid w:val="00632482"/>
    <w:rsid w:val="0063681F"/>
    <w:rsid w:val="00641792"/>
    <w:rsid w:val="00660176"/>
    <w:rsid w:val="00667F58"/>
    <w:rsid w:val="00681F00"/>
    <w:rsid w:val="00685FE3"/>
    <w:rsid w:val="00686FAC"/>
    <w:rsid w:val="00692790"/>
    <w:rsid w:val="006B0775"/>
    <w:rsid w:val="006B4910"/>
    <w:rsid w:val="006C1A48"/>
    <w:rsid w:val="006C6231"/>
    <w:rsid w:val="006E7992"/>
    <w:rsid w:val="006F1875"/>
    <w:rsid w:val="006F2A89"/>
    <w:rsid w:val="006F659B"/>
    <w:rsid w:val="006F76A0"/>
    <w:rsid w:val="007003FA"/>
    <w:rsid w:val="0070427A"/>
    <w:rsid w:val="0070729F"/>
    <w:rsid w:val="00720158"/>
    <w:rsid w:val="00723E58"/>
    <w:rsid w:val="00731E5B"/>
    <w:rsid w:val="0073730E"/>
    <w:rsid w:val="00740A9F"/>
    <w:rsid w:val="0074782C"/>
    <w:rsid w:val="0075401E"/>
    <w:rsid w:val="00754AC7"/>
    <w:rsid w:val="007559DC"/>
    <w:rsid w:val="00795B77"/>
    <w:rsid w:val="007A2DAA"/>
    <w:rsid w:val="007B0536"/>
    <w:rsid w:val="007C71A9"/>
    <w:rsid w:val="007D37D3"/>
    <w:rsid w:val="007D4DEC"/>
    <w:rsid w:val="007F553F"/>
    <w:rsid w:val="007F736D"/>
    <w:rsid w:val="00800C08"/>
    <w:rsid w:val="00801829"/>
    <w:rsid w:val="00826B11"/>
    <w:rsid w:val="0083081F"/>
    <w:rsid w:val="00843C86"/>
    <w:rsid w:val="008522D9"/>
    <w:rsid w:val="00863183"/>
    <w:rsid w:val="00864380"/>
    <w:rsid w:val="0086511D"/>
    <w:rsid w:val="00872B2A"/>
    <w:rsid w:val="008910A8"/>
    <w:rsid w:val="00894082"/>
    <w:rsid w:val="0089654C"/>
    <w:rsid w:val="00896692"/>
    <w:rsid w:val="008A0466"/>
    <w:rsid w:val="008B7707"/>
    <w:rsid w:val="008C0B16"/>
    <w:rsid w:val="008C2630"/>
    <w:rsid w:val="008C74EB"/>
    <w:rsid w:val="008D2675"/>
    <w:rsid w:val="008D4895"/>
    <w:rsid w:val="008D55E6"/>
    <w:rsid w:val="009032AB"/>
    <w:rsid w:val="00905DB6"/>
    <w:rsid w:val="00922727"/>
    <w:rsid w:val="009262F4"/>
    <w:rsid w:val="00934403"/>
    <w:rsid w:val="009345E1"/>
    <w:rsid w:val="00940AC8"/>
    <w:rsid w:val="00942ABF"/>
    <w:rsid w:val="00946276"/>
    <w:rsid w:val="00946351"/>
    <w:rsid w:val="00951590"/>
    <w:rsid w:val="00954FCD"/>
    <w:rsid w:val="00961F6A"/>
    <w:rsid w:val="00962AAD"/>
    <w:rsid w:val="009660AC"/>
    <w:rsid w:val="0098013D"/>
    <w:rsid w:val="00984FE7"/>
    <w:rsid w:val="00985144"/>
    <w:rsid w:val="009A6CE4"/>
    <w:rsid w:val="009B3F2E"/>
    <w:rsid w:val="009B7CA3"/>
    <w:rsid w:val="009C2D79"/>
    <w:rsid w:val="009D0038"/>
    <w:rsid w:val="009E46A9"/>
    <w:rsid w:val="009F7668"/>
    <w:rsid w:val="00A05AB3"/>
    <w:rsid w:val="00A12DDA"/>
    <w:rsid w:val="00A259F5"/>
    <w:rsid w:val="00A2684E"/>
    <w:rsid w:val="00A31CC3"/>
    <w:rsid w:val="00A40A14"/>
    <w:rsid w:val="00A534AE"/>
    <w:rsid w:val="00A655DC"/>
    <w:rsid w:val="00A65E22"/>
    <w:rsid w:val="00A666BB"/>
    <w:rsid w:val="00A672FD"/>
    <w:rsid w:val="00A678D8"/>
    <w:rsid w:val="00A77FA7"/>
    <w:rsid w:val="00AF5010"/>
    <w:rsid w:val="00AF6D66"/>
    <w:rsid w:val="00B10244"/>
    <w:rsid w:val="00B10E94"/>
    <w:rsid w:val="00B3607A"/>
    <w:rsid w:val="00B467FC"/>
    <w:rsid w:val="00B46C49"/>
    <w:rsid w:val="00B4769B"/>
    <w:rsid w:val="00B52D06"/>
    <w:rsid w:val="00B53571"/>
    <w:rsid w:val="00B537EE"/>
    <w:rsid w:val="00B5690F"/>
    <w:rsid w:val="00B617E2"/>
    <w:rsid w:val="00B64F81"/>
    <w:rsid w:val="00B675B7"/>
    <w:rsid w:val="00B70F86"/>
    <w:rsid w:val="00B74F1C"/>
    <w:rsid w:val="00B827C0"/>
    <w:rsid w:val="00BA7A17"/>
    <w:rsid w:val="00BD007C"/>
    <w:rsid w:val="00BD1AAC"/>
    <w:rsid w:val="00C35BA2"/>
    <w:rsid w:val="00C46ECA"/>
    <w:rsid w:val="00C5148D"/>
    <w:rsid w:val="00C569F8"/>
    <w:rsid w:val="00C61E82"/>
    <w:rsid w:val="00C7029C"/>
    <w:rsid w:val="00C74ED2"/>
    <w:rsid w:val="00C775E6"/>
    <w:rsid w:val="00C77A6A"/>
    <w:rsid w:val="00C80C94"/>
    <w:rsid w:val="00C8592C"/>
    <w:rsid w:val="00C9073D"/>
    <w:rsid w:val="00C9097A"/>
    <w:rsid w:val="00C90CFA"/>
    <w:rsid w:val="00CA6035"/>
    <w:rsid w:val="00CA6279"/>
    <w:rsid w:val="00CA7E5E"/>
    <w:rsid w:val="00CB2F39"/>
    <w:rsid w:val="00CB4E60"/>
    <w:rsid w:val="00CC4B31"/>
    <w:rsid w:val="00CD07AD"/>
    <w:rsid w:val="00CD367A"/>
    <w:rsid w:val="00CD413E"/>
    <w:rsid w:val="00CD420D"/>
    <w:rsid w:val="00CF3994"/>
    <w:rsid w:val="00D17F59"/>
    <w:rsid w:val="00D273B5"/>
    <w:rsid w:val="00D4063D"/>
    <w:rsid w:val="00D511B0"/>
    <w:rsid w:val="00D56F20"/>
    <w:rsid w:val="00D57D79"/>
    <w:rsid w:val="00D605EF"/>
    <w:rsid w:val="00D6415D"/>
    <w:rsid w:val="00D760B4"/>
    <w:rsid w:val="00D8212C"/>
    <w:rsid w:val="00DA1270"/>
    <w:rsid w:val="00DA34AE"/>
    <w:rsid w:val="00DA41E8"/>
    <w:rsid w:val="00DC2CCB"/>
    <w:rsid w:val="00DD397E"/>
    <w:rsid w:val="00DD561F"/>
    <w:rsid w:val="00DF65EC"/>
    <w:rsid w:val="00DF728A"/>
    <w:rsid w:val="00E00E6F"/>
    <w:rsid w:val="00E06D62"/>
    <w:rsid w:val="00E12D65"/>
    <w:rsid w:val="00E21F15"/>
    <w:rsid w:val="00E3384A"/>
    <w:rsid w:val="00E423A8"/>
    <w:rsid w:val="00E44C22"/>
    <w:rsid w:val="00E539C2"/>
    <w:rsid w:val="00E612E1"/>
    <w:rsid w:val="00E67479"/>
    <w:rsid w:val="00E70243"/>
    <w:rsid w:val="00E73398"/>
    <w:rsid w:val="00E77662"/>
    <w:rsid w:val="00EA0CD9"/>
    <w:rsid w:val="00EA5D60"/>
    <w:rsid w:val="00EC0DF1"/>
    <w:rsid w:val="00EC30FE"/>
    <w:rsid w:val="00EC3A24"/>
    <w:rsid w:val="00EC4DF4"/>
    <w:rsid w:val="00EC6193"/>
    <w:rsid w:val="00ED22B0"/>
    <w:rsid w:val="00ED4CA2"/>
    <w:rsid w:val="00EE62CA"/>
    <w:rsid w:val="00F001B7"/>
    <w:rsid w:val="00F07CFC"/>
    <w:rsid w:val="00F44E6C"/>
    <w:rsid w:val="00F46452"/>
    <w:rsid w:val="00F602EF"/>
    <w:rsid w:val="00F61EB7"/>
    <w:rsid w:val="00F67D24"/>
    <w:rsid w:val="00F75DAD"/>
    <w:rsid w:val="00F87788"/>
    <w:rsid w:val="00F91D50"/>
    <w:rsid w:val="00FA215F"/>
    <w:rsid w:val="00FE16C3"/>
    <w:rsid w:val="00FE56AF"/>
    <w:rsid w:val="00FF0A5E"/>
    <w:rsid w:val="00FF234C"/>
    <w:rsid w:val="00FF3C44"/>
    <w:rsid w:val="00FF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6F18F0"/>
  <w15:docId w15:val="{B18514E4-6EB0-47CD-AC2C-390B100E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73D"/>
    <w:pPr>
      <w:spacing w:after="0" w:line="240" w:lineRule="auto"/>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Char,Char Char Char Char,Char Char Char1,Char Char1,Diagrama,Char Char Char,Char Diagrama Diagrama,Diagrama Diagrama Diagrama"/>
    <w:basedOn w:val="prastasis"/>
    <w:link w:val="AntratsDiagrama"/>
    <w:uiPriority w:val="99"/>
    <w:rsid w:val="00C9073D"/>
    <w:pPr>
      <w:tabs>
        <w:tab w:val="center" w:pos="4153"/>
        <w:tab w:val="right" w:pos="8306"/>
      </w:tabs>
    </w:pPr>
  </w:style>
  <w:style w:type="character" w:customStyle="1" w:styleId="AntratsDiagrama">
    <w:name w:val="Antraštės Diagrama"/>
    <w:aliases w:val="Char Diagrama,Char Char Diagrama,Char Char Char Char Diagrama,Char Char Char1 Diagrama,Char Char1 Diagrama,Diagrama Diagrama,Char Char Char Diagrama,Char Diagrama Diagrama Diagrama,Diagrama Diagrama Diagrama Diagrama"/>
    <w:basedOn w:val="Numatytasispastraiposriftas"/>
    <w:link w:val="Antrats"/>
    <w:uiPriority w:val="99"/>
    <w:rsid w:val="00C9073D"/>
    <w:rPr>
      <w:rFonts w:ascii="Times New Roman" w:eastAsia="Times New Roman" w:hAnsi="Times New Roman" w:cs="Times New Roman"/>
      <w:sz w:val="24"/>
      <w:szCs w:val="20"/>
      <w:lang w:val="lt-LT"/>
    </w:rPr>
  </w:style>
  <w:style w:type="paragraph" w:styleId="Porat">
    <w:name w:val="footer"/>
    <w:basedOn w:val="prastasis"/>
    <w:link w:val="PoratDiagrama"/>
    <w:semiHidden/>
    <w:rsid w:val="00C9073D"/>
    <w:pPr>
      <w:tabs>
        <w:tab w:val="center" w:pos="4153"/>
        <w:tab w:val="right" w:pos="8306"/>
      </w:tabs>
    </w:pPr>
  </w:style>
  <w:style w:type="character" w:customStyle="1" w:styleId="PoratDiagrama">
    <w:name w:val="Poraštė Diagrama"/>
    <w:basedOn w:val="Numatytasispastraiposriftas"/>
    <w:link w:val="Porat"/>
    <w:semiHidden/>
    <w:rsid w:val="00C9073D"/>
    <w:rPr>
      <w:rFonts w:ascii="Times New Roman" w:eastAsia="Times New Roman" w:hAnsi="Times New Roman" w:cs="Times New Roman"/>
      <w:sz w:val="24"/>
      <w:szCs w:val="20"/>
      <w:lang w:val="lt-LT"/>
    </w:rPr>
  </w:style>
  <w:style w:type="character" w:styleId="Puslapionumeris">
    <w:name w:val="page number"/>
    <w:basedOn w:val="Numatytasispastraiposriftas"/>
    <w:semiHidden/>
    <w:rsid w:val="00C9073D"/>
  </w:style>
  <w:style w:type="character" w:styleId="Hipersaitas">
    <w:name w:val="Hyperlink"/>
    <w:basedOn w:val="Numatytasispastraiposriftas"/>
    <w:semiHidden/>
    <w:rsid w:val="00C9073D"/>
    <w:rPr>
      <w:color w:val="0000FF"/>
      <w:u w:val="single"/>
    </w:rPr>
  </w:style>
  <w:style w:type="character" w:styleId="Grietas">
    <w:name w:val="Strong"/>
    <w:basedOn w:val="Numatytasispastraiposriftas"/>
    <w:uiPriority w:val="22"/>
    <w:qFormat/>
    <w:rsid w:val="00C9073D"/>
    <w:rPr>
      <w:b/>
      <w:bCs/>
    </w:rPr>
  </w:style>
  <w:style w:type="character" w:styleId="Komentaronuoroda">
    <w:name w:val="annotation reference"/>
    <w:basedOn w:val="Numatytasispastraiposriftas"/>
    <w:uiPriority w:val="99"/>
    <w:semiHidden/>
    <w:unhideWhenUsed/>
    <w:rsid w:val="00BA7A17"/>
    <w:rPr>
      <w:sz w:val="16"/>
      <w:szCs w:val="16"/>
    </w:rPr>
  </w:style>
  <w:style w:type="paragraph" w:styleId="Komentarotekstas">
    <w:name w:val="annotation text"/>
    <w:basedOn w:val="prastasis"/>
    <w:link w:val="KomentarotekstasDiagrama"/>
    <w:uiPriority w:val="99"/>
    <w:semiHidden/>
    <w:unhideWhenUsed/>
    <w:rsid w:val="00BA7A17"/>
    <w:rPr>
      <w:sz w:val="20"/>
    </w:rPr>
  </w:style>
  <w:style w:type="character" w:customStyle="1" w:styleId="KomentarotekstasDiagrama">
    <w:name w:val="Komentaro tekstas Diagrama"/>
    <w:basedOn w:val="Numatytasispastraiposriftas"/>
    <w:link w:val="Komentarotekstas"/>
    <w:uiPriority w:val="99"/>
    <w:semiHidden/>
    <w:rsid w:val="00BA7A1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7A17"/>
    <w:rPr>
      <w:b/>
      <w:bCs/>
    </w:rPr>
  </w:style>
  <w:style w:type="character" w:customStyle="1" w:styleId="KomentarotemaDiagrama">
    <w:name w:val="Komentaro tema Diagrama"/>
    <w:basedOn w:val="KomentarotekstasDiagrama"/>
    <w:link w:val="Komentarotema"/>
    <w:uiPriority w:val="99"/>
    <w:semiHidden/>
    <w:rsid w:val="00BA7A1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A7A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7A17"/>
    <w:rPr>
      <w:rFonts w:ascii="Segoe UI" w:eastAsia="Times New Roman" w:hAnsi="Segoe UI" w:cs="Segoe UI"/>
      <w:sz w:val="18"/>
      <w:szCs w:val="18"/>
      <w:lang w:val="lt-LT"/>
    </w:rPr>
  </w:style>
  <w:style w:type="paragraph" w:styleId="Sraopastraipa">
    <w:name w:val="List Paragraph"/>
    <w:basedOn w:val="prastasis"/>
    <w:uiPriority w:val="34"/>
    <w:qFormat/>
    <w:rsid w:val="000F7AF4"/>
    <w:pPr>
      <w:ind w:left="720"/>
      <w:contextualSpacing/>
    </w:pPr>
  </w:style>
  <w:style w:type="paragraph" w:customStyle="1" w:styleId="western">
    <w:name w:val="western"/>
    <w:basedOn w:val="prastasis"/>
    <w:rsid w:val="00AF5010"/>
    <w:pPr>
      <w:spacing w:before="100" w:beforeAutospacing="1"/>
    </w:pPr>
    <w:rPr>
      <w:color w:val="000000"/>
      <w:szCs w:val="24"/>
      <w:lang w:eastAsia="lt-LT"/>
    </w:rPr>
  </w:style>
  <w:style w:type="paragraph" w:styleId="prastasiniatinklio">
    <w:name w:val="Normal (Web)"/>
    <w:basedOn w:val="prastasis"/>
    <w:uiPriority w:val="99"/>
    <w:semiHidden/>
    <w:unhideWhenUsed/>
    <w:rsid w:val="006F76A0"/>
    <w:pPr>
      <w:spacing w:before="100" w:beforeAutospacing="1" w:after="100" w:afterAutospacing="1"/>
      <w:jc w:val="left"/>
    </w:pPr>
    <w:rPr>
      <w:szCs w:val="24"/>
      <w:lang w:eastAsia="lt-LT"/>
    </w:rPr>
  </w:style>
  <w:style w:type="paragraph" w:customStyle="1" w:styleId="Pavadinimas1">
    <w:name w:val="Pavadinimas1"/>
    <w:basedOn w:val="prastasis"/>
    <w:rsid w:val="00A534AE"/>
    <w:pPr>
      <w:suppressAutoHyphens/>
      <w:spacing w:before="40" w:after="40"/>
      <w:ind w:right="1959"/>
      <w:jc w:val="left"/>
    </w:pPr>
    <w:rPr>
      <w:caps/>
      <w:szCs w:val="24"/>
      <w:lang w:eastAsia="ar-SA"/>
    </w:rPr>
  </w:style>
  <w:style w:type="paragraph" w:styleId="Puslapioinaostekstas">
    <w:name w:val="footnote text"/>
    <w:basedOn w:val="prastasis"/>
    <w:link w:val="PuslapioinaostekstasDiagrama"/>
    <w:uiPriority w:val="99"/>
    <w:semiHidden/>
    <w:unhideWhenUsed/>
    <w:rsid w:val="006E7992"/>
    <w:rPr>
      <w:sz w:val="20"/>
    </w:rPr>
  </w:style>
  <w:style w:type="character" w:customStyle="1" w:styleId="PuslapioinaostekstasDiagrama">
    <w:name w:val="Puslapio išnašos tekstas Diagrama"/>
    <w:basedOn w:val="Numatytasispastraiposriftas"/>
    <w:link w:val="Puslapioinaostekstas"/>
    <w:uiPriority w:val="99"/>
    <w:semiHidden/>
    <w:rsid w:val="006E7992"/>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6E7992"/>
    <w:rPr>
      <w:vertAlign w:val="superscript"/>
    </w:rPr>
  </w:style>
  <w:style w:type="character" w:styleId="Perirtashipersaitas">
    <w:name w:val="FollowedHyperlink"/>
    <w:basedOn w:val="Numatytasispastraiposriftas"/>
    <w:uiPriority w:val="99"/>
    <w:semiHidden/>
    <w:unhideWhenUsed/>
    <w:rsid w:val="00685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61565">
      <w:bodyDiv w:val="1"/>
      <w:marLeft w:val="0"/>
      <w:marRight w:val="0"/>
      <w:marTop w:val="0"/>
      <w:marBottom w:val="0"/>
      <w:divBdr>
        <w:top w:val="none" w:sz="0" w:space="0" w:color="auto"/>
        <w:left w:val="none" w:sz="0" w:space="0" w:color="auto"/>
        <w:bottom w:val="none" w:sz="0" w:space="0" w:color="auto"/>
        <w:right w:val="none" w:sz="0" w:space="0" w:color="auto"/>
      </w:divBdr>
    </w:div>
    <w:div w:id="634138094">
      <w:bodyDiv w:val="1"/>
      <w:marLeft w:val="0"/>
      <w:marRight w:val="0"/>
      <w:marTop w:val="0"/>
      <w:marBottom w:val="0"/>
      <w:divBdr>
        <w:top w:val="none" w:sz="0" w:space="0" w:color="auto"/>
        <w:left w:val="none" w:sz="0" w:space="0" w:color="auto"/>
        <w:bottom w:val="none" w:sz="0" w:space="0" w:color="auto"/>
        <w:right w:val="none" w:sz="0" w:space="0" w:color="auto"/>
      </w:divBdr>
    </w:div>
    <w:div w:id="1154372269">
      <w:bodyDiv w:val="1"/>
      <w:marLeft w:val="0"/>
      <w:marRight w:val="0"/>
      <w:marTop w:val="0"/>
      <w:marBottom w:val="0"/>
      <w:divBdr>
        <w:top w:val="none" w:sz="0" w:space="0" w:color="auto"/>
        <w:left w:val="none" w:sz="0" w:space="0" w:color="auto"/>
        <w:bottom w:val="none" w:sz="0" w:space="0" w:color="auto"/>
        <w:right w:val="none" w:sz="0" w:space="0" w:color="auto"/>
      </w:divBdr>
    </w:div>
    <w:div w:id="1178042196">
      <w:bodyDiv w:val="1"/>
      <w:marLeft w:val="0"/>
      <w:marRight w:val="0"/>
      <w:marTop w:val="0"/>
      <w:marBottom w:val="0"/>
      <w:divBdr>
        <w:top w:val="none" w:sz="0" w:space="0" w:color="auto"/>
        <w:left w:val="none" w:sz="0" w:space="0" w:color="auto"/>
        <w:bottom w:val="none" w:sz="0" w:space="0" w:color="auto"/>
        <w:right w:val="none" w:sz="0" w:space="0" w:color="auto"/>
      </w:divBdr>
    </w:div>
    <w:div w:id="1369138015">
      <w:bodyDiv w:val="1"/>
      <w:marLeft w:val="0"/>
      <w:marRight w:val="0"/>
      <w:marTop w:val="0"/>
      <w:marBottom w:val="0"/>
      <w:divBdr>
        <w:top w:val="none" w:sz="0" w:space="0" w:color="auto"/>
        <w:left w:val="none" w:sz="0" w:space="0" w:color="auto"/>
        <w:bottom w:val="none" w:sz="0" w:space="0" w:color="auto"/>
        <w:right w:val="none" w:sz="0" w:space="0" w:color="auto"/>
      </w:divBdr>
    </w:div>
    <w:div w:id="1531454544">
      <w:bodyDiv w:val="1"/>
      <w:marLeft w:val="0"/>
      <w:marRight w:val="0"/>
      <w:marTop w:val="0"/>
      <w:marBottom w:val="0"/>
      <w:divBdr>
        <w:top w:val="none" w:sz="0" w:space="0" w:color="auto"/>
        <w:left w:val="none" w:sz="0" w:space="0" w:color="auto"/>
        <w:bottom w:val="none" w:sz="0" w:space="0" w:color="auto"/>
        <w:right w:val="none" w:sz="0" w:space="0" w:color="auto"/>
      </w:divBdr>
    </w:div>
    <w:div w:id="1724480664">
      <w:bodyDiv w:val="1"/>
      <w:marLeft w:val="0"/>
      <w:marRight w:val="0"/>
      <w:marTop w:val="0"/>
      <w:marBottom w:val="0"/>
      <w:divBdr>
        <w:top w:val="none" w:sz="0" w:space="0" w:color="auto"/>
        <w:left w:val="none" w:sz="0" w:space="0" w:color="auto"/>
        <w:bottom w:val="none" w:sz="0" w:space="0" w:color="auto"/>
        <w:right w:val="none" w:sz="0" w:space="0" w:color="auto"/>
      </w:divBdr>
    </w:div>
    <w:div w:id="173049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uncitral.org/uncitral/en/uncitral_texts/security/Guide_securedtrans.html"
                 TargetMode="External"
                 Type="http://schemas.openxmlformats.org/officeDocument/2006/relationships/hyperlink"/>
   <Relationship Id="rId11" Target="mailto:kristina.kertene@eimin.lt" TargetMode="External"
                 Type="http://schemas.openxmlformats.org/officeDocument/2006/relationships/hyperlink"/>
   <Relationship Id="rId12" Target="mailto:renata.traceviciene@eimin.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2.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www.doingbusiness.org/data/exploretopics/getting-credit/good-practices"
                 TargetMode="External"
                 Type="http://schemas.openxmlformats.org/officeDocument/2006/relationships/hyperlink"/>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 Id="rId2" Target="media/image20.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AC75-60C9-47AF-B235-63904391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1116</Words>
  <Characters>6362</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2019-04-29T14:38:00Z</dcterms:created>
  <dc:creator>Kertene Kristina</dc:creator>
  <cp:lastModifiedBy>Kertenė Kristina</cp:lastModifiedBy>
  <cp:lastPrinted>2019-04-29T14:05:00Z</cp:lastPrinted>
  <dcterms:modified xsi:type="dcterms:W3CDTF">2019-04-29T14:57:00Z</dcterms:modified>
  <cp:revision>5</cp:revision>
</cp:coreProperties>
</file>