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DA" w:rsidRPr="005F4FAF" w:rsidRDefault="00EE5CDA" w:rsidP="00EE5CDA">
      <w:pPr>
        <w:spacing w:after="0"/>
        <w:jc w:val="center"/>
        <w:rPr>
          <w:rFonts w:ascii="Times New Roman" w:hAnsi="Times New Roman" w:cs="Times New Roman"/>
          <w:b/>
          <w:sz w:val="24"/>
          <w:szCs w:val="24"/>
          <w:lang w:val="en-GB"/>
        </w:rPr>
      </w:pPr>
      <w:r w:rsidRPr="005F4FAF">
        <w:rPr>
          <w:rFonts w:ascii="Times New Roman" w:hAnsi="Times New Roman" w:cs="Times New Roman"/>
          <w:b/>
          <w:sz w:val="24"/>
          <w:szCs w:val="24"/>
          <w:lang w:val="en-GB"/>
        </w:rPr>
        <w:t xml:space="preserve">INFORMACIJA APIE VYRIAUSYBĖS 2015 M. SAUSIO 14 D. </w:t>
      </w:r>
      <w:proofErr w:type="gramStart"/>
      <w:r w:rsidRPr="005F4FAF">
        <w:rPr>
          <w:rFonts w:ascii="Times New Roman" w:hAnsi="Times New Roman" w:cs="Times New Roman"/>
          <w:b/>
          <w:sz w:val="24"/>
          <w:szCs w:val="24"/>
          <w:lang w:val="en-GB"/>
        </w:rPr>
        <w:t>PASITARIMO  PROTOKOLINIO</w:t>
      </w:r>
      <w:proofErr w:type="gramEnd"/>
      <w:r w:rsidRPr="005F4FAF">
        <w:rPr>
          <w:rFonts w:ascii="Times New Roman" w:hAnsi="Times New Roman" w:cs="Times New Roman"/>
          <w:b/>
          <w:sz w:val="24"/>
          <w:szCs w:val="24"/>
          <w:lang w:val="en-GB"/>
        </w:rPr>
        <w:t xml:space="preserve"> SPRENDIMO NR. 4 </w:t>
      </w:r>
    </w:p>
    <w:p w:rsidR="00557A60" w:rsidRPr="005F4FAF" w:rsidRDefault="00EE5CDA" w:rsidP="000C66B8">
      <w:pPr>
        <w:spacing w:after="0"/>
        <w:jc w:val="center"/>
        <w:rPr>
          <w:rFonts w:ascii="Times New Roman" w:hAnsi="Times New Roman" w:cs="Times New Roman"/>
          <w:b/>
          <w:sz w:val="24"/>
          <w:szCs w:val="24"/>
          <w:lang w:val="en-GB"/>
        </w:rPr>
      </w:pPr>
      <w:r w:rsidRPr="005F4FAF">
        <w:rPr>
          <w:rFonts w:ascii="Times New Roman" w:hAnsi="Times New Roman" w:cs="Times New Roman"/>
          <w:b/>
          <w:sz w:val="24"/>
          <w:szCs w:val="24"/>
          <w:lang w:val="en-GB"/>
        </w:rPr>
        <w:t>„DĖL PRIEMONIŲ SOCIALINIAMS IR EKONOMINIAMS SKIRTUMAMS REGIONUOSE, KURIUOSE GAUSIAI GYVENA TAUTINIŲ MAŽUMŲ ATSTOVAI, MAŽINTI“ VYKDYMĄ</w:t>
      </w:r>
    </w:p>
    <w:p w:rsidR="00CB6C60" w:rsidRPr="004956F0" w:rsidRDefault="00CB6C60" w:rsidP="004956F0">
      <w:pPr>
        <w:spacing w:after="0"/>
        <w:jc w:val="both"/>
        <w:rPr>
          <w:rFonts w:ascii="Times New Roman" w:hAnsi="Times New Roman" w:cs="Times New Roman"/>
          <w:b/>
          <w:sz w:val="24"/>
          <w:szCs w:val="24"/>
          <w:lang w:val="en-GB"/>
        </w:rPr>
      </w:pPr>
    </w:p>
    <w:p w:rsidR="000C66B8" w:rsidRDefault="000C66B8" w:rsidP="000C66B8">
      <w:pPr>
        <w:spacing w:after="0"/>
        <w:jc w:val="center"/>
        <w:rPr>
          <w:rFonts w:ascii="Times New Roman" w:hAnsi="Times New Roman" w:cs="Times New Roman"/>
          <w:lang w:val="en-US"/>
        </w:rPr>
      </w:pPr>
    </w:p>
    <w:tbl>
      <w:tblPr>
        <w:tblStyle w:val="Lentelstinklelis"/>
        <w:tblW w:w="0" w:type="auto"/>
        <w:tblLook w:val="04A0" w:firstRow="1" w:lastRow="0" w:firstColumn="1" w:lastColumn="0" w:noHBand="0" w:noVBand="1"/>
      </w:tblPr>
      <w:tblGrid>
        <w:gridCol w:w="821"/>
        <w:gridCol w:w="11991"/>
        <w:gridCol w:w="2346"/>
      </w:tblGrid>
      <w:tr w:rsidR="00F5380B" w:rsidTr="004C3730">
        <w:trPr>
          <w:tblHeader/>
        </w:trPr>
        <w:tc>
          <w:tcPr>
            <w:tcW w:w="821" w:type="dxa"/>
            <w:shd w:val="clear" w:color="auto" w:fill="BFBFBF" w:themeFill="background1" w:themeFillShade="BF"/>
            <w:vAlign w:val="center"/>
          </w:tcPr>
          <w:p w:rsidR="00F5380B" w:rsidRPr="000C66B8" w:rsidRDefault="00F5380B" w:rsidP="00F5380B">
            <w:pPr>
              <w:jc w:val="center"/>
              <w:rPr>
                <w:rFonts w:cs="Times New Roman"/>
                <w:b/>
                <w:sz w:val="20"/>
                <w:szCs w:val="20"/>
                <w:lang w:val="en-US"/>
              </w:rPr>
            </w:pPr>
            <w:r w:rsidRPr="000C66B8">
              <w:rPr>
                <w:rFonts w:cs="Times New Roman"/>
                <w:b/>
                <w:sz w:val="20"/>
                <w:szCs w:val="20"/>
                <w:lang w:val="en-US"/>
              </w:rPr>
              <w:t>Nr.</w:t>
            </w:r>
          </w:p>
        </w:tc>
        <w:tc>
          <w:tcPr>
            <w:tcW w:w="11991" w:type="dxa"/>
            <w:shd w:val="clear" w:color="auto" w:fill="BFBFBF" w:themeFill="background1" w:themeFillShade="BF"/>
            <w:vAlign w:val="center"/>
          </w:tcPr>
          <w:p w:rsidR="00F5380B" w:rsidRPr="000C66B8" w:rsidRDefault="00FB6C84" w:rsidP="00F5380B">
            <w:pPr>
              <w:jc w:val="center"/>
              <w:rPr>
                <w:rFonts w:cs="Times New Roman"/>
                <w:b/>
                <w:sz w:val="20"/>
                <w:szCs w:val="20"/>
                <w:lang w:val="en-US"/>
              </w:rPr>
            </w:pPr>
            <w:proofErr w:type="spellStart"/>
            <w:r w:rsidRPr="000C66B8">
              <w:rPr>
                <w:rFonts w:cs="Times New Roman"/>
                <w:b/>
                <w:sz w:val="20"/>
                <w:szCs w:val="20"/>
                <w:lang w:val="en-US"/>
              </w:rPr>
              <w:t>S</w:t>
            </w:r>
            <w:r w:rsidR="00F5380B" w:rsidRPr="000C66B8">
              <w:rPr>
                <w:rFonts w:cs="Times New Roman"/>
                <w:b/>
                <w:sz w:val="20"/>
                <w:szCs w:val="20"/>
                <w:lang w:val="en-US"/>
              </w:rPr>
              <w:t>prendimas</w:t>
            </w:r>
            <w:proofErr w:type="spellEnd"/>
          </w:p>
        </w:tc>
        <w:tc>
          <w:tcPr>
            <w:tcW w:w="2346" w:type="dxa"/>
            <w:shd w:val="clear" w:color="auto" w:fill="BFBFBF" w:themeFill="background1" w:themeFillShade="BF"/>
            <w:vAlign w:val="center"/>
          </w:tcPr>
          <w:p w:rsidR="00F5380B" w:rsidRPr="000C66B8" w:rsidRDefault="00F5380B" w:rsidP="00F5380B">
            <w:pPr>
              <w:jc w:val="center"/>
              <w:rPr>
                <w:rFonts w:cs="Times New Roman"/>
                <w:b/>
                <w:sz w:val="20"/>
                <w:szCs w:val="20"/>
                <w:lang w:val="en-US"/>
              </w:rPr>
            </w:pPr>
            <w:proofErr w:type="spellStart"/>
            <w:r w:rsidRPr="000C66B8">
              <w:rPr>
                <w:rFonts w:cs="Times New Roman"/>
                <w:b/>
                <w:sz w:val="20"/>
                <w:szCs w:val="20"/>
                <w:lang w:val="en-US"/>
              </w:rPr>
              <w:t>Už</w:t>
            </w:r>
            <w:proofErr w:type="spellEnd"/>
            <w:r w:rsidRPr="000C66B8">
              <w:rPr>
                <w:rFonts w:cs="Times New Roman"/>
                <w:b/>
                <w:sz w:val="20"/>
                <w:szCs w:val="20"/>
                <w:lang w:val="en-US"/>
              </w:rPr>
              <w:t xml:space="preserve"> </w:t>
            </w:r>
            <w:proofErr w:type="spellStart"/>
            <w:r w:rsidRPr="000C66B8">
              <w:rPr>
                <w:rFonts w:cs="Times New Roman"/>
                <w:b/>
                <w:sz w:val="20"/>
                <w:szCs w:val="20"/>
                <w:lang w:val="en-US"/>
              </w:rPr>
              <w:t>sprendimo</w:t>
            </w:r>
            <w:proofErr w:type="spellEnd"/>
            <w:r w:rsidRPr="000C66B8">
              <w:rPr>
                <w:rFonts w:cs="Times New Roman"/>
                <w:b/>
                <w:sz w:val="20"/>
                <w:szCs w:val="20"/>
                <w:lang w:val="en-US"/>
              </w:rPr>
              <w:t xml:space="preserve"> </w:t>
            </w:r>
            <w:proofErr w:type="spellStart"/>
            <w:r w:rsidRPr="000C66B8">
              <w:rPr>
                <w:rFonts w:cs="Times New Roman"/>
                <w:b/>
                <w:sz w:val="20"/>
                <w:szCs w:val="20"/>
                <w:lang w:val="en-US"/>
              </w:rPr>
              <w:t>vykdymą</w:t>
            </w:r>
            <w:proofErr w:type="spellEnd"/>
            <w:r w:rsidRPr="000C66B8">
              <w:rPr>
                <w:rFonts w:cs="Times New Roman"/>
                <w:b/>
                <w:sz w:val="20"/>
                <w:szCs w:val="20"/>
                <w:lang w:val="en-US"/>
              </w:rPr>
              <w:t xml:space="preserve"> </w:t>
            </w:r>
            <w:proofErr w:type="spellStart"/>
            <w:r w:rsidRPr="000C66B8">
              <w:rPr>
                <w:rFonts w:cs="Times New Roman"/>
                <w:b/>
                <w:sz w:val="20"/>
                <w:szCs w:val="20"/>
                <w:lang w:val="en-US"/>
              </w:rPr>
              <w:t>atsakinga</w:t>
            </w:r>
            <w:proofErr w:type="spellEnd"/>
            <w:r w:rsidRPr="000C66B8">
              <w:rPr>
                <w:rFonts w:cs="Times New Roman"/>
                <w:b/>
                <w:sz w:val="20"/>
                <w:szCs w:val="20"/>
                <w:lang w:val="en-US"/>
              </w:rPr>
              <w:t xml:space="preserve"> </w:t>
            </w:r>
            <w:proofErr w:type="spellStart"/>
            <w:r w:rsidRPr="000C66B8">
              <w:rPr>
                <w:rFonts w:cs="Times New Roman"/>
                <w:b/>
                <w:sz w:val="20"/>
                <w:szCs w:val="20"/>
                <w:lang w:val="en-US"/>
              </w:rPr>
              <w:t>institucija</w:t>
            </w:r>
            <w:proofErr w:type="spellEnd"/>
          </w:p>
        </w:tc>
      </w:tr>
      <w:tr w:rsidR="006A6372" w:rsidTr="004C3730">
        <w:tc>
          <w:tcPr>
            <w:tcW w:w="821" w:type="dxa"/>
            <w:vMerge w:val="restart"/>
            <w:shd w:val="clear" w:color="auto" w:fill="FFFFFF" w:themeFill="background1"/>
          </w:tcPr>
          <w:p w:rsidR="006A6372" w:rsidRPr="000C66B8" w:rsidRDefault="006A6372">
            <w:pPr>
              <w:rPr>
                <w:rFonts w:ascii="Times New Roman" w:hAnsi="Times New Roman" w:cs="Times New Roman"/>
                <w:lang w:val="en-US"/>
              </w:rPr>
            </w:pPr>
            <w:r w:rsidRPr="000C66B8">
              <w:rPr>
                <w:rFonts w:ascii="Times New Roman" w:hAnsi="Times New Roman" w:cs="Times New Roman"/>
                <w:lang w:val="en-US"/>
              </w:rPr>
              <w:t>1.1.</w:t>
            </w:r>
          </w:p>
        </w:tc>
        <w:tc>
          <w:tcPr>
            <w:tcW w:w="14337" w:type="dxa"/>
            <w:gridSpan w:val="2"/>
            <w:shd w:val="clear" w:color="auto" w:fill="FFFFCC"/>
          </w:tcPr>
          <w:p w:rsidR="006A6372" w:rsidRPr="000C66B8" w:rsidRDefault="00F47305" w:rsidP="00F47305">
            <w:pPr>
              <w:jc w:val="both"/>
              <w:rPr>
                <w:rFonts w:ascii="Times New Roman" w:hAnsi="Times New Roman" w:cs="Times New Roman"/>
                <w:lang w:val="en-US"/>
              </w:rPr>
            </w:pPr>
            <w:proofErr w:type="spellStart"/>
            <w:r>
              <w:rPr>
                <w:rFonts w:ascii="Times New Roman" w:hAnsi="Times New Roman" w:cs="Times New Roman"/>
                <w:lang w:val="en-US"/>
              </w:rPr>
              <w:t>Parengti</w:t>
            </w:r>
            <w:proofErr w:type="spellEnd"/>
            <w:r>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ir</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pateikti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veiksmų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programos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stebėsenos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komitetui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tvirtinti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prioritetinius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specialiuosius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tautinių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mažumų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gausiai</w:t>
            </w:r>
            <w:proofErr w:type="spellEnd"/>
            <w:r w:rsidR="006A6372" w:rsidRPr="000C66B8">
              <w:rPr>
                <w:rFonts w:ascii="Times New Roman" w:hAnsi="Times New Roman" w:cs="Times New Roman"/>
                <w:lang w:val="en-US"/>
              </w:rPr>
              <w:t xml:space="preserve"> </w:t>
            </w:r>
            <w:proofErr w:type="spellStart"/>
            <w:proofErr w:type="gramStart"/>
            <w:r w:rsidR="006A6372" w:rsidRPr="000C66B8">
              <w:rPr>
                <w:rFonts w:ascii="Times New Roman" w:hAnsi="Times New Roman" w:cs="Times New Roman"/>
                <w:lang w:val="en-US"/>
              </w:rPr>
              <w:t>gyvenamame</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regione</w:t>
            </w:r>
            <w:proofErr w:type="spellEnd"/>
            <w:proofErr w:type="gram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numatomų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įgyvendinti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projektų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skirtų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pramonės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ir</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verslo</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plėtrai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šilumos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tinklų</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modernizavimui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formaliam</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ir</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neformaliam</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švietimui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profesiniam</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mokymui</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atrankos</w:t>
            </w:r>
            <w:proofErr w:type="spellEnd"/>
            <w:r w:rsidR="006A6372" w:rsidRPr="000C66B8">
              <w:rPr>
                <w:rFonts w:ascii="Times New Roman" w:hAnsi="Times New Roman" w:cs="Times New Roman"/>
                <w:lang w:val="en-US"/>
              </w:rPr>
              <w:t xml:space="preserve"> </w:t>
            </w:r>
            <w:proofErr w:type="spellStart"/>
            <w:r w:rsidR="006A6372" w:rsidRPr="000C66B8">
              <w:rPr>
                <w:rFonts w:ascii="Times New Roman" w:hAnsi="Times New Roman" w:cs="Times New Roman"/>
                <w:lang w:val="en-US"/>
              </w:rPr>
              <w:t>kriterijus</w:t>
            </w:r>
            <w:proofErr w:type="spellEnd"/>
            <w:r w:rsidR="006A6372">
              <w:rPr>
                <w:rFonts w:ascii="Times New Roman" w:hAnsi="Times New Roman" w:cs="Times New Roman"/>
                <w:lang w:val="en-US"/>
              </w:rPr>
              <w:t xml:space="preserve">. </w:t>
            </w:r>
            <w:r w:rsidR="006A6372" w:rsidRPr="0012113E">
              <w:rPr>
                <w:rFonts w:ascii="Times New Roman" w:eastAsia="Calibri" w:hAnsi="Times New Roman" w:cs="Times New Roman"/>
              </w:rPr>
              <w:t>Tai projekta</w:t>
            </w:r>
            <w:r w:rsidR="006A6372">
              <w:rPr>
                <w:rFonts w:ascii="Times New Roman" w:hAnsi="Times New Roman" w:cs="Times New Roman"/>
              </w:rPr>
              <w:t>i,</w:t>
            </w:r>
            <w:r w:rsidR="006A6372" w:rsidRPr="0012113E">
              <w:rPr>
                <w:rFonts w:ascii="Times New Roman" w:eastAsia="Calibri" w:hAnsi="Times New Roman" w:cs="Times New Roman"/>
              </w:rPr>
              <w:t xml:space="preserve"> numatomi įgyvendinti Vilniaus regiono integruotos teritorijų vystymo programos (ITVP) tikslinėje arba susietoje teritorijoje, esančioje Vilniaus, Šalčininkų, Švenčionių arba Trakų rajono savivaldybėje arba Utenos regiono ITVP tikslinėje teritorijoje – Visagine ir Ignalinos atominės elektrinės regione</w:t>
            </w:r>
            <w:r w:rsidR="006A6372">
              <w:rPr>
                <w:rFonts w:ascii="Times New Roman" w:hAnsi="Times New Roman" w:cs="Times New Roman"/>
              </w:rPr>
              <w:t xml:space="preserve"> ir </w:t>
            </w:r>
            <w:r w:rsidR="006A6372" w:rsidRPr="0012113E">
              <w:rPr>
                <w:rFonts w:ascii="Times New Roman" w:eastAsia="Calibri" w:hAnsi="Times New Roman" w:cs="Times New Roman"/>
              </w:rPr>
              <w:t>prisideda</w:t>
            </w:r>
            <w:r w:rsidR="006A6372">
              <w:rPr>
                <w:rFonts w:ascii="Times New Roman" w:hAnsi="Times New Roman" w:cs="Times New Roman"/>
              </w:rPr>
              <w:t>ntys</w:t>
            </w:r>
            <w:r w:rsidR="006A6372" w:rsidRPr="0012113E">
              <w:rPr>
                <w:rFonts w:ascii="Times New Roman" w:eastAsia="Calibri" w:hAnsi="Times New Roman" w:cs="Times New Roman"/>
              </w:rPr>
              <w:t xml:space="preserve"> prie atitinkamos ITVP rezultato pasiekimo. Prioritetinis (specialusis) atrankos kriterijus turi siekti ne mažiau kaip 5 papildomus procentus atrenkamo projekto maksimalaus įvertinimo tuo atveju, kai analogiškas kriterijus taikomas ir kitoms ITVP įgyvendinimo teritorijoms, ir ne mažiau kaip 10 procentų atrenkamo projekto maksimalaus įvertinimo, jeigu prioritetinis (specialusis) atrankos kriterijus taikomas tik tautinių mažumų gausiai gyvenamame regione</w:t>
            </w:r>
          </w:p>
        </w:tc>
      </w:tr>
      <w:tr w:rsidR="006A6372" w:rsidTr="004C3730">
        <w:tc>
          <w:tcPr>
            <w:tcW w:w="821" w:type="dxa"/>
            <w:vMerge/>
          </w:tcPr>
          <w:p w:rsidR="006A6372" w:rsidRPr="000C66B8" w:rsidRDefault="006A6372">
            <w:pPr>
              <w:rPr>
                <w:rFonts w:ascii="Times New Roman" w:hAnsi="Times New Roman" w:cs="Times New Roman"/>
                <w:lang w:val="en-US"/>
              </w:rPr>
            </w:pPr>
          </w:p>
        </w:tc>
        <w:tc>
          <w:tcPr>
            <w:tcW w:w="11991" w:type="dxa"/>
          </w:tcPr>
          <w:p w:rsidR="006A6372" w:rsidRPr="00273ABC" w:rsidRDefault="00F41E37" w:rsidP="00B74821">
            <w:pPr>
              <w:jc w:val="both"/>
              <w:rPr>
                <w:rFonts w:ascii="Times New Roman" w:hAnsi="Times New Roman" w:cs="Times New Roman"/>
                <w:color w:val="000000" w:themeColor="text1"/>
              </w:rPr>
            </w:pPr>
            <w:r w:rsidRPr="00273ABC">
              <w:rPr>
                <w:rFonts w:ascii="Times New Roman" w:hAnsi="Times New Roman" w:cs="Times New Roman"/>
                <w:color w:val="000000" w:themeColor="text1"/>
              </w:rPr>
              <w:t>Pagal Ūkio ministerijos administruojamą 2014–2020 metų Europos Sąjungos fondų investicijų veiksmų programos (toliau – Veiksmų programa) priemonę Nr. 03.3.1-LVPA-K-803 „</w:t>
            </w:r>
            <w:proofErr w:type="spellStart"/>
            <w:r w:rsidRPr="00273ABC">
              <w:rPr>
                <w:rFonts w:ascii="Times New Roman" w:hAnsi="Times New Roman" w:cs="Times New Roman"/>
                <w:color w:val="000000" w:themeColor="text1"/>
              </w:rPr>
              <w:t>Regio</w:t>
            </w:r>
            <w:proofErr w:type="spellEnd"/>
            <w:r w:rsidRPr="00273ABC">
              <w:rPr>
                <w:rFonts w:ascii="Times New Roman" w:hAnsi="Times New Roman" w:cs="Times New Roman"/>
                <w:color w:val="000000" w:themeColor="text1"/>
              </w:rPr>
              <w:t xml:space="preserve"> </w:t>
            </w:r>
            <w:proofErr w:type="spellStart"/>
            <w:r w:rsidRPr="00273ABC">
              <w:rPr>
                <w:rFonts w:ascii="Times New Roman" w:hAnsi="Times New Roman" w:cs="Times New Roman"/>
                <w:color w:val="000000" w:themeColor="text1"/>
              </w:rPr>
              <w:t>Invest</w:t>
            </w:r>
            <w:proofErr w:type="spellEnd"/>
            <w:r w:rsidRPr="00273ABC">
              <w:rPr>
                <w:rFonts w:ascii="Times New Roman" w:hAnsi="Times New Roman" w:cs="Times New Roman"/>
                <w:color w:val="000000" w:themeColor="text1"/>
              </w:rPr>
              <w:t xml:space="preserve"> LT+“ (toliau – priemonė „</w:t>
            </w:r>
            <w:proofErr w:type="spellStart"/>
            <w:r w:rsidRPr="00273ABC">
              <w:rPr>
                <w:rFonts w:ascii="Times New Roman" w:hAnsi="Times New Roman" w:cs="Times New Roman"/>
                <w:color w:val="000000" w:themeColor="text1"/>
              </w:rPr>
              <w:t>Regio</w:t>
            </w:r>
            <w:proofErr w:type="spellEnd"/>
            <w:r w:rsidRPr="00273ABC">
              <w:rPr>
                <w:rFonts w:ascii="Times New Roman" w:hAnsi="Times New Roman" w:cs="Times New Roman"/>
                <w:color w:val="000000" w:themeColor="text1"/>
              </w:rPr>
              <w:t xml:space="preserve"> </w:t>
            </w:r>
            <w:proofErr w:type="spellStart"/>
            <w:r w:rsidRPr="00273ABC">
              <w:rPr>
                <w:rFonts w:ascii="Times New Roman" w:hAnsi="Times New Roman" w:cs="Times New Roman"/>
                <w:color w:val="000000" w:themeColor="text1"/>
              </w:rPr>
              <w:t>Invest</w:t>
            </w:r>
            <w:proofErr w:type="spellEnd"/>
            <w:r w:rsidRPr="00273ABC">
              <w:rPr>
                <w:rFonts w:ascii="Times New Roman" w:hAnsi="Times New Roman" w:cs="Times New Roman"/>
                <w:color w:val="000000" w:themeColor="text1"/>
              </w:rPr>
              <w:t xml:space="preserve"> LT+“) 2015 m. sausio 21 d. buvo paskelbtas kvietimas labai mažoms, mažoms ir vidutinėms įmonėms teikti paraiškas, kuris baigėsi 2015 m. gegužės 21 d</w:t>
            </w:r>
            <w:r w:rsidR="00B74821" w:rsidRPr="00273ABC">
              <w:rPr>
                <w:rFonts w:ascii="Times New Roman" w:hAnsi="Times New Roman" w:cs="Times New Roman"/>
                <w:color w:val="000000" w:themeColor="text1"/>
              </w:rPr>
              <w:t>.</w:t>
            </w:r>
            <w:r w:rsidRPr="00273ABC">
              <w:rPr>
                <w:rFonts w:ascii="Times New Roman" w:hAnsi="Times New Roman" w:cs="Times New Roman"/>
                <w:color w:val="000000" w:themeColor="text1"/>
              </w:rPr>
              <w:t xml:space="preserve"> Viena iš vertinimo dalių – projektų naudos ir kokybės vertinimas, kurio metu projektai vertinami pagal prioritetinius projektų atrankos kriterijus, suteikiant projektų finansavimo sąlygų apraše kiekvienam kriterijui nustatytus balus. Priemonei „</w:t>
            </w:r>
            <w:proofErr w:type="spellStart"/>
            <w:r w:rsidRPr="00273ABC">
              <w:rPr>
                <w:rFonts w:ascii="Times New Roman" w:hAnsi="Times New Roman" w:cs="Times New Roman"/>
                <w:color w:val="000000" w:themeColor="text1"/>
              </w:rPr>
              <w:t>Regio</w:t>
            </w:r>
            <w:proofErr w:type="spellEnd"/>
            <w:r w:rsidRPr="00273ABC">
              <w:rPr>
                <w:rFonts w:ascii="Times New Roman" w:hAnsi="Times New Roman" w:cs="Times New Roman"/>
                <w:color w:val="000000" w:themeColor="text1"/>
              </w:rPr>
              <w:t xml:space="preserve"> </w:t>
            </w:r>
            <w:proofErr w:type="spellStart"/>
            <w:r w:rsidRPr="00273ABC">
              <w:rPr>
                <w:rFonts w:ascii="Times New Roman" w:hAnsi="Times New Roman" w:cs="Times New Roman"/>
                <w:color w:val="000000" w:themeColor="text1"/>
              </w:rPr>
              <w:t>Invest</w:t>
            </w:r>
            <w:proofErr w:type="spellEnd"/>
            <w:r w:rsidRPr="00273ABC">
              <w:rPr>
                <w:rFonts w:ascii="Times New Roman" w:hAnsi="Times New Roman" w:cs="Times New Roman"/>
                <w:color w:val="000000" w:themeColor="text1"/>
              </w:rPr>
              <w:t xml:space="preserve"> LT+“ yra patvirtinti 5 prioritetiniai projektų atrankos kriterijai, iš kurių vienas – ketvirtasis – tiesiogiai susijęs su </w:t>
            </w:r>
            <w:r w:rsidRPr="00273ABC">
              <w:rPr>
                <w:rFonts w:ascii="Times New Roman" w:hAnsi="Times New Roman" w:cs="Times New Roman"/>
                <w:bCs/>
                <w:color w:val="000000" w:themeColor="text1"/>
              </w:rPr>
              <w:t xml:space="preserve">integruotų teritorijų vystymo programomis (toliau – ITVP) </w:t>
            </w:r>
            <w:r w:rsidRPr="00273ABC">
              <w:rPr>
                <w:rFonts w:ascii="Times New Roman" w:hAnsi="Times New Roman" w:cs="Times New Roman"/>
                <w:color w:val="000000" w:themeColor="text1"/>
              </w:rPr>
              <w:t>– „</w:t>
            </w:r>
            <w:r w:rsidRPr="00273ABC">
              <w:rPr>
                <w:rFonts w:ascii="Times New Roman" w:hAnsi="Times New Roman" w:cs="Times New Roman"/>
                <w:bCs/>
                <w:color w:val="000000" w:themeColor="text1"/>
              </w:rPr>
              <w:t>4. Projektas prisideda prie konkrečios integruotų teritorijų vystymo programos (toliau – ITVP) tikslų ir uždavinių įgyvendinimo“. Pagal šį kriterijų, j</w:t>
            </w:r>
            <w:r w:rsidRPr="00273ABC">
              <w:rPr>
                <w:rFonts w:ascii="Times New Roman" w:hAnsi="Times New Roman" w:cs="Times New Roman"/>
                <w:color w:val="000000" w:themeColor="text1"/>
              </w:rPr>
              <w:t xml:space="preserve">eigu projektas įgyvendinamas tikslinėje teritorijoje arba teritorijoje, susietoje su tiksline teritorija ir prisideda prie bent vieno konkrečioje ITVP nustatyto rezultato rodiklio pasiekimo, skiriama 5 balai, priešingu atveju skiriama 0 balų. </w:t>
            </w:r>
          </w:p>
          <w:p w:rsidR="00223CCF" w:rsidRPr="000C66B8" w:rsidRDefault="00223CCF" w:rsidP="00B74821">
            <w:pPr>
              <w:jc w:val="both"/>
              <w:rPr>
                <w:rFonts w:ascii="Times New Roman" w:hAnsi="Times New Roman" w:cs="Times New Roman"/>
                <w:lang w:val="en-US"/>
              </w:rPr>
            </w:pPr>
            <w:r w:rsidRPr="00273ABC">
              <w:rPr>
                <w:rFonts w:ascii="Times New Roman" w:hAnsi="Times New Roman" w:cs="Times New Roman"/>
                <w:color w:val="000000" w:themeColor="text1"/>
              </w:rPr>
              <w:t>Apie įgyvendinimą vėlesniais metais informacija nepateikta.</w:t>
            </w:r>
          </w:p>
        </w:tc>
        <w:tc>
          <w:tcPr>
            <w:tcW w:w="2346" w:type="dxa"/>
            <w:vAlign w:val="center"/>
          </w:tcPr>
          <w:p w:rsidR="006A6372" w:rsidRPr="000C66B8" w:rsidRDefault="006A6372" w:rsidP="00D047FA">
            <w:pPr>
              <w:pStyle w:val="Antrats"/>
              <w:tabs>
                <w:tab w:val="clear" w:pos="4153"/>
                <w:tab w:val="clear" w:pos="8306"/>
              </w:tabs>
              <w:jc w:val="center"/>
              <w:rPr>
                <w:sz w:val="22"/>
                <w:szCs w:val="22"/>
                <w:lang w:val="en-US"/>
              </w:rPr>
            </w:pPr>
            <w:r w:rsidRPr="000C66B8">
              <w:rPr>
                <w:sz w:val="22"/>
                <w:szCs w:val="22"/>
              </w:rPr>
              <w:t>Ūkio ministerija</w:t>
            </w:r>
          </w:p>
        </w:tc>
      </w:tr>
      <w:tr w:rsidR="006A6372" w:rsidTr="004C3730">
        <w:trPr>
          <w:trHeight w:val="774"/>
        </w:trPr>
        <w:tc>
          <w:tcPr>
            <w:tcW w:w="821" w:type="dxa"/>
            <w:vMerge/>
          </w:tcPr>
          <w:p w:rsidR="006A6372" w:rsidRPr="000C66B8" w:rsidRDefault="006A6372">
            <w:pPr>
              <w:rPr>
                <w:rFonts w:ascii="Times New Roman" w:hAnsi="Times New Roman" w:cs="Times New Roman"/>
                <w:lang w:val="en-US"/>
              </w:rPr>
            </w:pPr>
          </w:p>
        </w:tc>
        <w:tc>
          <w:tcPr>
            <w:tcW w:w="11991" w:type="dxa"/>
          </w:tcPr>
          <w:p w:rsidR="004E04C4" w:rsidRPr="00273ABC" w:rsidRDefault="004E04C4" w:rsidP="004E04C4">
            <w:pPr>
              <w:jc w:val="both"/>
              <w:rPr>
                <w:rFonts w:ascii="Times New Roman" w:hAnsi="Times New Roman" w:cs="Times New Roman"/>
                <w:color w:val="000000" w:themeColor="text1"/>
              </w:rPr>
            </w:pPr>
            <w:r w:rsidRPr="00273ABC">
              <w:rPr>
                <w:rFonts w:ascii="Times New Roman" w:hAnsi="Times New Roman" w:cs="Times New Roman"/>
                <w:color w:val="000000" w:themeColor="text1"/>
              </w:rPr>
              <w:t xml:space="preserve">Energetikos ministerija neįgyvendina priemonių, kurios būtų tiesiogiai susijusios su socialinių ir ekonominių skirtumų regionuose, kuriuose gausiai gyvena tautinių mažumų atstovai, mažinimu. </w:t>
            </w:r>
          </w:p>
          <w:p w:rsidR="004E04C4" w:rsidRPr="00273ABC" w:rsidRDefault="004E04C4" w:rsidP="004E04C4">
            <w:pPr>
              <w:jc w:val="both"/>
              <w:rPr>
                <w:rFonts w:ascii="Times New Roman" w:hAnsi="Times New Roman" w:cs="Times New Roman"/>
                <w:color w:val="000000" w:themeColor="text1"/>
              </w:rPr>
            </w:pPr>
            <w:r w:rsidRPr="00273ABC">
              <w:rPr>
                <w:rFonts w:ascii="Times New Roman" w:hAnsi="Times New Roman" w:cs="Times New Roman"/>
                <w:color w:val="000000" w:themeColor="text1"/>
              </w:rPr>
              <w:t xml:space="preserve">Tačiau </w:t>
            </w:r>
            <w:r w:rsidR="00273ABC" w:rsidRPr="00273ABC">
              <w:rPr>
                <w:rFonts w:ascii="Times New Roman" w:hAnsi="Times New Roman" w:cs="Times New Roman"/>
                <w:color w:val="000000" w:themeColor="text1"/>
              </w:rPr>
              <w:t>atkreipia</w:t>
            </w:r>
            <w:r w:rsidRPr="00273ABC">
              <w:rPr>
                <w:rFonts w:ascii="Times New Roman" w:hAnsi="Times New Roman" w:cs="Times New Roman"/>
                <w:color w:val="000000" w:themeColor="text1"/>
              </w:rPr>
              <w:t xml:space="preserve"> dėmesį į užtikrintą ilgalaikę reikšmingą paramą Lietuvos Respublikos Vyriausybės sprendimu sudarytam Ignalinos atominės elektrinės (toliau – IAE) regionui, taikant įvairias lengvatas gyventojams bei įgyvendinant kitas priemones socialiniams ir ekonominiams IAE eksploatavimo nutr</w:t>
            </w:r>
            <w:r w:rsidR="00273ABC" w:rsidRPr="00273ABC">
              <w:rPr>
                <w:rFonts w:ascii="Times New Roman" w:hAnsi="Times New Roman" w:cs="Times New Roman"/>
                <w:color w:val="000000" w:themeColor="text1"/>
              </w:rPr>
              <w:t>aukimo padariniams sušvelninti. V</w:t>
            </w:r>
            <w:r w:rsidRPr="00273ABC">
              <w:rPr>
                <w:rFonts w:ascii="Times New Roman" w:hAnsi="Times New Roman" w:cs="Times New Roman"/>
                <w:color w:val="000000" w:themeColor="text1"/>
              </w:rPr>
              <w:t xml:space="preserve">ienas iš Ignalinos atominės elektrinės eksploatavimo nutraukimo </w:t>
            </w:r>
            <w:proofErr w:type="spellStart"/>
            <w:r w:rsidRPr="00273ABC">
              <w:rPr>
                <w:rFonts w:ascii="Times New Roman" w:hAnsi="Times New Roman" w:cs="Times New Roman"/>
                <w:color w:val="000000" w:themeColor="text1"/>
              </w:rPr>
              <w:t>tarpinstitucinio</w:t>
            </w:r>
            <w:proofErr w:type="spellEnd"/>
            <w:r w:rsidRPr="00273ABC">
              <w:rPr>
                <w:rFonts w:ascii="Times New Roman" w:hAnsi="Times New Roman" w:cs="Times New Roman"/>
                <w:color w:val="000000" w:themeColor="text1"/>
              </w:rPr>
              <w:t xml:space="preserve"> veiklos plano, patvirtinto Lietuvos Respublikos Vyriausybės 2015 m. vasario 9 d. nutarimu Nr. 137 „Dėl Ignalinos atominės elektrinės eksploatavimo nutraukimo </w:t>
            </w:r>
            <w:proofErr w:type="spellStart"/>
            <w:r w:rsidRPr="00273ABC">
              <w:rPr>
                <w:rFonts w:ascii="Times New Roman" w:hAnsi="Times New Roman" w:cs="Times New Roman"/>
                <w:color w:val="000000" w:themeColor="text1"/>
              </w:rPr>
              <w:t>tarpinstitucinio</w:t>
            </w:r>
            <w:proofErr w:type="spellEnd"/>
            <w:r w:rsidRPr="00273ABC">
              <w:rPr>
                <w:rFonts w:ascii="Times New Roman" w:hAnsi="Times New Roman" w:cs="Times New Roman"/>
                <w:color w:val="000000" w:themeColor="text1"/>
              </w:rPr>
              <w:t xml:space="preserve"> veiklos plano patvirtinimo“ (toliau – TVP), tikslų – sušvelninti neigiamus IAE eksploatavimo nutraukimo socialinius ir ekonominius padarinius IAE regionui, jame numatytos priemonės ir asignavimai šiam tikslui pasiekti.</w:t>
            </w:r>
          </w:p>
          <w:p w:rsidR="006A6372" w:rsidRPr="004E04C4" w:rsidRDefault="004E04C4" w:rsidP="004E04C4">
            <w:pPr>
              <w:jc w:val="both"/>
              <w:rPr>
                <w:rFonts w:ascii="Times New Roman" w:hAnsi="Times New Roman" w:cs="Times New Roman"/>
              </w:rPr>
            </w:pPr>
            <w:r w:rsidRPr="00273ABC">
              <w:rPr>
                <w:rFonts w:ascii="Times New Roman" w:hAnsi="Times New Roman" w:cs="Times New Roman"/>
                <w:color w:val="000000" w:themeColor="text1"/>
              </w:rPr>
              <w:t xml:space="preserve">Be to, Energetikos ministerija, suprasdama IAE regiono situaciją, jau yra išsakiusi pasiūlymus IAE regiono savivaldybėms dėl įvairių Europos Sąjungos struktūrinių fondų lėšomis remiamų veiklų vykdymo. Energetikos ministerija palaiko IAE regiono savivaldybių iniciatyvas ir idėjas regiono plėtrai ir vystymuisi skatinti bei patrauklumui didinti ir yra pasirengusi pagal galimybes bendradarbiauti jas įgyvendinant. </w:t>
            </w:r>
          </w:p>
        </w:tc>
        <w:tc>
          <w:tcPr>
            <w:tcW w:w="2346" w:type="dxa"/>
            <w:vAlign w:val="center"/>
          </w:tcPr>
          <w:p w:rsidR="006A6372" w:rsidRPr="000C66B8" w:rsidRDefault="006A6372" w:rsidP="000C66B8">
            <w:pPr>
              <w:pStyle w:val="Antrats"/>
              <w:tabs>
                <w:tab w:val="clear" w:pos="4153"/>
                <w:tab w:val="clear" w:pos="8306"/>
              </w:tabs>
              <w:jc w:val="center"/>
              <w:rPr>
                <w:sz w:val="22"/>
                <w:szCs w:val="22"/>
                <w:lang w:val="en-US"/>
              </w:rPr>
            </w:pPr>
            <w:r w:rsidRPr="000C66B8">
              <w:rPr>
                <w:sz w:val="22"/>
                <w:szCs w:val="22"/>
                <w:lang w:eastAsia="lt-LT"/>
              </w:rPr>
              <w:t>Energetikos ministerija</w:t>
            </w:r>
          </w:p>
        </w:tc>
      </w:tr>
      <w:tr w:rsidR="006A6372" w:rsidTr="004C3730">
        <w:tc>
          <w:tcPr>
            <w:tcW w:w="821" w:type="dxa"/>
            <w:vMerge/>
          </w:tcPr>
          <w:p w:rsidR="006A6372" w:rsidRPr="000C66B8" w:rsidRDefault="006A6372">
            <w:pPr>
              <w:rPr>
                <w:rFonts w:ascii="Times New Roman" w:hAnsi="Times New Roman" w:cs="Times New Roman"/>
                <w:lang w:val="en-US"/>
              </w:rPr>
            </w:pPr>
          </w:p>
        </w:tc>
        <w:tc>
          <w:tcPr>
            <w:tcW w:w="11991" w:type="dxa"/>
          </w:tcPr>
          <w:p w:rsidR="006A6372" w:rsidRPr="00273ABC" w:rsidRDefault="00A11E6D" w:rsidP="006A22DF">
            <w:pPr>
              <w:jc w:val="both"/>
              <w:rPr>
                <w:rFonts w:ascii="Times New Roman" w:hAnsi="Times New Roman" w:cs="Times New Roman"/>
                <w:color w:val="000000" w:themeColor="text1"/>
                <w:lang w:val="en-US"/>
              </w:rPr>
            </w:pPr>
            <w:proofErr w:type="spellStart"/>
            <w:r w:rsidRPr="00273ABC">
              <w:rPr>
                <w:rFonts w:ascii="Times New Roman" w:hAnsi="Times New Roman" w:cs="Times New Roman"/>
                <w:color w:val="000000" w:themeColor="text1"/>
                <w:lang w:val="en-US"/>
              </w:rPr>
              <w:t>Švietimo</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ir</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mokslo</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ministerija</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nepateikė</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Veiksmų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programos</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stebėsenos</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komitetui</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svarstyti</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ir</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tvirtinti</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prioritetinių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specialiųjų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atrankos</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kriterijų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susijusių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su</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tautinių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mažumų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gausiai</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gyvenamo</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regiono</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problemų</w:t>
            </w:r>
            <w:proofErr w:type="spellEnd"/>
            <w:r w:rsidRPr="00273ABC">
              <w:rPr>
                <w:rFonts w:ascii="Times New Roman" w:hAnsi="Times New Roman" w:cs="Times New Roman"/>
                <w:color w:val="000000" w:themeColor="text1"/>
                <w:lang w:val="en-US"/>
              </w:rPr>
              <w:t xml:space="preserve"> </w:t>
            </w:r>
            <w:proofErr w:type="spellStart"/>
            <w:r w:rsidRPr="00273ABC">
              <w:rPr>
                <w:rFonts w:ascii="Times New Roman" w:hAnsi="Times New Roman" w:cs="Times New Roman"/>
                <w:color w:val="000000" w:themeColor="text1"/>
                <w:lang w:val="en-US"/>
              </w:rPr>
              <w:t>sprendimu</w:t>
            </w:r>
            <w:proofErr w:type="spellEnd"/>
            <w:r w:rsidRPr="00273ABC">
              <w:rPr>
                <w:rFonts w:ascii="Times New Roman" w:hAnsi="Times New Roman" w:cs="Times New Roman"/>
                <w:color w:val="000000" w:themeColor="text1"/>
                <w:lang w:val="en-US"/>
              </w:rPr>
              <w:t>.</w:t>
            </w:r>
          </w:p>
          <w:p w:rsidR="00A11E6D" w:rsidRPr="006A22DF" w:rsidRDefault="00A11E6D" w:rsidP="006A22DF">
            <w:pPr>
              <w:jc w:val="both"/>
              <w:rPr>
                <w:rFonts w:ascii="Times New Roman" w:hAnsi="Times New Roman" w:cs="Times New Roman"/>
                <w:color w:val="000000" w:themeColor="text1"/>
                <w:lang w:val="en-US"/>
              </w:rPr>
            </w:pPr>
            <w:r w:rsidRPr="00273ABC">
              <w:rPr>
                <w:rFonts w:ascii="Times New Roman" w:hAnsi="Times New Roman" w:cs="Times New Roman"/>
                <w:color w:val="000000" w:themeColor="text1"/>
              </w:rPr>
              <w:t>Apie įgyvendinimą vėlesniais metais informacija nepateikta.</w:t>
            </w:r>
          </w:p>
        </w:tc>
        <w:tc>
          <w:tcPr>
            <w:tcW w:w="2346" w:type="dxa"/>
            <w:vAlign w:val="center"/>
          </w:tcPr>
          <w:p w:rsidR="006A6372" w:rsidRPr="000C66B8" w:rsidRDefault="006A6372" w:rsidP="000C66B8">
            <w:pPr>
              <w:jc w:val="center"/>
              <w:rPr>
                <w:rFonts w:ascii="Times New Roman" w:hAnsi="Times New Roman" w:cs="Times New Roman"/>
                <w:lang w:val="en-US"/>
              </w:rPr>
            </w:pPr>
            <w:r w:rsidRPr="000C66B8">
              <w:rPr>
                <w:rFonts w:ascii="Times New Roman" w:hAnsi="Times New Roman" w:cs="Times New Roman"/>
                <w:lang w:eastAsia="lt-LT"/>
              </w:rPr>
              <w:t>Švietimo ir mokslo ministerija</w:t>
            </w:r>
          </w:p>
        </w:tc>
      </w:tr>
      <w:tr w:rsidR="006A6372" w:rsidTr="004C3730">
        <w:tc>
          <w:tcPr>
            <w:tcW w:w="821" w:type="dxa"/>
            <w:vMerge w:val="restart"/>
            <w:shd w:val="clear" w:color="auto" w:fill="FFFFFF" w:themeFill="background1"/>
          </w:tcPr>
          <w:p w:rsidR="006A6372" w:rsidRPr="000C66B8" w:rsidRDefault="006A6372">
            <w:pPr>
              <w:rPr>
                <w:rFonts w:ascii="Times New Roman" w:hAnsi="Times New Roman" w:cs="Times New Roman"/>
                <w:lang w:val="en-US"/>
              </w:rPr>
            </w:pPr>
            <w:r w:rsidRPr="000C66B8">
              <w:rPr>
                <w:rFonts w:ascii="Times New Roman" w:hAnsi="Times New Roman" w:cs="Times New Roman"/>
                <w:lang w:val="en-US"/>
              </w:rPr>
              <w:t>1.2.</w:t>
            </w:r>
          </w:p>
        </w:tc>
        <w:tc>
          <w:tcPr>
            <w:tcW w:w="14337" w:type="dxa"/>
            <w:gridSpan w:val="2"/>
            <w:shd w:val="clear" w:color="auto" w:fill="FFFFCC"/>
          </w:tcPr>
          <w:p w:rsidR="006A6372" w:rsidRPr="000C66B8" w:rsidRDefault="006A6372" w:rsidP="0012113E">
            <w:pPr>
              <w:jc w:val="both"/>
              <w:rPr>
                <w:rFonts w:ascii="Times New Roman" w:hAnsi="Times New Roman" w:cs="Times New Roman"/>
                <w:lang w:val="en-US"/>
              </w:rPr>
            </w:pPr>
            <w:r w:rsidRPr="0012113E">
              <w:rPr>
                <w:rFonts w:ascii="Times New Roman" w:hAnsi="Times New Roman" w:cs="Times New Roman"/>
              </w:rPr>
              <w:t xml:space="preserve">Įvertinti </w:t>
            </w:r>
            <w:r w:rsidRPr="0012113E">
              <w:rPr>
                <w:rFonts w:ascii="Times New Roman" w:eastAsia="Calibri" w:hAnsi="Times New Roman" w:cs="Times New Roman"/>
              </w:rPr>
              <w:t xml:space="preserve">papildomus lėšų paskirstymo tarp regionų kriterijus (demografinį gyvybingumą, </w:t>
            </w:r>
            <w:r>
              <w:rPr>
                <w:rFonts w:ascii="Times New Roman" w:hAnsi="Times New Roman" w:cs="Times New Roman"/>
              </w:rPr>
              <w:t xml:space="preserve">gyventojų </w:t>
            </w:r>
            <w:r w:rsidRPr="0012113E">
              <w:rPr>
                <w:rFonts w:ascii="Times New Roman" w:eastAsia="Calibri" w:hAnsi="Times New Roman" w:cs="Times New Roman"/>
              </w:rPr>
              <w:t xml:space="preserve">amžiaus struktūrą, ekonominio aktyvumo pokyčius ir kitas socialines ir ekonomines charakteristikas, būdingas tautinių mažumų gausiai gyvenamoms teritorijoms) ir jais remiantis padidinti asignavimų limitus (preliminariai – 10 proc.) Europos Sąjungos </w:t>
            </w:r>
            <w:r>
              <w:rPr>
                <w:rFonts w:ascii="Times New Roman" w:hAnsi="Times New Roman" w:cs="Times New Roman"/>
              </w:rPr>
              <w:t xml:space="preserve">(toliau – ES) </w:t>
            </w:r>
            <w:r w:rsidRPr="0012113E">
              <w:rPr>
                <w:rFonts w:ascii="Times New Roman" w:eastAsia="Calibri" w:hAnsi="Times New Roman" w:cs="Times New Roman"/>
              </w:rPr>
              <w:t xml:space="preserve">lėšomis finansuojamoms regioninio planavimo priemonėms tautinių mažumų gausiai gyvenamame regione; </w:t>
            </w:r>
            <w:r w:rsidRPr="00CF7EBB">
              <w:rPr>
                <w:rFonts w:ascii="Times New Roman" w:eastAsia="Calibri" w:hAnsi="Times New Roman" w:cs="Times New Roman"/>
              </w:rPr>
              <w:t>apie priimtą sprendimą informuoti Vyriausybę, Vidaus reikalų ministeriją ir atitinkamas savivaldybes</w:t>
            </w:r>
          </w:p>
        </w:tc>
      </w:tr>
      <w:tr w:rsidR="006A6372" w:rsidTr="004C3730">
        <w:tc>
          <w:tcPr>
            <w:tcW w:w="821" w:type="dxa"/>
            <w:vMerge/>
          </w:tcPr>
          <w:p w:rsidR="006A6372" w:rsidRPr="000C66B8" w:rsidRDefault="006A6372">
            <w:pPr>
              <w:rPr>
                <w:rFonts w:ascii="Times New Roman" w:hAnsi="Times New Roman" w:cs="Times New Roman"/>
                <w:lang w:val="en-US"/>
              </w:rPr>
            </w:pPr>
          </w:p>
        </w:tc>
        <w:tc>
          <w:tcPr>
            <w:tcW w:w="11991" w:type="dxa"/>
          </w:tcPr>
          <w:p w:rsidR="006A6372" w:rsidRPr="004E04C4" w:rsidRDefault="004E04C4" w:rsidP="004E04C4">
            <w:pPr>
              <w:pStyle w:val="Pagrindinistekstas"/>
              <w:jc w:val="both"/>
              <w:rPr>
                <w:rFonts w:ascii="Times New Roman" w:hAnsi="Times New Roman" w:cs="Times New Roman"/>
                <w:color w:val="00B0F0"/>
                <w:szCs w:val="24"/>
              </w:rPr>
            </w:pPr>
            <w:r w:rsidRPr="00273ABC">
              <w:rPr>
                <w:rFonts w:ascii="Times New Roman" w:hAnsi="Times New Roman" w:cs="Times New Roman"/>
                <w:color w:val="000000" w:themeColor="text1"/>
              </w:rPr>
              <w:t>Pagal 2014–2020 metų Europos Sąjungos fondų investicijų veiksmų programos 6 prioriteto „Darnaus transporto ir pagrindinių tinklų infrastruktūros plėtra“ 06.2.1-TID-R-511 priemonės „Vietinių kelių vystymas“ (toliau – priemonė) projektų finansavimo sąlygų aprašą</w:t>
            </w:r>
            <w:r w:rsidRPr="00273ABC">
              <w:rPr>
                <w:rFonts w:ascii="Times New Roman" w:hAnsi="Times New Roman" w:cs="Times New Roman"/>
                <w:color w:val="000000" w:themeColor="text1"/>
                <w:lang w:eastAsia="lt-LT"/>
              </w:rPr>
              <w:t xml:space="preserve"> </w:t>
            </w:r>
            <w:r w:rsidRPr="00273ABC">
              <w:rPr>
                <w:rFonts w:ascii="Times New Roman" w:hAnsi="Times New Roman" w:cs="Times New Roman"/>
                <w:color w:val="000000" w:themeColor="text1"/>
                <w:szCs w:val="24"/>
              </w:rPr>
              <w:t xml:space="preserve">regionams paskirstytas Europos Sąjungos struktūrinių fondų lėšų finansavimas padidintas tiems regionams, kuriuose gausiai gyvena tautinių mažumų </w:t>
            </w:r>
            <w:r w:rsidRPr="00273ABC">
              <w:rPr>
                <w:rFonts w:ascii="Times New Roman" w:hAnsi="Times New Roman" w:cs="Times New Roman"/>
                <w:color w:val="000000" w:themeColor="text1"/>
              </w:rPr>
              <w:t>atstovai (Vilniaus, Šalčininkų, Švenčionių, Trakų, Ignalinos rajonų ir Visagino savivaldybės)</w:t>
            </w:r>
            <w:r w:rsidRPr="00273ABC">
              <w:rPr>
                <w:rFonts w:ascii="Times New Roman" w:hAnsi="Times New Roman" w:cs="Times New Roman"/>
                <w:color w:val="000000" w:themeColor="text1"/>
                <w:szCs w:val="24"/>
              </w:rPr>
              <w:t xml:space="preserve">. Vadovaujantis priemonės </w:t>
            </w:r>
            <w:r w:rsidRPr="00273ABC">
              <w:rPr>
                <w:rFonts w:ascii="Times New Roman" w:hAnsi="Times New Roman" w:cs="Times New Roman"/>
                <w:color w:val="000000" w:themeColor="text1"/>
              </w:rPr>
              <w:t>projektų finansavimo sąlygų aprašu</w:t>
            </w:r>
            <w:r w:rsidRPr="00273ABC">
              <w:rPr>
                <w:rFonts w:ascii="Times New Roman" w:hAnsi="Times New Roman" w:cs="Times New Roman"/>
                <w:color w:val="000000" w:themeColor="text1"/>
                <w:szCs w:val="24"/>
              </w:rPr>
              <w:t xml:space="preserve"> ir jame nustatytu priemonės finansavimo paskirstymu tarp regionų sudaryti iš priemonės lėšų siūlomų bendrai finansuoti regionų projektų sąrašai.</w:t>
            </w:r>
          </w:p>
        </w:tc>
        <w:tc>
          <w:tcPr>
            <w:tcW w:w="2346" w:type="dxa"/>
            <w:vAlign w:val="center"/>
          </w:tcPr>
          <w:p w:rsidR="006A6372" w:rsidRPr="000C66B8" w:rsidRDefault="006A6372" w:rsidP="000C66B8">
            <w:pPr>
              <w:pStyle w:val="Antrats"/>
              <w:tabs>
                <w:tab w:val="clear" w:pos="4153"/>
                <w:tab w:val="clear" w:pos="8306"/>
              </w:tabs>
              <w:jc w:val="center"/>
              <w:rPr>
                <w:sz w:val="22"/>
                <w:szCs w:val="22"/>
                <w:lang w:val="en-US"/>
              </w:rPr>
            </w:pPr>
            <w:r w:rsidRPr="000C66B8">
              <w:rPr>
                <w:sz w:val="22"/>
                <w:szCs w:val="22"/>
                <w:lang w:eastAsia="lt-LT"/>
              </w:rPr>
              <w:t>Susisiekimo ministerija</w:t>
            </w:r>
          </w:p>
        </w:tc>
      </w:tr>
      <w:tr w:rsidR="006A6372" w:rsidTr="004C3730">
        <w:tc>
          <w:tcPr>
            <w:tcW w:w="821" w:type="dxa"/>
            <w:vMerge/>
          </w:tcPr>
          <w:p w:rsidR="006A6372" w:rsidRPr="000C66B8" w:rsidRDefault="006A6372">
            <w:pPr>
              <w:rPr>
                <w:rFonts w:ascii="Times New Roman" w:hAnsi="Times New Roman" w:cs="Times New Roman"/>
                <w:lang w:val="en-US"/>
              </w:rPr>
            </w:pPr>
          </w:p>
        </w:tc>
        <w:tc>
          <w:tcPr>
            <w:tcW w:w="11991" w:type="dxa"/>
            <w:shd w:val="clear" w:color="auto" w:fill="FFFFFF" w:themeFill="background1"/>
          </w:tcPr>
          <w:p w:rsidR="00627F83" w:rsidRPr="00273ABC" w:rsidRDefault="00627F83" w:rsidP="00627F83">
            <w:pPr>
              <w:jc w:val="both"/>
              <w:rPr>
                <w:rFonts w:ascii="Times New Roman" w:hAnsi="Times New Roman" w:cs="Times New Roman"/>
                <w:color w:val="000000" w:themeColor="text1"/>
              </w:rPr>
            </w:pPr>
            <w:r w:rsidRPr="00273ABC">
              <w:rPr>
                <w:rFonts w:ascii="Times New Roman" w:hAnsi="Times New Roman" w:cs="Times New Roman"/>
                <w:color w:val="000000" w:themeColor="text1"/>
              </w:rPr>
              <w:t>Vidaus reikalų ministerija administruoja 3 regioninio planavimo priemones, finansuojamas ES lėšomis ir skirtas gyvenamųjų vietovių (tarp jų ir esančių Tautinių mažumų atstovų gausiai gyvenamame regione) atnaujinimui:</w:t>
            </w:r>
          </w:p>
          <w:p w:rsidR="00627F83" w:rsidRPr="00273ABC" w:rsidRDefault="00627F83" w:rsidP="00627F83">
            <w:pPr>
              <w:pStyle w:val="Sraopastraipa"/>
              <w:numPr>
                <w:ilvl w:val="0"/>
                <w:numId w:val="2"/>
              </w:numPr>
              <w:ind w:left="360"/>
              <w:jc w:val="both"/>
              <w:rPr>
                <w:rFonts w:ascii="Times New Roman" w:hAnsi="Times New Roman" w:cs="Times New Roman"/>
                <w:color w:val="000000" w:themeColor="text1"/>
              </w:rPr>
            </w:pPr>
            <w:r w:rsidRPr="00273ABC">
              <w:rPr>
                <w:rFonts w:ascii="Times New Roman" w:hAnsi="Times New Roman" w:cs="Times New Roman"/>
                <w:color w:val="000000" w:themeColor="text1"/>
              </w:rPr>
              <w:t>Pereinamojo laikotarpio tikslinių teritorijų vystymas. II. Galimi pareiškėjai – savivaldybės, kuriose yra pereinamojo laikotarpio tikslinės teritorijų (miestai) (2007–2013 m. laikotarpio probleminių teritorijų administraciniai centrai). Tautinių mažumų gyvenamame regione – Šalčininkų ir Švenčionių rajonų savivaldybės;</w:t>
            </w:r>
          </w:p>
          <w:p w:rsidR="00627F83" w:rsidRPr="00273ABC" w:rsidRDefault="00627F83" w:rsidP="00627F83">
            <w:pPr>
              <w:pStyle w:val="Sraopastraipa"/>
              <w:numPr>
                <w:ilvl w:val="0"/>
                <w:numId w:val="2"/>
              </w:numPr>
              <w:ind w:left="360"/>
              <w:jc w:val="both"/>
              <w:rPr>
                <w:rFonts w:ascii="Times New Roman" w:hAnsi="Times New Roman" w:cs="Times New Roman"/>
                <w:color w:val="000000" w:themeColor="text1"/>
              </w:rPr>
            </w:pPr>
            <w:r w:rsidRPr="00273ABC">
              <w:rPr>
                <w:rFonts w:ascii="Times New Roman" w:hAnsi="Times New Roman" w:cs="Times New Roman"/>
                <w:color w:val="000000" w:themeColor="text1"/>
              </w:rPr>
              <w:t>Kaimo gyvenamųjų vietovių atnaujinimas (galimi pareiškėjai – savivaldybės, kuriose yra regiono plėtros tarybos išskirtų iš 1-6 tūkst. gyventojų turinčių miestų, miestelių ir kaimų (išskyrus savivaldybių centrus) tikslinių teritorijų. Tautinių mažumų gausiai gyvenamame regione – Vilniaus, Trakų, Švenčionių ir Šalčininkų rajonų savivaldybės.</w:t>
            </w:r>
          </w:p>
          <w:p w:rsidR="00627F83" w:rsidRPr="00273ABC" w:rsidRDefault="00627F83" w:rsidP="00627F83">
            <w:pPr>
              <w:pStyle w:val="Sraopastraipa"/>
              <w:numPr>
                <w:ilvl w:val="0"/>
                <w:numId w:val="2"/>
              </w:numPr>
              <w:ind w:left="360"/>
              <w:jc w:val="both"/>
              <w:rPr>
                <w:rFonts w:ascii="Times New Roman" w:hAnsi="Times New Roman" w:cs="Times New Roman"/>
                <w:color w:val="000000" w:themeColor="text1"/>
              </w:rPr>
            </w:pPr>
            <w:r w:rsidRPr="00273ABC">
              <w:rPr>
                <w:rFonts w:ascii="Times New Roman" w:hAnsi="Times New Roman" w:cs="Times New Roman"/>
                <w:color w:val="000000" w:themeColor="text1"/>
              </w:rPr>
              <w:t>Miestų kompleksinė plėtra. Galimi pareiškėjai – savivaldybės, kuriose yra tikslinės teritorijų (miestai), nustatyti Vidaus reikalų ministro</w:t>
            </w:r>
            <w:r w:rsidRPr="00273ABC">
              <w:rPr>
                <w:color w:val="000000" w:themeColor="text1"/>
              </w:rPr>
              <w:t xml:space="preserve"> </w:t>
            </w:r>
            <w:r w:rsidRPr="00273ABC">
              <w:rPr>
                <w:rFonts w:ascii="Times New Roman" w:hAnsi="Times New Roman" w:cs="Times New Roman"/>
                <w:color w:val="000000" w:themeColor="text1"/>
              </w:rPr>
              <w:t>2014 m. birželio 19 d. įsakymu Nr. 1V-429 „Dėl tikslinių teritorijų išskyrimo iš miestų, turinčių nuo 6 iki 100 tūkst. gyventojų, ir mažesnių savivaldybių centrų“. Tautinių mažumų gyvenamame regione – Lentvaris (Trakų rajono savivaldybėje).</w:t>
            </w:r>
          </w:p>
          <w:p w:rsidR="006A6372" w:rsidRPr="004C3730" w:rsidRDefault="00627F83" w:rsidP="004C3730">
            <w:pPr>
              <w:pStyle w:val="Sraopastraipa"/>
              <w:ind w:left="360"/>
              <w:jc w:val="both"/>
              <w:rPr>
                <w:rFonts w:ascii="Times New Roman" w:hAnsi="Times New Roman" w:cs="Times New Roman"/>
              </w:rPr>
            </w:pPr>
            <w:r w:rsidRPr="00273ABC">
              <w:rPr>
                <w:rFonts w:ascii="Times New Roman" w:hAnsi="Times New Roman" w:cs="Times New Roman"/>
                <w:color w:val="000000" w:themeColor="text1"/>
              </w:rPr>
              <w:t xml:space="preserve">Atsižvelgta į </w:t>
            </w:r>
            <w:proofErr w:type="spellStart"/>
            <w:r w:rsidRPr="00273ABC">
              <w:rPr>
                <w:rFonts w:ascii="Times New Roman" w:hAnsi="Times New Roman" w:cs="Times New Roman"/>
                <w:color w:val="000000" w:themeColor="text1"/>
              </w:rPr>
              <w:t>prokolinio</w:t>
            </w:r>
            <w:proofErr w:type="spellEnd"/>
            <w:r w:rsidRPr="00273ABC">
              <w:rPr>
                <w:rFonts w:ascii="Times New Roman" w:hAnsi="Times New Roman" w:cs="Times New Roman"/>
                <w:color w:val="000000" w:themeColor="text1"/>
              </w:rPr>
              <w:t xml:space="preserve"> sprendimo nuostatas ir tautinių mažumų gausiai gyvenamo regiono demografinius ir urbanistinius ypatumus, t.y. tai, kad: 2 pagrindiniai (savivaldybės centro statusą turintys) urbanistiniai centrai Šalčininkai ir Švenčionys yra priskirti pereinamojo tikslinėms teritorijoms (kaip 2007-2013 m. probleminių teritorijų centrai), o visam tautinių mažumų regionui būdingas tankus nedidelių gyvenamųjų vietovių (1-6 tūkst. gyventojų) tinklas, priemonių Pereinamojo laikotarpio tikslinių teritorijų vystymas ir Kaimo gyvenamųjų vietovių atnaujinimas projektų finansavimo aprašais nustatoma asignavimų Vilniaus regionui suma padidinta 2,9 mln. </w:t>
            </w:r>
            <w:proofErr w:type="spellStart"/>
            <w:r w:rsidRPr="00273ABC">
              <w:rPr>
                <w:rFonts w:ascii="Times New Roman" w:hAnsi="Times New Roman" w:cs="Times New Roman"/>
                <w:color w:val="000000" w:themeColor="text1"/>
              </w:rPr>
              <w:t>Eur</w:t>
            </w:r>
            <w:proofErr w:type="spellEnd"/>
            <w:r w:rsidRPr="00273ABC">
              <w:rPr>
                <w:rFonts w:ascii="Times New Roman" w:hAnsi="Times New Roman" w:cs="Times New Roman"/>
                <w:color w:val="000000" w:themeColor="text1"/>
              </w:rPr>
              <w:t>, lyginant su preliminariais asignavimais, kurie buvo pateikti regionų plėtros taryboms. Dėl šios priežasties visam Vilniaus regionui (išskyrus Vilniaus miestą) skiriamų VRM regioninių infrastruktūrai gerinti skirtų priemonių suma didėja nuo 28,6 iki 31,6 mln. eurų (10 proc.). Tam, kad skiriamos papildomos lėšos bus panaudotos konkrečiose (tautinių mažumų gyvenamose) vietovėse, atitinkami projektai su asignavimais įtraukti į Vilniaus regiono integruotą teritorijų vystymo programą. Asignavimų limitai 10 proc. padidinti visam Vilnius regionui (kurį sudaro ir tautinių mažumų gausiai gyvenamoms teritorijoms nepriskirtos savivaldybės), todėl Šalčininkų, Švenčionių, Vilniaus ir Trakų rajono savivaldybėse pagal VRM regionines priemones bus skirti apie 25 proc. didesni asignavimai, lyginant su anksčiau suplanuotais (iš viso –14,6 mln. eurų, vietoj anksčiau planuotų 11,7 mln. eurų).</w:t>
            </w:r>
          </w:p>
        </w:tc>
        <w:tc>
          <w:tcPr>
            <w:tcW w:w="2346" w:type="dxa"/>
            <w:shd w:val="clear" w:color="auto" w:fill="FFFFFF" w:themeFill="background1"/>
            <w:vAlign w:val="center"/>
          </w:tcPr>
          <w:p w:rsidR="006A6372" w:rsidRPr="000C66B8" w:rsidRDefault="006A6372" w:rsidP="000C66B8">
            <w:pPr>
              <w:jc w:val="center"/>
              <w:rPr>
                <w:rFonts w:ascii="Times New Roman" w:hAnsi="Times New Roman" w:cs="Times New Roman"/>
                <w:lang w:val="en-US"/>
              </w:rPr>
            </w:pPr>
            <w:proofErr w:type="spellStart"/>
            <w:r w:rsidRPr="000C66B8">
              <w:rPr>
                <w:rFonts w:ascii="Times New Roman" w:hAnsi="Times New Roman" w:cs="Times New Roman"/>
                <w:lang w:val="en-US"/>
              </w:rPr>
              <w:t>Vidaus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reikalų</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ministerija</w:t>
            </w:r>
            <w:proofErr w:type="spellEnd"/>
          </w:p>
        </w:tc>
      </w:tr>
      <w:tr w:rsidR="004C3730" w:rsidTr="00066DA2">
        <w:tc>
          <w:tcPr>
            <w:tcW w:w="821" w:type="dxa"/>
          </w:tcPr>
          <w:p w:rsidR="004C3730" w:rsidRPr="00273ABC" w:rsidRDefault="004C3730" w:rsidP="004C3730">
            <w:pPr>
              <w:rPr>
                <w:rFonts w:ascii="Times New Roman" w:hAnsi="Times New Roman" w:cs="Times New Roman"/>
                <w:color w:val="000000" w:themeColor="text1"/>
                <w:lang w:val="en-US"/>
              </w:rPr>
            </w:pPr>
            <w:r w:rsidRPr="00273ABC">
              <w:rPr>
                <w:rFonts w:ascii="Times New Roman" w:hAnsi="Times New Roman" w:cs="Times New Roman"/>
                <w:color w:val="000000" w:themeColor="text1"/>
                <w:lang w:val="en-US"/>
              </w:rPr>
              <w:lastRenderedPageBreak/>
              <w:t>1.2 (P1)</w:t>
            </w:r>
          </w:p>
        </w:tc>
        <w:tc>
          <w:tcPr>
            <w:tcW w:w="14337" w:type="dxa"/>
            <w:gridSpan w:val="2"/>
            <w:shd w:val="clear" w:color="auto" w:fill="FFFFFF" w:themeFill="background1"/>
          </w:tcPr>
          <w:p w:rsidR="004C3730" w:rsidRPr="00273ABC" w:rsidRDefault="004C3730" w:rsidP="004C3730">
            <w:pPr>
              <w:jc w:val="both"/>
              <w:rPr>
                <w:rFonts w:ascii="Times New Roman" w:hAnsi="Times New Roman" w:cs="Times New Roman"/>
                <w:color w:val="000000" w:themeColor="text1"/>
                <w:lang w:val="en-US"/>
              </w:rPr>
            </w:pPr>
            <w:r w:rsidRPr="00273ABC">
              <w:rPr>
                <w:rFonts w:ascii="Times New Roman" w:hAnsi="Times New Roman" w:cs="Times New Roman"/>
                <w:color w:val="000000" w:themeColor="text1"/>
              </w:rPr>
              <w:t xml:space="preserve">Vykdant ES finansinės paramos valstybinę priemonę Nr. 09.1.3-CPVA-V-704 „Švietimo prieinamumo didinimas“, finansuoti bent vienos valstybinės vaikų vasaros edukacinės stovyklos ar sveiką gyvenseną skatinančios neformaliojo švietimo erdvės renovaciją ar įrengimą regione, kuriame gausiai gyvena tautinių mažumų atstovai. </w:t>
            </w:r>
          </w:p>
        </w:tc>
      </w:tr>
      <w:tr w:rsidR="004C3730" w:rsidTr="004C3730">
        <w:tc>
          <w:tcPr>
            <w:tcW w:w="821" w:type="dxa"/>
          </w:tcPr>
          <w:p w:rsidR="004C3730" w:rsidRPr="009232DB" w:rsidRDefault="004C3730">
            <w:pPr>
              <w:rPr>
                <w:rFonts w:ascii="Times New Roman" w:hAnsi="Times New Roman" w:cs="Times New Roman"/>
                <w:lang w:val="en-US"/>
              </w:rPr>
            </w:pPr>
          </w:p>
        </w:tc>
        <w:tc>
          <w:tcPr>
            <w:tcW w:w="11991" w:type="dxa"/>
            <w:shd w:val="clear" w:color="auto" w:fill="FFFFFF" w:themeFill="background1"/>
          </w:tcPr>
          <w:p w:rsidR="004C3730" w:rsidRPr="009232DB" w:rsidRDefault="00223CCF" w:rsidP="00627F83">
            <w:pPr>
              <w:jc w:val="both"/>
              <w:rPr>
                <w:rFonts w:ascii="Times New Roman" w:hAnsi="Times New Roman" w:cs="Times New Roman"/>
              </w:rPr>
            </w:pPr>
            <w:r>
              <w:rPr>
                <w:rFonts w:ascii="Times New Roman" w:hAnsi="Times New Roman" w:cs="Times New Roman"/>
              </w:rPr>
              <w:t>Informacija nepateikta.</w:t>
            </w:r>
          </w:p>
        </w:tc>
        <w:tc>
          <w:tcPr>
            <w:tcW w:w="2346" w:type="dxa"/>
            <w:shd w:val="clear" w:color="auto" w:fill="FFFFFF" w:themeFill="background1"/>
            <w:vAlign w:val="center"/>
          </w:tcPr>
          <w:p w:rsidR="004C3730" w:rsidRPr="009232DB" w:rsidRDefault="00223CCF" w:rsidP="000C66B8">
            <w:pPr>
              <w:jc w:val="center"/>
              <w:rPr>
                <w:rFonts w:ascii="Times New Roman" w:hAnsi="Times New Roman" w:cs="Times New Roman"/>
                <w:lang w:val="en-US"/>
              </w:rPr>
            </w:pPr>
            <w:r w:rsidRPr="000C66B8">
              <w:rPr>
                <w:rFonts w:ascii="Times New Roman" w:hAnsi="Times New Roman" w:cs="Times New Roman"/>
                <w:lang w:eastAsia="lt-LT"/>
              </w:rPr>
              <w:t>Švietimo ir mokslo ministerija</w:t>
            </w:r>
          </w:p>
        </w:tc>
      </w:tr>
      <w:tr w:rsidR="004C3730" w:rsidTr="00892607">
        <w:tc>
          <w:tcPr>
            <w:tcW w:w="821" w:type="dxa"/>
          </w:tcPr>
          <w:p w:rsidR="004C3730" w:rsidRPr="00273ABC" w:rsidRDefault="004C3730" w:rsidP="004C3730">
            <w:pPr>
              <w:rPr>
                <w:rFonts w:ascii="Times New Roman" w:hAnsi="Times New Roman" w:cs="Times New Roman"/>
                <w:color w:val="000000" w:themeColor="text1"/>
                <w:lang w:val="en-US"/>
              </w:rPr>
            </w:pPr>
            <w:r w:rsidRPr="00273ABC">
              <w:rPr>
                <w:rFonts w:ascii="Times New Roman" w:hAnsi="Times New Roman" w:cs="Times New Roman"/>
                <w:color w:val="000000" w:themeColor="text1"/>
                <w:lang w:val="en-US"/>
              </w:rPr>
              <w:t>1.2</w:t>
            </w:r>
          </w:p>
          <w:p w:rsidR="004C3730" w:rsidRPr="00273ABC" w:rsidRDefault="004C3730" w:rsidP="004C3730">
            <w:pPr>
              <w:rPr>
                <w:rFonts w:ascii="Times New Roman" w:hAnsi="Times New Roman" w:cs="Times New Roman"/>
                <w:color w:val="000000" w:themeColor="text1"/>
                <w:lang w:val="en-US"/>
              </w:rPr>
            </w:pPr>
            <w:r w:rsidRPr="00273ABC">
              <w:rPr>
                <w:rFonts w:ascii="Times New Roman" w:hAnsi="Times New Roman" w:cs="Times New Roman"/>
                <w:color w:val="000000" w:themeColor="text1"/>
                <w:lang w:val="en-US"/>
              </w:rPr>
              <w:t>(P2)</w:t>
            </w:r>
          </w:p>
        </w:tc>
        <w:tc>
          <w:tcPr>
            <w:tcW w:w="14337" w:type="dxa"/>
            <w:gridSpan w:val="2"/>
            <w:shd w:val="clear" w:color="auto" w:fill="FFFFFF" w:themeFill="background1"/>
          </w:tcPr>
          <w:p w:rsidR="004C3730" w:rsidRPr="00273ABC" w:rsidRDefault="004C3730" w:rsidP="004C3730">
            <w:pPr>
              <w:rPr>
                <w:rFonts w:ascii="Times New Roman" w:hAnsi="Times New Roman" w:cs="Times New Roman"/>
                <w:color w:val="000000" w:themeColor="text1"/>
                <w:lang w:val="en-US"/>
              </w:rPr>
            </w:pPr>
            <w:r w:rsidRPr="00273ABC">
              <w:rPr>
                <w:rFonts w:ascii="Times New Roman" w:hAnsi="Times New Roman" w:cs="Times New Roman"/>
                <w:color w:val="000000" w:themeColor="text1"/>
              </w:rPr>
              <w:t>Neformaliojo vaikų švietimo projektų finansavimo konkursuose, kurie organizuojami atrenkant iš valstybės biudžeto finansuojamus projektus, prioritetą teikti projektams, įtraukiantiems mokinius iš tautinių mažumų gausiai gyvenamų vietovių ir (ar) mokyklų, kuriose dėstoma rusų, lenkų ar kitų tautinių bendrijų kalbomis. Tam pakeisti Neformaliojo vaikų švietimo projektų finansavimo ir organizavimo tvarkos aprašą, patvirtintą Lietuvos Respublikos švietimo ir mokslo ministro 2014 m. kovo 20 d. įsakymu Nr. V-217.</w:t>
            </w:r>
          </w:p>
        </w:tc>
      </w:tr>
      <w:tr w:rsidR="004C3730" w:rsidTr="004C3730">
        <w:tc>
          <w:tcPr>
            <w:tcW w:w="821" w:type="dxa"/>
          </w:tcPr>
          <w:p w:rsidR="004C3730" w:rsidRPr="000C66B8" w:rsidRDefault="004C3730" w:rsidP="004C3730">
            <w:pPr>
              <w:rPr>
                <w:rFonts w:ascii="Times New Roman" w:hAnsi="Times New Roman" w:cs="Times New Roman"/>
                <w:lang w:val="en-US"/>
              </w:rPr>
            </w:pPr>
          </w:p>
        </w:tc>
        <w:tc>
          <w:tcPr>
            <w:tcW w:w="11991" w:type="dxa"/>
            <w:shd w:val="clear" w:color="auto" w:fill="FFFFFF" w:themeFill="background1"/>
          </w:tcPr>
          <w:p w:rsidR="004C3730" w:rsidRPr="00AD0674" w:rsidRDefault="00223CCF" w:rsidP="004C3730">
            <w:pPr>
              <w:jc w:val="both"/>
              <w:rPr>
                <w:rFonts w:ascii="Times New Roman" w:hAnsi="Times New Roman" w:cs="Times New Roman"/>
              </w:rPr>
            </w:pPr>
            <w:r>
              <w:rPr>
                <w:rFonts w:ascii="Times New Roman" w:hAnsi="Times New Roman" w:cs="Times New Roman"/>
              </w:rPr>
              <w:t>Informacija nepateikta.</w:t>
            </w:r>
          </w:p>
        </w:tc>
        <w:tc>
          <w:tcPr>
            <w:tcW w:w="2346" w:type="dxa"/>
            <w:shd w:val="clear" w:color="auto" w:fill="FFFFFF" w:themeFill="background1"/>
            <w:vAlign w:val="center"/>
          </w:tcPr>
          <w:p w:rsidR="004C3730" w:rsidRPr="000C66B8" w:rsidRDefault="00223CCF" w:rsidP="004C3730">
            <w:pPr>
              <w:jc w:val="center"/>
              <w:rPr>
                <w:rFonts w:ascii="Times New Roman" w:hAnsi="Times New Roman" w:cs="Times New Roman"/>
                <w:lang w:val="en-US"/>
              </w:rPr>
            </w:pPr>
            <w:r w:rsidRPr="000C66B8">
              <w:rPr>
                <w:rFonts w:ascii="Times New Roman" w:hAnsi="Times New Roman" w:cs="Times New Roman"/>
                <w:lang w:eastAsia="lt-LT"/>
              </w:rPr>
              <w:t>Švietimo ir mokslo ministerija</w:t>
            </w:r>
          </w:p>
        </w:tc>
      </w:tr>
      <w:tr w:rsidR="004C3730" w:rsidTr="004C3730">
        <w:tc>
          <w:tcPr>
            <w:tcW w:w="821" w:type="dxa"/>
            <w:vMerge w:val="restart"/>
            <w:shd w:val="clear" w:color="auto" w:fill="FFFFFF" w:themeFill="background1"/>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lang w:val="en-US"/>
              </w:rPr>
              <w:t>1.3.1.</w:t>
            </w:r>
          </w:p>
        </w:tc>
        <w:tc>
          <w:tcPr>
            <w:tcW w:w="14337" w:type="dxa"/>
            <w:gridSpan w:val="2"/>
            <w:shd w:val="clear" w:color="auto" w:fill="FFFFCC"/>
          </w:tcPr>
          <w:p w:rsidR="004C3730" w:rsidRPr="000C66B8" w:rsidRDefault="004C3730" w:rsidP="004C3730">
            <w:pPr>
              <w:jc w:val="both"/>
              <w:rPr>
                <w:rFonts w:ascii="Times New Roman" w:hAnsi="Times New Roman" w:cs="Times New Roman"/>
                <w:lang w:eastAsia="lt-LT"/>
              </w:rPr>
            </w:pPr>
            <w:proofErr w:type="spellStart"/>
            <w:r w:rsidRPr="000C66B8">
              <w:rPr>
                <w:rFonts w:ascii="Times New Roman" w:hAnsi="Times New Roman" w:cs="Times New Roman"/>
                <w:lang w:val="en-US"/>
              </w:rPr>
              <w:t>Projektą</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kuriame</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numatyta</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nugriauti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apleistus</w:t>
            </w:r>
            <w:proofErr w:type="spellEnd"/>
            <w:r w:rsidRPr="000C66B8">
              <w:rPr>
                <w:rFonts w:ascii="Times New Roman" w:hAnsi="Times New Roman" w:cs="Times New Roman"/>
                <w:lang w:val="en-US"/>
              </w:rPr>
              <w:t xml:space="preserve"> / </w:t>
            </w:r>
            <w:proofErr w:type="spellStart"/>
            <w:r w:rsidRPr="000C66B8">
              <w:rPr>
                <w:rFonts w:ascii="Times New Roman" w:hAnsi="Times New Roman" w:cs="Times New Roman"/>
                <w:lang w:val="en-US"/>
              </w:rPr>
              <w:t>avarinius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pastatus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ir</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išvalyti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teritoriją</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atnaujinti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buvusį</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karinį</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miestelį</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Visagine</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ir</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pritaikyti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kompleksą</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inovatyviai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pramonei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plėtoti</w:t>
            </w:r>
            <w:proofErr w:type="spellEnd"/>
            <w:r w:rsidRPr="000C66B8">
              <w:rPr>
                <w:rFonts w:ascii="Times New Roman" w:hAnsi="Times New Roman" w:cs="Times New Roman"/>
                <w:lang w:val="en-US"/>
              </w:rPr>
              <w:t>, t.</w:t>
            </w:r>
            <w:r>
              <w:rPr>
                <w:rFonts w:ascii="Times New Roman" w:hAnsi="Times New Roman" w:cs="Times New Roman"/>
                <w:lang w:val="en-US"/>
              </w:rPr>
              <w:t xml:space="preserve"> </w:t>
            </w:r>
            <w:r w:rsidRPr="000C66B8">
              <w:rPr>
                <w:rFonts w:ascii="Times New Roman" w:hAnsi="Times New Roman" w:cs="Times New Roman"/>
                <w:lang w:val="en-US"/>
              </w:rPr>
              <w:t xml:space="preserve">y. </w:t>
            </w:r>
            <w:proofErr w:type="spellStart"/>
            <w:r w:rsidRPr="000C66B8">
              <w:rPr>
                <w:rFonts w:ascii="Times New Roman" w:hAnsi="Times New Roman" w:cs="Times New Roman"/>
                <w:lang w:val="en-US"/>
              </w:rPr>
              <w:t>įkurti</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pramonės</w:t>
            </w:r>
            <w:proofErr w:type="spellEnd"/>
            <w:r w:rsidRPr="000C66B8">
              <w:rPr>
                <w:rFonts w:ascii="Times New Roman" w:hAnsi="Times New Roman" w:cs="Times New Roman"/>
                <w:lang w:val="en-US"/>
              </w:rPr>
              <w:t xml:space="preserve"> </w:t>
            </w:r>
            <w:r w:rsidRPr="000C66B8">
              <w:rPr>
                <w:rFonts w:ascii="Times New Roman" w:hAnsi="Times New Roman" w:cs="Times New Roman"/>
              </w:rPr>
              <w:t>parką „</w:t>
            </w:r>
            <w:proofErr w:type="spellStart"/>
            <w:r w:rsidRPr="000C66B8">
              <w:rPr>
                <w:rFonts w:ascii="Times New Roman" w:hAnsi="Times New Roman" w:cs="Times New Roman"/>
              </w:rPr>
              <w:t>Smart</w:t>
            </w:r>
            <w:proofErr w:type="spellEnd"/>
            <w:r w:rsidRPr="000C66B8">
              <w:rPr>
                <w:rFonts w:ascii="Times New Roman" w:hAnsi="Times New Roman" w:cs="Times New Roman"/>
              </w:rPr>
              <w:t xml:space="preserve"> </w:t>
            </w:r>
            <w:proofErr w:type="spellStart"/>
            <w:r w:rsidRPr="000C66B8">
              <w:rPr>
                <w:rFonts w:ascii="Times New Roman" w:hAnsi="Times New Roman" w:cs="Times New Roman"/>
              </w:rPr>
              <w:t>Park</w:t>
            </w:r>
            <w:proofErr w:type="spellEnd"/>
            <w:r w:rsidRPr="000C66B8">
              <w:rPr>
                <w:rFonts w:ascii="Times New Roman" w:hAnsi="Times New Roman" w:cs="Times New Roman"/>
              </w:rPr>
              <w:t>“ (preliminarus ES finansinės paramos poreikis – 1448 tūkst. eurų),  įtraukti į ES finansinės paramos lėšomis finansuojamų valstybės projektų sąrašus</w:t>
            </w:r>
            <w:r w:rsidRPr="000C66B8">
              <w:rPr>
                <w:rFonts w:ascii="Times New Roman" w:hAnsi="Times New Roman" w:cs="Times New Roman"/>
                <w:lang w:val="en-US"/>
              </w:rPr>
              <w:t xml:space="preserve"> </w:t>
            </w:r>
          </w:p>
        </w:tc>
      </w:tr>
      <w:tr w:rsidR="004C3730" w:rsidTr="004C3730">
        <w:tc>
          <w:tcPr>
            <w:tcW w:w="821" w:type="dxa"/>
            <w:vMerge/>
          </w:tcPr>
          <w:p w:rsidR="004C3730" w:rsidRPr="000C66B8" w:rsidRDefault="004C3730" w:rsidP="004C3730">
            <w:pPr>
              <w:rPr>
                <w:rFonts w:ascii="Times New Roman" w:hAnsi="Times New Roman" w:cs="Times New Roman"/>
                <w:lang w:val="en-US"/>
              </w:rPr>
            </w:pPr>
          </w:p>
        </w:tc>
        <w:tc>
          <w:tcPr>
            <w:tcW w:w="11991" w:type="dxa"/>
            <w:shd w:val="clear" w:color="auto" w:fill="FFFFFF" w:themeFill="background1"/>
          </w:tcPr>
          <w:p w:rsidR="004C3730" w:rsidRPr="002F1240" w:rsidRDefault="004C3730" w:rsidP="00273ABC">
            <w:pPr>
              <w:jc w:val="both"/>
              <w:rPr>
                <w:rFonts w:ascii="Times New Roman" w:hAnsi="Times New Roman" w:cs="Times New Roman"/>
              </w:rPr>
            </w:pPr>
            <w:r w:rsidRPr="00273ABC">
              <w:rPr>
                <w:rFonts w:ascii="Times New Roman" w:hAnsi="Times New Roman" w:cs="Times New Roman"/>
                <w:color w:val="000000" w:themeColor="text1"/>
              </w:rPr>
              <w:t>Projektas (veiksmas) įtrauktas į VRM patvirtintą Utenos regiono integr</w:t>
            </w:r>
            <w:r w:rsidR="007F6A19" w:rsidRPr="00273ABC">
              <w:rPr>
                <w:rFonts w:ascii="Times New Roman" w:hAnsi="Times New Roman" w:cs="Times New Roman"/>
                <w:color w:val="000000" w:themeColor="text1"/>
              </w:rPr>
              <w:t>uotą teritorijų vystymo program</w:t>
            </w:r>
            <w:r w:rsidR="00273ABC" w:rsidRPr="00273ABC">
              <w:rPr>
                <w:rFonts w:ascii="Times New Roman" w:hAnsi="Times New Roman" w:cs="Times New Roman"/>
                <w:color w:val="000000" w:themeColor="text1"/>
              </w:rPr>
              <w:t xml:space="preserve">ą ir </w:t>
            </w:r>
            <w:r w:rsidR="002F1240" w:rsidRPr="00273ABC">
              <w:rPr>
                <w:rFonts w:ascii="Times New Roman" w:hAnsi="Times New Roman" w:cs="Times New Roman"/>
                <w:color w:val="000000" w:themeColor="text1"/>
                <w:shd w:val="clear" w:color="auto" w:fill="FFFFFF"/>
              </w:rPr>
              <w:t xml:space="preserve">Vidaus reikalų ministerija skyrė finansavimą apleistos buvusio karinio miestelio teritorijos konversijos projektui įgyvendinti. Pertvarkytoje teritorijoje bus sukurtas kompleksas </w:t>
            </w:r>
            <w:proofErr w:type="spellStart"/>
            <w:r w:rsidR="002F1240" w:rsidRPr="00273ABC">
              <w:rPr>
                <w:rFonts w:ascii="Times New Roman" w:hAnsi="Times New Roman" w:cs="Times New Roman"/>
                <w:color w:val="000000" w:themeColor="text1"/>
                <w:shd w:val="clear" w:color="auto" w:fill="FFFFFF"/>
              </w:rPr>
              <w:t>inovatyviai</w:t>
            </w:r>
            <w:proofErr w:type="spellEnd"/>
            <w:r w:rsidR="002F1240" w:rsidRPr="00273ABC">
              <w:rPr>
                <w:rFonts w:ascii="Times New Roman" w:hAnsi="Times New Roman" w:cs="Times New Roman"/>
                <w:color w:val="000000" w:themeColor="text1"/>
                <w:shd w:val="clear" w:color="auto" w:fill="FFFFFF"/>
              </w:rPr>
              <w:t xml:space="preserve"> pramonei vystyti – </w:t>
            </w:r>
            <w:proofErr w:type="spellStart"/>
            <w:r w:rsidR="002F1240" w:rsidRPr="00273ABC">
              <w:rPr>
                <w:rFonts w:ascii="Times New Roman" w:hAnsi="Times New Roman" w:cs="Times New Roman"/>
                <w:color w:val="000000" w:themeColor="text1"/>
                <w:shd w:val="clear" w:color="auto" w:fill="FFFFFF"/>
              </w:rPr>
              <w:t>Smart</w:t>
            </w:r>
            <w:proofErr w:type="spellEnd"/>
            <w:r w:rsidR="002F1240" w:rsidRPr="00273ABC">
              <w:rPr>
                <w:rFonts w:ascii="Times New Roman" w:hAnsi="Times New Roman" w:cs="Times New Roman"/>
                <w:color w:val="000000" w:themeColor="text1"/>
                <w:shd w:val="clear" w:color="auto" w:fill="FFFFFF"/>
              </w:rPr>
              <w:t xml:space="preserve"> </w:t>
            </w:r>
            <w:proofErr w:type="spellStart"/>
            <w:r w:rsidR="002F1240" w:rsidRPr="00273ABC">
              <w:rPr>
                <w:rFonts w:ascii="Times New Roman" w:hAnsi="Times New Roman" w:cs="Times New Roman"/>
                <w:color w:val="000000" w:themeColor="text1"/>
                <w:shd w:val="clear" w:color="auto" w:fill="FFFFFF"/>
              </w:rPr>
              <w:t>Park</w:t>
            </w:r>
            <w:proofErr w:type="spellEnd"/>
            <w:r w:rsidR="002F1240" w:rsidRPr="00273ABC">
              <w:rPr>
                <w:rFonts w:ascii="Times New Roman" w:hAnsi="Times New Roman" w:cs="Times New Roman"/>
                <w:color w:val="000000" w:themeColor="text1"/>
                <w:shd w:val="clear" w:color="auto" w:fill="FFFFFF"/>
              </w:rPr>
              <w:t xml:space="preserve"> Visaginas. Projektą planuojama užbaigti š.m. spalio mėn. </w:t>
            </w:r>
          </w:p>
        </w:tc>
        <w:tc>
          <w:tcPr>
            <w:tcW w:w="2346" w:type="dxa"/>
            <w:shd w:val="clear" w:color="auto" w:fill="FFFFFF" w:themeFill="background1"/>
          </w:tcPr>
          <w:p w:rsidR="004C3730" w:rsidRPr="000C66B8" w:rsidRDefault="004C3730" w:rsidP="004C3730">
            <w:pPr>
              <w:jc w:val="center"/>
              <w:rPr>
                <w:rFonts w:ascii="Times New Roman" w:hAnsi="Times New Roman" w:cs="Times New Roman"/>
              </w:rPr>
            </w:pPr>
            <w:proofErr w:type="spellStart"/>
            <w:r w:rsidRPr="000C66B8">
              <w:rPr>
                <w:rFonts w:ascii="Times New Roman" w:hAnsi="Times New Roman" w:cs="Times New Roman"/>
                <w:lang w:val="en-US"/>
              </w:rPr>
              <w:t>Vidaus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reikalų</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ministerija</w:t>
            </w:r>
            <w:proofErr w:type="spellEnd"/>
          </w:p>
        </w:tc>
      </w:tr>
      <w:tr w:rsidR="004C3730" w:rsidTr="004C3730">
        <w:tc>
          <w:tcPr>
            <w:tcW w:w="821" w:type="dxa"/>
            <w:vMerge w:val="restart"/>
            <w:shd w:val="clear" w:color="auto" w:fill="FFFFFF" w:themeFill="background1"/>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lang w:val="en-US"/>
              </w:rPr>
              <w:t>1.3.2.</w:t>
            </w:r>
          </w:p>
        </w:tc>
        <w:tc>
          <w:tcPr>
            <w:tcW w:w="14337" w:type="dxa"/>
            <w:gridSpan w:val="2"/>
            <w:shd w:val="clear" w:color="auto" w:fill="FFFFCC"/>
          </w:tcPr>
          <w:p w:rsidR="004C3730" w:rsidRPr="000C66B8" w:rsidRDefault="004C3730" w:rsidP="004C3730">
            <w:pPr>
              <w:jc w:val="both"/>
              <w:rPr>
                <w:rFonts w:ascii="Times New Roman" w:hAnsi="Times New Roman" w:cs="Times New Roman"/>
                <w:lang w:val="en-US"/>
              </w:rPr>
            </w:pPr>
            <w:r w:rsidRPr="000C66B8">
              <w:rPr>
                <w:rFonts w:ascii="Times New Roman" w:hAnsi="Times New Roman" w:cs="Times New Roman"/>
              </w:rPr>
              <w:t>Projektą, skirtą investicijoms į kuriamo Visagino pramoninės parko „</w:t>
            </w:r>
            <w:proofErr w:type="spellStart"/>
            <w:r w:rsidRPr="000C66B8">
              <w:rPr>
                <w:rFonts w:ascii="Times New Roman" w:hAnsi="Times New Roman" w:cs="Times New Roman"/>
              </w:rPr>
              <w:t>Smart</w:t>
            </w:r>
            <w:proofErr w:type="spellEnd"/>
            <w:r w:rsidRPr="000C66B8">
              <w:rPr>
                <w:rFonts w:ascii="Times New Roman" w:hAnsi="Times New Roman" w:cs="Times New Roman"/>
              </w:rPr>
              <w:t xml:space="preserve"> </w:t>
            </w:r>
            <w:proofErr w:type="spellStart"/>
            <w:r w:rsidRPr="000C66B8">
              <w:rPr>
                <w:rFonts w:ascii="Times New Roman" w:hAnsi="Times New Roman" w:cs="Times New Roman"/>
              </w:rPr>
              <w:t>Park</w:t>
            </w:r>
            <w:proofErr w:type="spellEnd"/>
            <w:r w:rsidRPr="000C66B8">
              <w:rPr>
                <w:rFonts w:ascii="Times New Roman" w:hAnsi="Times New Roman" w:cs="Times New Roman"/>
              </w:rPr>
              <w:t>“ inžinierinius tinklus ir susisiekimo komunikacijas bei šio parko rinkodarą (preliminarus ES finansinės paramos poreikis – 1738 tūkst. eurų), įtraukti į ES finansinės paramos lėšomis finansuojamų valstybės projektų sąrašus</w:t>
            </w:r>
          </w:p>
        </w:tc>
      </w:tr>
      <w:tr w:rsidR="004C3730" w:rsidTr="004C3730">
        <w:tc>
          <w:tcPr>
            <w:tcW w:w="821" w:type="dxa"/>
            <w:vMerge/>
          </w:tcPr>
          <w:p w:rsidR="004C3730" w:rsidRPr="000C66B8" w:rsidRDefault="004C3730" w:rsidP="004C3730">
            <w:pPr>
              <w:rPr>
                <w:rFonts w:ascii="Times New Roman" w:hAnsi="Times New Roman" w:cs="Times New Roman"/>
                <w:lang w:val="en-US"/>
              </w:rPr>
            </w:pPr>
          </w:p>
        </w:tc>
        <w:tc>
          <w:tcPr>
            <w:tcW w:w="11991" w:type="dxa"/>
          </w:tcPr>
          <w:p w:rsidR="004C3730" w:rsidRPr="00223CCF" w:rsidRDefault="004C3730" w:rsidP="004C3730">
            <w:pPr>
              <w:jc w:val="both"/>
              <w:rPr>
                <w:rFonts w:ascii="Times New Roman" w:hAnsi="Times New Roman" w:cs="Times New Roman"/>
              </w:rPr>
            </w:pPr>
            <w:r w:rsidRPr="00223CCF">
              <w:rPr>
                <w:rFonts w:ascii="Times New Roman" w:hAnsi="Times New Roman" w:cs="Times New Roman"/>
              </w:rPr>
              <w:t>Priemonės „</w:t>
            </w:r>
            <w:proofErr w:type="spellStart"/>
            <w:r w:rsidRPr="00223CCF">
              <w:rPr>
                <w:rFonts w:ascii="Times New Roman" w:hAnsi="Times New Roman" w:cs="Times New Roman"/>
              </w:rPr>
              <w:t>SmartParkas</w:t>
            </w:r>
            <w:proofErr w:type="spellEnd"/>
            <w:r w:rsidRPr="00223CCF">
              <w:rPr>
                <w:rFonts w:ascii="Times New Roman" w:hAnsi="Times New Roman" w:cs="Times New Roman"/>
              </w:rPr>
              <w:t xml:space="preserve"> LT“ priemonių įgyvendinimo planas buvo pateiktas derinti Finansų ministerijai 2014 m. lapkričio 10 d. raštu Nr. (18.6-51)-3-5932. Kadangi priemonė „</w:t>
            </w:r>
            <w:proofErr w:type="spellStart"/>
            <w:r w:rsidRPr="00223CCF">
              <w:rPr>
                <w:rFonts w:ascii="Times New Roman" w:hAnsi="Times New Roman" w:cs="Times New Roman"/>
              </w:rPr>
              <w:t>SmartParkas</w:t>
            </w:r>
            <w:proofErr w:type="spellEnd"/>
            <w:r w:rsidRPr="00223CCF">
              <w:rPr>
                <w:rFonts w:ascii="Times New Roman" w:hAnsi="Times New Roman" w:cs="Times New Roman"/>
              </w:rPr>
              <w:t xml:space="preserve"> LT“ bus įgyvendinama pagal Veiksmų programos pirmąjį prioritetą, visi įgyvendinami projektai turi atitikti Sumanios specializacijos strategiją (</w:t>
            </w:r>
            <w:proofErr w:type="spellStart"/>
            <w:r w:rsidRPr="00223CCF">
              <w:rPr>
                <w:rFonts w:ascii="Times New Roman" w:hAnsi="Times New Roman" w:cs="Times New Roman"/>
              </w:rPr>
              <w:t>ex</w:t>
            </w:r>
            <w:proofErr w:type="spellEnd"/>
            <w:r w:rsidRPr="00223CCF">
              <w:rPr>
                <w:rFonts w:ascii="Times New Roman" w:hAnsi="Times New Roman" w:cs="Times New Roman"/>
              </w:rPr>
              <w:t xml:space="preserve"> </w:t>
            </w:r>
            <w:proofErr w:type="spellStart"/>
            <w:r w:rsidRPr="00223CCF">
              <w:rPr>
                <w:rFonts w:ascii="Times New Roman" w:hAnsi="Times New Roman" w:cs="Times New Roman"/>
              </w:rPr>
              <w:t>ante</w:t>
            </w:r>
            <w:proofErr w:type="spellEnd"/>
            <w:r w:rsidRPr="00223CCF">
              <w:rPr>
                <w:rFonts w:ascii="Times New Roman" w:hAnsi="Times New Roman" w:cs="Times New Roman"/>
              </w:rPr>
              <w:t xml:space="preserve"> sąlyga) ir įmonės, kurios įsikurs laisvosiose ekonominėse zonose (toliau – LEZ) arba pramonės parkuose, turės vykdyti mokslinių tyrimų, eksperimentinės plėtros ir inovacijų (toliau – MTEPI) veiklas. Kadangi Europos Komisija </w:t>
            </w:r>
            <w:proofErr w:type="spellStart"/>
            <w:r w:rsidRPr="00223CCF">
              <w:rPr>
                <w:rFonts w:ascii="Times New Roman" w:hAnsi="Times New Roman" w:cs="Times New Roman"/>
              </w:rPr>
              <w:t>ex</w:t>
            </w:r>
            <w:proofErr w:type="spellEnd"/>
            <w:r w:rsidRPr="00223CCF">
              <w:rPr>
                <w:rFonts w:ascii="Times New Roman" w:hAnsi="Times New Roman" w:cs="Times New Roman"/>
              </w:rPr>
              <w:t xml:space="preserve"> </w:t>
            </w:r>
            <w:proofErr w:type="spellStart"/>
            <w:r w:rsidRPr="00223CCF">
              <w:rPr>
                <w:rFonts w:ascii="Times New Roman" w:hAnsi="Times New Roman" w:cs="Times New Roman"/>
              </w:rPr>
              <w:t>ante</w:t>
            </w:r>
            <w:proofErr w:type="spellEnd"/>
            <w:r w:rsidRPr="00223CCF">
              <w:rPr>
                <w:rFonts w:ascii="Times New Roman" w:hAnsi="Times New Roman" w:cs="Times New Roman"/>
              </w:rPr>
              <w:t xml:space="preserve"> sąlygos įvykdymą, t. y. Sumanios specializacijos strategijos parengimą, patvirtino tik 2015 balandžio 21 d. raštu Nr. </w:t>
            </w:r>
            <w:proofErr w:type="spellStart"/>
            <w:r w:rsidRPr="00223CCF">
              <w:rPr>
                <w:rFonts w:ascii="Times New Roman" w:hAnsi="Times New Roman" w:cs="Times New Roman"/>
              </w:rPr>
              <w:t>Ares</w:t>
            </w:r>
            <w:proofErr w:type="spellEnd"/>
            <w:r w:rsidRPr="00223CCF">
              <w:rPr>
                <w:rFonts w:ascii="Times New Roman" w:hAnsi="Times New Roman" w:cs="Times New Roman"/>
              </w:rPr>
              <w:t xml:space="preserve"> (2015)1693979, klausimas dėl valstybės projektų sąrašo sudarymo nebuvo sprendžiamas. Atsižvelgiant į tai, kad nė vienas projektas pagal priemonę „</w:t>
            </w:r>
            <w:proofErr w:type="spellStart"/>
            <w:r w:rsidRPr="00223CCF">
              <w:rPr>
                <w:rFonts w:ascii="Times New Roman" w:hAnsi="Times New Roman" w:cs="Times New Roman"/>
              </w:rPr>
              <w:t>SmartParkas</w:t>
            </w:r>
            <w:proofErr w:type="spellEnd"/>
            <w:r w:rsidRPr="00223CCF">
              <w:rPr>
                <w:rFonts w:ascii="Times New Roman" w:hAnsi="Times New Roman" w:cs="Times New Roman"/>
              </w:rPr>
              <w:t xml:space="preserve"> LT“ negalės būti įtrauktas į valstybės projektų sąrašą, jei neatitiks Sumanios specializacijos strategijos, visiems LEZ ar pramonės parkų steigėjams, pretenduojantiems būti įtrauktiems į valstybės projektų sąrašą pagal priemonę „</w:t>
            </w:r>
            <w:proofErr w:type="spellStart"/>
            <w:r w:rsidRPr="00223CCF">
              <w:rPr>
                <w:rFonts w:ascii="Times New Roman" w:hAnsi="Times New Roman" w:cs="Times New Roman"/>
              </w:rPr>
              <w:t>SmartParkas</w:t>
            </w:r>
            <w:proofErr w:type="spellEnd"/>
            <w:r w:rsidRPr="00223CCF">
              <w:rPr>
                <w:rFonts w:ascii="Times New Roman" w:hAnsi="Times New Roman" w:cs="Times New Roman"/>
              </w:rPr>
              <w:t xml:space="preserve"> LT“</w:t>
            </w:r>
            <w:r w:rsidRPr="00223CCF">
              <w:rPr>
                <w:rFonts w:ascii="Times New Roman" w:hAnsi="Times New Roman" w:cs="Times New Roman"/>
                <w:bCs/>
              </w:rPr>
              <w:t>, bus pateiktas klausimynas, pagal kurį LEZ ar pramonės parkus įsteigę/ketinantys steigti subjektai turės pagrįsti tiek tai, kad įmonės, kurios ketina įsikurti LEZ ar pramonės parkuose, vykdys MTEPI veiklas, tiek šių veiklų atitikimą Sumanios specializacijos strategijai, t. y. reiks pateikti in</w:t>
            </w:r>
            <w:r w:rsidRPr="00223CCF">
              <w:rPr>
                <w:rFonts w:ascii="Times New Roman" w:hAnsi="Times New Roman" w:cs="Times New Roman"/>
              </w:rPr>
              <w:t>formaciją ar duomenis, pagrindžiančius prielaidą, kad kuriant ar plėtojant LEZ ir pramonės parkų infrastruktūrą, pavyks pritraukti būtent MTEPI veiklas vykdančias įmones, įvardyti įmones, kurios domisi galimybėmis įsikurti planuojamose LEZ ir pramonės parkuose, pateikti vertinimus, apklausas, paaiškinimus, kaip bus užtikrinta, kad sukurta infrastruktūra naudosis tik tos įmonės, kurios veikia sumanios specializacijos srityje ir pan.</w:t>
            </w:r>
          </w:p>
          <w:p w:rsidR="00223CCF" w:rsidRPr="000C66B8" w:rsidRDefault="00223CCF" w:rsidP="004C3730">
            <w:pPr>
              <w:jc w:val="both"/>
              <w:rPr>
                <w:rFonts w:ascii="Times New Roman" w:hAnsi="Times New Roman" w:cs="Times New Roman"/>
                <w:lang w:val="en-US"/>
              </w:rPr>
            </w:pPr>
            <w:r w:rsidRPr="00273ABC">
              <w:rPr>
                <w:rFonts w:ascii="Times New Roman" w:hAnsi="Times New Roman" w:cs="Times New Roman"/>
                <w:color w:val="000000" w:themeColor="text1"/>
              </w:rPr>
              <w:t>Apie įgyvendinimą vėlesniais metais informacija nepateikta</w:t>
            </w:r>
          </w:p>
        </w:tc>
        <w:tc>
          <w:tcPr>
            <w:tcW w:w="2346" w:type="dxa"/>
          </w:tcPr>
          <w:p w:rsidR="004C3730" w:rsidRPr="000C66B8" w:rsidRDefault="004C3730" w:rsidP="004C3730">
            <w:pPr>
              <w:jc w:val="center"/>
              <w:rPr>
                <w:rFonts w:ascii="Times New Roman" w:hAnsi="Times New Roman" w:cs="Times New Roman"/>
                <w:lang w:val="en-US"/>
              </w:rPr>
            </w:pPr>
            <w:r w:rsidRPr="000C66B8">
              <w:rPr>
                <w:rFonts w:ascii="Times New Roman" w:hAnsi="Times New Roman" w:cs="Times New Roman"/>
              </w:rPr>
              <w:t>Ūkio ministerija</w:t>
            </w:r>
          </w:p>
        </w:tc>
      </w:tr>
      <w:tr w:rsidR="004C3730" w:rsidTr="004C3730">
        <w:tc>
          <w:tcPr>
            <w:tcW w:w="821" w:type="dxa"/>
            <w:vMerge w:val="restart"/>
            <w:shd w:val="clear" w:color="auto" w:fill="FFFFFF" w:themeFill="background1"/>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lang w:val="en-US"/>
              </w:rPr>
              <w:t>1.3.3.</w:t>
            </w:r>
          </w:p>
        </w:tc>
        <w:tc>
          <w:tcPr>
            <w:tcW w:w="14337" w:type="dxa"/>
            <w:gridSpan w:val="2"/>
            <w:shd w:val="clear" w:color="auto" w:fill="FFFFCC"/>
          </w:tcPr>
          <w:p w:rsidR="004C3730" w:rsidRPr="000C66B8" w:rsidRDefault="004C3730" w:rsidP="004C3730">
            <w:pPr>
              <w:jc w:val="both"/>
              <w:rPr>
                <w:rFonts w:ascii="Times New Roman" w:hAnsi="Times New Roman" w:cs="Times New Roman"/>
                <w:lang w:val="en-US"/>
              </w:rPr>
            </w:pPr>
            <w:r w:rsidRPr="000C66B8">
              <w:rPr>
                <w:rFonts w:ascii="Times New Roman" w:hAnsi="Times New Roman" w:cs="Times New Roman"/>
              </w:rPr>
              <w:t>Finansuoti UAB Energetikos tyrimų centro (atviros prieigos centro) veiklas, susijusias su moksliniais tyrimais ir jų komercinio pritaikymo skatinimu (su sąlyga, kad tokioms veikloms reikalinga pagrindinė infrastruktūra bus sukurta įgyvendinus Vidaus reikalų ministerijos ir Ūkio ministerijos remiamus projektus)</w:t>
            </w:r>
          </w:p>
        </w:tc>
      </w:tr>
      <w:tr w:rsidR="004C3730" w:rsidTr="004C3730">
        <w:tc>
          <w:tcPr>
            <w:tcW w:w="821" w:type="dxa"/>
            <w:vMerge/>
          </w:tcPr>
          <w:p w:rsidR="004C3730" w:rsidRPr="000C66B8" w:rsidRDefault="004C3730" w:rsidP="004C3730">
            <w:pPr>
              <w:rPr>
                <w:rFonts w:ascii="Times New Roman" w:hAnsi="Times New Roman" w:cs="Times New Roman"/>
                <w:lang w:val="en-US"/>
              </w:rPr>
            </w:pPr>
          </w:p>
        </w:tc>
        <w:tc>
          <w:tcPr>
            <w:tcW w:w="11991" w:type="dxa"/>
          </w:tcPr>
          <w:p w:rsidR="00A11E6D" w:rsidRPr="000C66B8" w:rsidRDefault="00273ABC" w:rsidP="004C3730">
            <w:pPr>
              <w:rPr>
                <w:rFonts w:ascii="Times New Roman" w:hAnsi="Times New Roman" w:cs="Times New Roman"/>
                <w:lang w:val="en-US"/>
              </w:rPr>
            </w:pPr>
            <w:proofErr w:type="spellStart"/>
            <w:r>
              <w:rPr>
                <w:rFonts w:ascii="Times New Roman" w:hAnsi="Times New Roman" w:cs="Times New Roman"/>
                <w:lang w:val="en-US"/>
              </w:rPr>
              <w:t>Informacija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nepateikta</w:t>
            </w:r>
            <w:proofErr w:type="spellEnd"/>
          </w:p>
        </w:tc>
        <w:tc>
          <w:tcPr>
            <w:tcW w:w="2346" w:type="dxa"/>
          </w:tcPr>
          <w:p w:rsidR="004C3730" w:rsidRPr="000C66B8" w:rsidRDefault="004C3730" w:rsidP="004C3730">
            <w:pPr>
              <w:jc w:val="center"/>
              <w:rPr>
                <w:rFonts w:ascii="Times New Roman" w:hAnsi="Times New Roman" w:cs="Times New Roman"/>
                <w:lang w:val="en-US"/>
              </w:rPr>
            </w:pPr>
            <w:r w:rsidRPr="000C66B8">
              <w:rPr>
                <w:rFonts w:ascii="Times New Roman" w:hAnsi="Times New Roman" w:cs="Times New Roman"/>
              </w:rPr>
              <w:t>Švietimo ir mokslo ministerija</w:t>
            </w:r>
          </w:p>
        </w:tc>
      </w:tr>
      <w:tr w:rsidR="004C3730" w:rsidTr="004C3730">
        <w:tc>
          <w:tcPr>
            <w:tcW w:w="821" w:type="dxa"/>
            <w:vMerge w:val="restart"/>
            <w:shd w:val="clear" w:color="auto" w:fill="FFFFFF" w:themeFill="background1"/>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lang w:val="en-US"/>
              </w:rPr>
              <w:t>1.4.1.</w:t>
            </w:r>
          </w:p>
        </w:tc>
        <w:tc>
          <w:tcPr>
            <w:tcW w:w="14337" w:type="dxa"/>
            <w:gridSpan w:val="2"/>
            <w:shd w:val="clear" w:color="auto" w:fill="FFFFCC"/>
          </w:tcPr>
          <w:p w:rsidR="004C3730" w:rsidRPr="000C66B8" w:rsidRDefault="004C3730" w:rsidP="004C3730">
            <w:pPr>
              <w:jc w:val="both"/>
              <w:rPr>
                <w:rFonts w:ascii="Times New Roman" w:hAnsi="Times New Roman" w:cs="Times New Roman"/>
                <w:lang w:val="en-US"/>
              </w:rPr>
            </w:pPr>
            <w:r w:rsidRPr="000C66B8">
              <w:rPr>
                <w:rFonts w:ascii="Times New Roman" w:hAnsi="Times New Roman" w:cs="Times New Roman"/>
              </w:rPr>
              <w:t xml:space="preserve">Pasiūlyti įtraukti į ES finansinės paramos lėšomis finansuojamų valstybės projektų sąrašus projektus, skirtus pritaikyti lankymui Dieveniškių istorinį regioninį parką (preliminarus ES finansinės paramos poreikis – 403 tūkst. eurų) ir atnaujinti Lentvario miesto Eduardo </w:t>
            </w:r>
            <w:proofErr w:type="spellStart"/>
            <w:r w:rsidRPr="000C66B8">
              <w:rPr>
                <w:rFonts w:ascii="Times New Roman" w:hAnsi="Times New Roman" w:cs="Times New Roman"/>
              </w:rPr>
              <w:t>Andrė</w:t>
            </w:r>
            <w:proofErr w:type="spellEnd"/>
            <w:r w:rsidRPr="000C66B8">
              <w:rPr>
                <w:rFonts w:ascii="Times New Roman" w:hAnsi="Times New Roman" w:cs="Times New Roman"/>
              </w:rPr>
              <w:t xml:space="preserve"> parką (preliminarus ES finansinės paramos poreikis – 782 tūkst. eurų), prireikus patikslin</w:t>
            </w:r>
            <w:r>
              <w:rPr>
                <w:rFonts w:ascii="Times New Roman" w:hAnsi="Times New Roman" w:cs="Times New Roman"/>
              </w:rPr>
              <w:t>ti</w:t>
            </w:r>
            <w:r w:rsidRPr="000C66B8">
              <w:rPr>
                <w:rFonts w:ascii="Times New Roman" w:hAnsi="Times New Roman" w:cs="Times New Roman"/>
              </w:rPr>
              <w:t xml:space="preserve"> ir nacionalinius strateginius dokumentus</w:t>
            </w:r>
          </w:p>
        </w:tc>
      </w:tr>
      <w:tr w:rsidR="004C3730" w:rsidTr="004C3730">
        <w:tc>
          <w:tcPr>
            <w:tcW w:w="821" w:type="dxa"/>
            <w:vMerge/>
          </w:tcPr>
          <w:p w:rsidR="004C3730" w:rsidRPr="000C66B8" w:rsidRDefault="004C3730" w:rsidP="004C3730">
            <w:pPr>
              <w:rPr>
                <w:rFonts w:ascii="Times New Roman" w:hAnsi="Times New Roman" w:cs="Times New Roman"/>
                <w:lang w:val="en-US"/>
              </w:rPr>
            </w:pPr>
          </w:p>
        </w:tc>
        <w:tc>
          <w:tcPr>
            <w:tcW w:w="11991" w:type="dxa"/>
          </w:tcPr>
          <w:p w:rsidR="0063746A" w:rsidRPr="00BF6596" w:rsidRDefault="00C75E46" w:rsidP="004C3730">
            <w:pPr>
              <w:jc w:val="both"/>
              <w:rPr>
                <w:rFonts w:ascii="Times New Roman" w:hAnsi="Times New Roman" w:cs="Times New Roman"/>
                <w:color w:val="000000" w:themeColor="text1"/>
              </w:rPr>
            </w:pPr>
            <w:r w:rsidRPr="00BF6596">
              <w:rPr>
                <w:rFonts w:ascii="Times New Roman" w:hAnsi="Times New Roman" w:cs="Times New Roman"/>
                <w:color w:val="000000" w:themeColor="text1"/>
              </w:rPr>
              <w:t xml:space="preserve">Aplinkos ministerija </w:t>
            </w:r>
            <w:r w:rsidR="0063746A" w:rsidRPr="00BF6596">
              <w:rPr>
                <w:rFonts w:ascii="Times New Roman" w:hAnsi="Times New Roman" w:cs="Times New Roman"/>
                <w:color w:val="000000" w:themeColor="text1"/>
              </w:rPr>
              <w:t xml:space="preserve">informuoja, kad Trakų rajono savivaldybės Lentvario miesto Eduardo </w:t>
            </w:r>
            <w:proofErr w:type="spellStart"/>
            <w:r w:rsidR="0063746A" w:rsidRPr="00BF6596">
              <w:rPr>
                <w:rFonts w:ascii="Times New Roman" w:hAnsi="Times New Roman" w:cs="Times New Roman"/>
                <w:color w:val="000000" w:themeColor="text1"/>
              </w:rPr>
              <w:t>Andrė</w:t>
            </w:r>
            <w:proofErr w:type="spellEnd"/>
            <w:r w:rsidR="0063746A" w:rsidRPr="00BF6596">
              <w:rPr>
                <w:rFonts w:ascii="Times New Roman" w:hAnsi="Times New Roman" w:cs="Times New Roman"/>
                <w:color w:val="000000" w:themeColor="text1"/>
              </w:rPr>
              <w:t xml:space="preserve"> projektuoto parko teritorijoms, taip pat kito</w:t>
            </w:r>
            <w:r w:rsidR="00273ABC" w:rsidRPr="00BF6596">
              <w:rPr>
                <w:rFonts w:ascii="Times New Roman" w:hAnsi="Times New Roman" w:cs="Times New Roman"/>
                <w:color w:val="000000" w:themeColor="text1"/>
              </w:rPr>
              <w:t>m</w:t>
            </w:r>
            <w:r w:rsidR="0063746A" w:rsidRPr="00BF6596">
              <w:rPr>
                <w:rFonts w:ascii="Times New Roman" w:hAnsi="Times New Roman" w:cs="Times New Roman"/>
                <w:color w:val="000000" w:themeColor="text1"/>
              </w:rPr>
              <w:t>s teritorijoms, patenkančioms į gamtinį karkasą, tvarkyti, projektinius pasiūlymus galės teikti Vilniaus regiono plėtros tarybai pagal 201</w:t>
            </w:r>
            <w:r w:rsidR="00223CCF" w:rsidRPr="00BF6596">
              <w:rPr>
                <w:rFonts w:ascii="Times New Roman" w:hAnsi="Times New Roman" w:cs="Times New Roman"/>
                <w:color w:val="000000" w:themeColor="text1"/>
              </w:rPr>
              <w:t>4-2020 m. E</w:t>
            </w:r>
            <w:r w:rsidR="0063746A" w:rsidRPr="00BF6596">
              <w:rPr>
                <w:rFonts w:ascii="Times New Roman" w:hAnsi="Times New Roman" w:cs="Times New Roman"/>
                <w:color w:val="000000" w:themeColor="text1"/>
              </w:rPr>
              <w:t>uropos Sąjungos investicijų veiksmų programos 5 prioriteto „Aplinkosauga, gamtos išteklių darbus naudojimas ir prisitaikymas prie klimato kaitos“ priemonę Nr. 05.5.1-APVA-R-019 „Kraštovaizdžio apsauga“</w:t>
            </w:r>
            <w:r w:rsidR="00273ABC" w:rsidRPr="00BF6596">
              <w:rPr>
                <w:rFonts w:ascii="Times New Roman" w:hAnsi="Times New Roman" w:cs="Times New Roman"/>
                <w:color w:val="000000" w:themeColor="text1"/>
              </w:rPr>
              <w:t>.</w:t>
            </w:r>
          </w:p>
          <w:p w:rsidR="00C75E46" w:rsidRPr="00BF6596" w:rsidRDefault="00C75E46" w:rsidP="004C3730">
            <w:pPr>
              <w:jc w:val="both"/>
              <w:rPr>
                <w:rFonts w:ascii="Times New Roman" w:hAnsi="Times New Roman" w:cs="Times New Roman"/>
                <w:color w:val="000000" w:themeColor="text1"/>
              </w:rPr>
            </w:pPr>
            <w:r w:rsidRPr="00BF6596">
              <w:rPr>
                <w:rFonts w:ascii="Times New Roman" w:hAnsi="Times New Roman" w:cs="Times New Roman"/>
                <w:color w:val="000000" w:themeColor="text1"/>
              </w:rPr>
              <w:t>Dieveniškių istorinio regioninio parko pritaikymo lankymui veiklos bus finansuojamos įgyvendinant saugomų teritorijų tvarkymo projektus iš 2014-2020 metų Europos Sąjungos fondų investicijų veiksmų programos 5 prioriteto „Aplinkosauga, gamtos išteklių darnus naudojimas ir pr</w:t>
            </w:r>
            <w:r w:rsidR="0063746A" w:rsidRPr="00BF6596">
              <w:rPr>
                <w:rFonts w:ascii="Times New Roman" w:hAnsi="Times New Roman" w:cs="Times New Roman"/>
                <w:color w:val="000000" w:themeColor="text1"/>
              </w:rPr>
              <w:t>isitaikymas prie klimato kaitos“ priemonės Nr. 05.4.1-APVA-V-016 „Saugomų teritorijų ir valstybės reikšmės parkų tvarkymas, pritaikant lankymui“.</w:t>
            </w:r>
          </w:p>
          <w:p w:rsidR="004C3730" w:rsidRPr="00BF6596" w:rsidRDefault="004C3730" w:rsidP="004C3730">
            <w:pPr>
              <w:jc w:val="both"/>
              <w:rPr>
                <w:rFonts w:ascii="Times New Roman" w:hAnsi="Times New Roman" w:cs="Times New Roman"/>
                <w:color w:val="000000" w:themeColor="text1"/>
              </w:rPr>
            </w:pPr>
            <w:r w:rsidRPr="00BF6596">
              <w:rPr>
                <w:rFonts w:ascii="Times New Roman" w:hAnsi="Times New Roman" w:cs="Times New Roman"/>
                <w:color w:val="000000" w:themeColor="text1"/>
              </w:rPr>
              <w:t>Dėl priemonių Dieveniškių istoriniame regioniniame parke. Europos Sąjungos lėšomis Valstybinė saugomų teritorijų tarnyba prie Aplinkos ministerijos Dieveniškių istoriniame regioniniame parke planuoja atlikti šiuos darbus:</w:t>
            </w:r>
          </w:p>
          <w:p w:rsidR="004C3730" w:rsidRPr="00BF6596" w:rsidRDefault="004C3730" w:rsidP="004C3730">
            <w:pPr>
              <w:numPr>
                <w:ilvl w:val="0"/>
                <w:numId w:val="1"/>
              </w:numPr>
              <w:jc w:val="both"/>
              <w:rPr>
                <w:rFonts w:ascii="Times New Roman" w:hAnsi="Times New Roman" w:cs="Times New Roman"/>
                <w:color w:val="000000" w:themeColor="text1"/>
              </w:rPr>
            </w:pPr>
            <w:r w:rsidRPr="00BF6596">
              <w:rPr>
                <w:rFonts w:ascii="Times New Roman" w:hAnsi="Times New Roman" w:cs="Times New Roman"/>
                <w:color w:val="000000" w:themeColor="text1"/>
              </w:rPr>
              <w:t xml:space="preserve">Sutvarkyti </w:t>
            </w:r>
            <w:proofErr w:type="spellStart"/>
            <w:r w:rsidRPr="00BF6596">
              <w:rPr>
                <w:rFonts w:ascii="Times New Roman" w:hAnsi="Times New Roman" w:cs="Times New Roman"/>
                <w:color w:val="000000" w:themeColor="text1"/>
              </w:rPr>
              <w:t>Stakų</w:t>
            </w:r>
            <w:proofErr w:type="spellEnd"/>
            <w:r w:rsidRPr="00BF6596">
              <w:rPr>
                <w:rFonts w:ascii="Times New Roman" w:hAnsi="Times New Roman" w:cs="Times New Roman"/>
                <w:color w:val="000000" w:themeColor="text1"/>
              </w:rPr>
              <w:t xml:space="preserve"> konglomeratą (paveldo objektas) ir jo aplinką (planuojama darbų kaina iki 30 tūkst. </w:t>
            </w:r>
            <w:proofErr w:type="spellStart"/>
            <w:r w:rsidRPr="00BF6596">
              <w:rPr>
                <w:rFonts w:ascii="Times New Roman" w:hAnsi="Times New Roman" w:cs="Times New Roman"/>
                <w:color w:val="000000" w:themeColor="text1"/>
              </w:rPr>
              <w:t>Eur</w:t>
            </w:r>
            <w:proofErr w:type="spellEnd"/>
            <w:r w:rsidRPr="00BF6596">
              <w:rPr>
                <w:rFonts w:ascii="Times New Roman" w:hAnsi="Times New Roman" w:cs="Times New Roman"/>
                <w:color w:val="000000" w:themeColor="text1"/>
              </w:rPr>
              <w:t>);</w:t>
            </w:r>
          </w:p>
          <w:p w:rsidR="004C3730" w:rsidRPr="00BF6596" w:rsidRDefault="004C3730" w:rsidP="004C3730">
            <w:pPr>
              <w:numPr>
                <w:ilvl w:val="0"/>
                <w:numId w:val="1"/>
              </w:numPr>
              <w:jc w:val="both"/>
              <w:rPr>
                <w:rFonts w:ascii="Times New Roman" w:hAnsi="Times New Roman" w:cs="Times New Roman"/>
                <w:color w:val="000000" w:themeColor="text1"/>
              </w:rPr>
            </w:pPr>
            <w:r w:rsidRPr="00BF6596">
              <w:rPr>
                <w:rFonts w:ascii="Times New Roman" w:hAnsi="Times New Roman" w:cs="Times New Roman"/>
                <w:color w:val="000000" w:themeColor="text1"/>
              </w:rPr>
              <w:t xml:space="preserve">Sutvarkyti </w:t>
            </w:r>
            <w:proofErr w:type="spellStart"/>
            <w:r w:rsidRPr="00BF6596">
              <w:rPr>
                <w:rFonts w:ascii="Times New Roman" w:hAnsi="Times New Roman" w:cs="Times New Roman"/>
                <w:color w:val="000000" w:themeColor="text1"/>
              </w:rPr>
              <w:t>Rimašių</w:t>
            </w:r>
            <w:proofErr w:type="spellEnd"/>
            <w:r w:rsidRPr="00BF6596">
              <w:rPr>
                <w:rFonts w:ascii="Times New Roman" w:hAnsi="Times New Roman" w:cs="Times New Roman"/>
                <w:color w:val="000000" w:themeColor="text1"/>
              </w:rPr>
              <w:t xml:space="preserve">, </w:t>
            </w:r>
            <w:proofErr w:type="spellStart"/>
            <w:r w:rsidRPr="00BF6596">
              <w:rPr>
                <w:rFonts w:ascii="Times New Roman" w:hAnsi="Times New Roman" w:cs="Times New Roman"/>
                <w:color w:val="000000" w:themeColor="text1"/>
              </w:rPr>
              <w:t>Žižmų</w:t>
            </w:r>
            <w:proofErr w:type="spellEnd"/>
            <w:r w:rsidRPr="00BF6596">
              <w:rPr>
                <w:rFonts w:ascii="Times New Roman" w:hAnsi="Times New Roman" w:cs="Times New Roman"/>
                <w:color w:val="000000" w:themeColor="text1"/>
              </w:rPr>
              <w:t xml:space="preserve"> ir kitų etnokultūrinių kaimų mažosios architektūros elementus (tvoras, gatvės prieigas, kryžius, kt. Atsižvelgiant į tai, kokius darbus bus leidžiama finansuoti) (planuojama darbų kaina iki 231 tūkst. </w:t>
            </w:r>
            <w:proofErr w:type="spellStart"/>
            <w:r w:rsidRPr="00BF6596">
              <w:rPr>
                <w:rFonts w:ascii="Times New Roman" w:hAnsi="Times New Roman" w:cs="Times New Roman"/>
                <w:color w:val="000000" w:themeColor="text1"/>
              </w:rPr>
              <w:t>Eur</w:t>
            </w:r>
            <w:proofErr w:type="spellEnd"/>
            <w:r w:rsidRPr="00BF6596">
              <w:rPr>
                <w:rFonts w:ascii="Times New Roman" w:hAnsi="Times New Roman" w:cs="Times New Roman"/>
                <w:color w:val="000000" w:themeColor="text1"/>
              </w:rPr>
              <w:t>);</w:t>
            </w:r>
          </w:p>
          <w:p w:rsidR="004C3730" w:rsidRPr="00BF6596" w:rsidRDefault="004C3730" w:rsidP="004C3730">
            <w:pPr>
              <w:numPr>
                <w:ilvl w:val="0"/>
                <w:numId w:val="1"/>
              </w:numPr>
              <w:jc w:val="both"/>
              <w:rPr>
                <w:rFonts w:ascii="Times New Roman" w:hAnsi="Times New Roman" w:cs="Times New Roman"/>
                <w:color w:val="000000" w:themeColor="text1"/>
              </w:rPr>
            </w:pPr>
            <w:r w:rsidRPr="00BF6596">
              <w:rPr>
                <w:rFonts w:ascii="Times New Roman" w:hAnsi="Times New Roman" w:cs="Times New Roman"/>
                <w:color w:val="000000" w:themeColor="text1"/>
              </w:rPr>
              <w:t xml:space="preserve">Įrengti pėsčiųjų pažintinį taką, pastatyti tiltelį pėstiesiems </w:t>
            </w:r>
            <w:proofErr w:type="spellStart"/>
            <w:r w:rsidRPr="00BF6596">
              <w:rPr>
                <w:rFonts w:ascii="Times New Roman" w:hAnsi="Times New Roman" w:cs="Times New Roman"/>
                <w:color w:val="000000" w:themeColor="text1"/>
              </w:rPr>
              <w:t>Rimašių</w:t>
            </w:r>
            <w:proofErr w:type="spellEnd"/>
            <w:r w:rsidRPr="00BF6596">
              <w:rPr>
                <w:rFonts w:ascii="Times New Roman" w:hAnsi="Times New Roman" w:cs="Times New Roman"/>
                <w:color w:val="000000" w:themeColor="text1"/>
              </w:rPr>
              <w:t xml:space="preserve"> kaime (planuojama darbų kaina apie 144 tūkst. </w:t>
            </w:r>
            <w:proofErr w:type="spellStart"/>
            <w:r w:rsidRPr="00BF6596">
              <w:rPr>
                <w:rFonts w:ascii="Times New Roman" w:hAnsi="Times New Roman" w:cs="Times New Roman"/>
                <w:color w:val="000000" w:themeColor="text1"/>
              </w:rPr>
              <w:t>Eur</w:t>
            </w:r>
            <w:proofErr w:type="spellEnd"/>
            <w:r w:rsidRPr="00BF6596">
              <w:rPr>
                <w:rFonts w:ascii="Times New Roman" w:hAnsi="Times New Roman" w:cs="Times New Roman"/>
                <w:color w:val="000000" w:themeColor="text1"/>
              </w:rPr>
              <w:t>);</w:t>
            </w:r>
          </w:p>
          <w:p w:rsidR="004C3730" w:rsidRPr="00BF6596" w:rsidRDefault="004C3730" w:rsidP="004C3730">
            <w:pPr>
              <w:numPr>
                <w:ilvl w:val="0"/>
                <w:numId w:val="1"/>
              </w:numPr>
              <w:jc w:val="both"/>
              <w:rPr>
                <w:rFonts w:ascii="Times New Roman" w:hAnsi="Times New Roman" w:cs="Times New Roman"/>
                <w:color w:val="000000" w:themeColor="text1"/>
              </w:rPr>
            </w:pPr>
            <w:r w:rsidRPr="00BF6596">
              <w:rPr>
                <w:rFonts w:ascii="Times New Roman" w:hAnsi="Times New Roman" w:cs="Times New Roman"/>
                <w:color w:val="000000" w:themeColor="text1"/>
              </w:rPr>
              <w:t xml:space="preserve">Išplėtoti lauko informacinę sistemą (planuojama darbų kaina apie 30 tūkst. </w:t>
            </w:r>
            <w:proofErr w:type="spellStart"/>
            <w:r w:rsidRPr="00BF6596">
              <w:rPr>
                <w:rFonts w:ascii="Times New Roman" w:hAnsi="Times New Roman" w:cs="Times New Roman"/>
                <w:color w:val="000000" w:themeColor="text1"/>
              </w:rPr>
              <w:t>Eur</w:t>
            </w:r>
            <w:proofErr w:type="spellEnd"/>
            <w:r w:rsidRPr="00BF6596">
              <w:rPr>
                <w:rFonts w:ascii="Times New Roman" w:hAnsi="Times New Roman" w:cs="Times New Roman"/>
                <w:color w:val="000000" w:themeColor="text1"/>
              </w:rPr>
              <w:t>);</w:t>
            </w:r>
          </w:p>
          <w:p w:rsidR="004C3730" w:rsidRPr="00BF6596" w:rsidRDefault="004C3730" w:rsidP="004C3730">
            <w:pPr>
              <w:numPr>
                <w:ilvl w:val="0"/>
                <w:numId w:val="1"/>
              </w:numPr>
              <w:jc w:val="both"/>
              <w:rPr>
                <w:rFonts w:ascii="Times New Roman" w:hAnsi="Times New Roman" w:cs="Times New Roman"/>
                <w:color w:val="000000" w:themeColor="text1"/>
              </w:rPr>
            </w:pPr>
            <w:r w:rsidRPr="00BF6596">
              <w:rPr>
                <w:rFonts w:ascii="Times New Roman" w:hAnsi="Times New Roman" w:cs="Times New Roman"/>
                <w:color w:val="000000" w:themeColor="text1"/>
              </w:rPr>
              <w:t>Įrengti lauko ekspoziciją, skirtą Dieveniškių šnektos tyrimams ir propagavimui (tema preliminari, gali keistis, darbų kaina dar nežinoma).</w:t>
            </w:r>
          </w:p>
          <w:p w:rsidR="004C3730" w:rsidRPr="00BF6596" w:rsidRDefault="004C3730" w:rsidP="004C3730">
            <w:pPr>
              <w:jc w:val="both"/>
              <w:rPr>
                <w:rFonts w:ascii="Times New Roman" w:hAnsi="Times New Roman" w:cs="Times New Roman"/>
                <w:color w:val="000000" w:themeColor="text1"/>
                <w:highlight w:val="red"/>
              </w:rPr>
            </w:pPr>
            <w:r w:rsidRPr="00BF6596">
              <w:rPr>
                <w:rFonts w:ascii="Times New Roman" w:hAnsi="Times New Roman" w:cs="Times New Roman"/>
                <w:color w:val="000000" w:themeColor="text1"/>
              </w:rPr>
              <w:t xml:space="preserve">Atsižvelgiant į tai, kokius darbus bus galima finansuoti Europos Sąjungos lėšomis, planuojami darbai gali keistis. </w:t>
            </w:r>
          </w:p>
        </w:tc>
        <w:tc>
          <w:tcPr>
            <w:tcW w:w="2346" w:type="dxa"/>
            <w:shd w:val="clear" w:color="auto" w:fill="FFFFFF" w:themeFill="background1"/>
            <w:vAlign w:val="center"/>
          </w:tcPr>
          <w:p w:rsidR="004C3730" w:rsidRPr="000C66B8" w:rsidRDefault="004C3730" w:rsidP="004C3730">
            <w:pPr>
              <w:jc w:val="center"/>
              <w:rPr>
                <w:rFonts w:ascii="Times New Roman" w:hAnsi="Times New Roman" w:cs="Times New Roman"/>
                <w:lang w:val="en-US"/>
              </w:rPr>
            </w:pPr>
            <w:proofErr w:type="spellStart"/>
            <w:r w:rsidRPr="000C66B8">
              <w:rPr>
                <w:rFonts w:ascii="Times New Roman" w:hAnsi="Times New Roman" w:cs="Times New Roman"/>
                <w:lang w:val="en-US"/>
              </w:rPr>
              <w:t>Aplinkos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ministerija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pavaldžia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institucija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Valstybine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saugomų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teritorijų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tarnyba</w:t>
            </w:r>
            <w:proofErr w:type="spellEnd"/>
            <w:r>
              <w:rPr>
                <w:rFonts w:ascii="Times New Roman" w:hAnsi="Times New Roman" w:cs="Times New Roman"/>
                <w:lang w:val="en-US"/>
              </w:rPr>
              <w:t>)</w:t>
            </w:r>
          </w:p>
          <w:p w:rsidR="004C3730" w:rsidRPr="000C66B8" w:rsidRDefault="004C3730" w:rsidP="004C3730">
            <w:pPr>
              <w:jc w:val="center"/>
              <w:rPr>
                <w:rFonts w:ascii="Times New Roman" w:hAnsi="Times New Roman" w:cs="Times New Roman"/>
                <w:lang w:val="en-US"/>
              </w:rPr>
            </w:pPr>
          </w:p>
        </w:tc>
      </w:tr>
      <w:tr w:rsidR="004C3730" w:rsidTr="004C3730">
        <w:trPr>
          <w:trHeight w:val="562"/>
        </w:trPr>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lang w:val="en-US"/>
              </w:rPr>
            </w:pPr>
            <w:r w:rsidRPr="00F205D8">
              <w:rPr>
                <w:rFonts w:ascii="Times New Roman" w:hAnsi="Times New Roman" w:cs="Times New Roman"/>
                <w:color w:val="000000" w:themeColor="text1"/>
                <w:lang w:val="en-US"/>
              </w:rPr>
              <w:t>1.4.2.</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lang w:val="en-US"/>
              </w:rPr>
            </w:pPr>
            <w:r w:rsidRPr="00F205D8">
              <w:rPr>
                <w:rFonts w:ascii="Times New Roman" w:hAnsi="Times New Roman" w:cs="Times New Roman"/>
                <w:color w:val="000000" w:themeColor="text1"/>
              </w:rPr>
              <w:t xml:space="preserve">sutvarkyti Kalesninkų ir </w:t>
            </w:r>
            <w:proofErr w:type="spellStart"/>
            <w:r w:rsidRPr="00F205D8">
              <w:rPr>
                <w:rFonts w:ascii="Times New Roman" w:hAnsi="Times New Roman" w:cs="Times New Roman"/>
                <w:color w:val="000000" w:themeColor="text1"/>
              </w:rPr>
              <w:t>Tausiūnų</w:t>
            </w:r>
            <w:proofErr w:type="spellEnd"/>
            <w:r w:rsidRPr="00F205D8">
              <w:rPr>
                <w:rFonts w:ascii="Times New Roman" w:hAnsi="Times New Roman" w:cs="Times New Roman"/>
                <w:color w:val="000000" w:themeColor="text1"/>
              </w:rPr>
              <w:t xml:space="preserve"> kaimų pažeistą ir galimai užterštą teritoriją (preliminarus lėšų poreikis – 811 tūkst. eurų) – pasiūlyti savivaldybei pasinaudoti ES finansinės paramos valstybine priemone Nr. 05.6.7-APVA-V-020 „Užterštų teritorijų tvarkymas“ ir regionine priemone Nr. 05.5.1.-APVA-R-019 „Kraštovaizdžio apsauga“, išnaudoti pavasarines talkas „Darom“</w:t>
            </w:r>
          </w:p>
        </w:tc>
      </w:tr>
      <w:tr w:rsidR="004C3730" w:rsidTr="004C3730">
        <w:tc>
          <w:tcPr>
            <w:tcW w:w="821" w:type="dxa"/>
            <w:vMerge/>
          </w:tcPr>
          <w:p w:rsidR="004C3730" w:rsidRPr="000C66B8" w:rsidRDefault="004C3730" w:rsidP="004C3730">
            <w:pPr>
              <w:rPr>
                <w:rFonts w:ascii="Times New Roman" w:hAnsi="Times New Roman" w:cs="Times New Roman"/>
                <w:lang w:val="en-US"/>
              </w:rPr>
            </w:pPr>
          </w:p>
        </w:tc>
        <w:tc>
          <w:tcPr>
            <w:tcW w:w="11991" w:type="dxa"/>
          </w:tcPr>
          <w:p w:rsidR="004C3730" w:rsidRPr="000C66B8" w:rsidRDefault="00223CCF" w:rsidP="004C3730">
            <w:pPr>
              <w:jc w:val="both"/>
              <w:rPr>
                <w:rFonts w:ascii="Times New Roman" w:hAnsi="Times New Roman" w:cs="Times New Roman"/>
                <w:lang w:val="en-US"/>
              </w:rPr>
            </w:pPr>
            <w:proofErr w:type="spellStart"/>
            <w:r w:rsidRPr="00BF6BB5">
              <w:rPr>
                <w:rFonts w:ascii="Times New Roman" w:hAnsi="Times New Roman" w:cs="Times New Roman"/>
                <w:color w:val="000000" w:themeColor="text1"/>
                <w:lang w:val="en-US"/>
              </w:rPr>
              <w:t>Sąvartynai</w:t>
            </w:r>
            <w:proofErr w:type="spellEnd"/>
            <w:r w:rsidRPr="00BF6BB5">
              <w:rPr>
                <w:rFonts w:ascii="Times New Roman" w:hAnsi="Times New Roman" w:cs="Times New Roman"/>
                <w:color w:val="000000" w:themeColor="text1"/>
                <w:lang w:val="en-US"/>
              </w:rPr>
              <w:t xml:space="preserve"> </w:t>
            </w:r>
            <w:proofErr w:type="spellStart"/>
            <w:r w:rsidRPr="00BF6BB5">
              <w:rPr>
                <w:rFonts w:ascii="Times New Roman" w:hAnsi="Times New Roman" w:cs="Times New Roman"/>
                <w:color w:val="000000" w:themeColor="text1"/>
                <w:lang w:val="en-US"/>
              </w:rPr>
              <w:t>likviduoti</w:t>
            </w:r>
            <w:proofErr w:type="spellEnd"/>
            <w:r w:rsidRPr="00BF6BB5">
              <w:rPr>
                <w:rFonts w:ascii="Times New Roman" w:hAnsi="Times New Roman" w:cs="Times New Roman"/>
                <w:color w:val="000000" w:themeColor="text1"/>
                <w:lang w:val="en-US"/>
              </w:rPr>
              <w:t>.</w:t>
            </w:r>
          </w:p>
        </w:tc>
        <w:tc>
          <w:tcPr>
            <w:tcW w:w="2346" w:type="dxa"/>
            <w:shd w:val="clear" w:color="auto" w:fill="FFFFFF" w:themeFill="background1"/>
            <w:vAlign w:val="center"/>
          </w:tcPr>
          <w:p w:rsidR="004C3730" w:rsidRPr="000C66B8" w:rsidRDefault="004C3730" w:rsidP="00F03E69">
            <w:pPr>
              <w:jc w:val="center"/>
              <w:rPr>
                <w:rFonts w:ascii="Times New Roman" w:hAnsi="Times New Roman" w:cs="Times New Roman"/>
                <w:lang w:val="en-US"/>
              </w:rPr>
            </w:pPr>
            <w:proofErr w:type="spellStart"/>
            <w:r w:rsidRPr="000C66B8">
              <w:rPr>
                <w:rFonts w:ascii="Times New Roman" w:hAnsi="Times New Roman" w:cs="Times New Roman"/>
                <w:lang w:val="en-US"/>
              </w:rPr>
              <w:t>Aplinkos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ministerija</w:t>
            </w:r>
            <w:proofErr w:type="spellEnd"/>
            <w:r>
              <w:rPr>
                <w:rFonts w:ascii="Times New Roman" w:hAnsi="Times New Roman" w:cs="Times New Roman"/>
                <w:lang w:val="en-US"/>
              </w:rPr>
              <w:t xml:space="preserve"> </w:t>
            </w:r>
          </w:p>
        </w:tc>
      </w:tr>
      <w:tr w:rsidR="004C3730" w:rsidTr="004C3730">
        <w:tc>
          <w:tcPr>
            <w:tcW w:w="821" w:type="dxa"/>
            <w:vMerge w:val="restart"/>
            <w:shd w:val="clear" w:color="auto" w:fill="FFFFFF" w:themeFill="background1"/>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lang w:val="en-US"/>
              </w:rPr>
              <w:t>1.4.3.</w:t>
            </w:r>
          </w:p>
        </w:tc>
        <w:tc>
          <w:tcPr>
            <w:tcW w:w="14337" w:type="dxa"/>
            <w:gridSpan w:val="2"/>
            <w:shd w:val="clear" w:color="auto" w:fill="FFFFCC"/>
          </w:tcPr>
          <w:p w:rsidR="004C3730" w:rsidRPr="000C66B8" w:rsidRDefault="004C3730" w:rsidP="004C3730">
            <w:pPr>
              <w:jc w:val="both"/>
              <w:rPr>
                <w:rFonts w:ascii="Times New Roman" w:hAnsi="Times New Roman" w:cs="Times New Roman"/>
                <w:lang w:val="en-US"/>
              </w:rPr>
            </w:pPr>
            <w:r w:rsidRPr="000C66B8">
              <w:rPr>
                <w:rFonts w:ascii="Times New Roman" w:hAnsi="Times New Roman" w:cs="Times New Roman"/>
              </w:rPr>
              <w:t xml:space="preserve">Pasiūlyti įvertinti </w:t>
            </w:r>
            <w:r>
              <w:rPr>
                <w:rFonts w:ascii="Times New Roman" w:hAnsi="Times New Roman" w:cs="Times New Roman"/>
              </w:rPr>
              <w:t>ban</w:t>
            </w:r>
            <w:r w:rsidRPr="000C66B8">
              <w:rPr>
                <w:rFonts w:ascii="Times New Roman" w:hAnsi="Times New Roman" w:cs="Times New Roman"/>
              </w:rPr>
              <w:t xml:space="preserve">domojo projekto, kuriame numatyta nugriauti apleistus (konservuotus) daugiabučius gyvenamuosius namus Visagine, Festivalio g. 5, 6, 8, 8A, </w:t>
            </w:r>
            <w:proofErr w:type="spellStart"/>
            <w:r w:rsidRPr="000C66B8">
              <w:rPr>
                <w:rFonts w:ascii="Times New Roman" w:hAnsi="Times New Roman" w:cs="Times New Roman"/>
              </w:rPr>
              <w:t>Sedulinos</w:t>
            </w:r>
            <w:proofErr w:type="spellEnd"/>
            <w:r w:rsidRPr="000C66B8">
              <w:rPr>
                <w:rFonts w:ascii="Times New Roman" w:hAnsi="Times New Roman" w:cs="Times New Roman"/>
              </w:rPr>
              <w:t xml:space="preserve"> al. 36, 40, Taikos pr. 7A, 7B, sutvarkyti aplinką ir pritaikyti ją</w:t>
            </w:r>
            <w:r>
              <w:rPr>
                <w:rFonts w:ascii="Times New Roman" w:hAnsi="Times New Roman" w:cs="Times New Roman"/>
              </w:rPr>
              <w:t xml:space="preserve"> individualiai gyvenama</w:t>
            </w:r>
            <w:r w:rsidRPr="000C66B8">
              <w:rPr>
                <w:rFonts w:ascii="Times New Roman" w:hAnsi="Times New Roman" w:cs="Times New Roman"/>
              </w:rPr>
              <w:t>jai statybai, verslo sektoriaus įsikūrimui ir viešųjų erdvių sukūrimui, finansavimo valstybės biudžeto ir ES finansinės paramos lėšomis galimybes</w:t>
            </w:r>
            <w:r>
              <w:rPr>
                <w:rFonts w:ascii="Times New Roman" w:hAnsi="Times New Roman" w:cs="Times New Roman"/>
              </w:rPr>
              <w:t xml:space="preserve"> </w:t>
            </w:r>
            <w:r w:rsidRPr="00CF7EBB">
              <w:rPr>
                <w:rFonts w:ascii="Times New Roman" w:hAnsi="Times New Roman" w:cs="Times New Roman"/>
              </w:rPr>
              <w:t>ir apie priimtą sprendimą pranešti Vyriausybei, Vidaus reikalų ministerijai ir Visagino savivaldybei</w:t>
            </w:r>
          </w:p>
        </w:tc>
      </w:tr>
      <w:tr w:rsidR="004C3730" w:rsidTr="004C3730">
        <w:tc>
          <w:tcPr>
            <w:tcW w:w="821" w:type="dxa"/>
            <w:vMerge/>
          </w:tcPr>
          <w:p w:rsidR="004C3730" w:rsidRPr="000C66B8" w:rsidRDefault="004C3730" w:rsidP="004C3730">
            <w:pPr>
              <w:rPr>
                <w:rFonts w:ascii="Times New Roman" w:hAnsi="Times New Roman" w:cs="Times New Roman"/>
                <w:lang w:val="en-US"/>
              </w:rPr>
            </w:pPr>
          </w:p>
        </w:tc>
        <w:tc>
          <w:tcPr>
            <w:tcW w:w="11991" w:type="dxa"/>
          </w:tcPr>
          <w:p w:rsidR="004C3730" w:rsidRDefault="004C3730" w:rsidP="004C3730">
            <w:pPr>
              <w:jc w:val="both"/>
              <w:rPr>
                <w:rFonts w:ascii="Times New Roman" w:hAnsi="Times New Roman" w:cs="Times New Roman"/>
                <w:bCs/>
              </w:rPr>
            </w:pPr>
            <w:r w:rsidRPr="00437E77">
              <w:rPr>
                <w:rFonts w:ascii="Times New Roman" w:hAnsi="Times New Roman" w:cs="Times New Roman"/>
              </w:rPr>
              <w:t xml:space="preserve">Aplinkos ministerija administruoja 2014–2020 m. priemonę </w:t>
            </w:r>
            <w:r w:rsidRPr="00437E77">
              <w:rPr>
                <w:rFonts w:ascii="Times New Roman" w:hAnsi="Times New Roman" w:cs="Times New Roman"/>
                <w:bCs/>
              </w:rPr>
              <w:t xml:space="preserve">05.5.1-APVA-R-019 „Kraštovaizdžio apsauga“, kurioje viena numatytų veiklų yra bešeimininkių pastatų likvidavimas. Tai regioninio planavimo priemonė ir Utenos regionas jai įgyvendinti gaus fiksuotą lėšų sumą. Jei pastatai Visagine Festivalio g. 5, 6, 8, 8A; </w:t>
            </w:r>
            <w:proofErr w:type="spellStart"/>
            <w:r w:rsidRPr="00437E77">
              <w:rPr>
                <w:rFonts w:ascii="Times New Roman" w:hAnsi="Times New Roman" w:cs="Times New Roman"/>
                <w:bCs/>
              </w:rPr>
              <w:t>Sedulinos</w:t>
            </w:r>
            <w:proofErr w:type="spellEnd"/>
            <w:r w:rsidRPr="00437E77">
              <w:rPr>
                <w:rFonts w:ascii="Times New Roman" w:hAnsi="Times New Roman" w:cs="Times New Roman"/>
                <w:bCs/>
              </w:rPr>
              <w:t xml:space="preserve"> al. 36, 40; Taikos pr. 7A, 7B yra bešeimininkiai, sprendimas dėl lėšų skyrimo jiems nugriauti turės būti priimtas regiono plėtros taryboje. </w:t>
            </w:r>
          </w:p>
          <w:p w:rsidR="004C3730" w:rsidRPr="00223CCF" w:rsidRDefault="00223CCF" w:rsidP="004C3730">
            <w:pPr>
              <w:jc w:val="both"/>
              <w:rPr>
                <w:rFonts w:ascii="Times New Roman" w:hAnsi="Times New Roman" w:cs="Times New Roman"/>
                <w:bCs/>
              </w:rPr>
            </w:pPr>
            <w:r w:rsidRPr="00BF6BB5">
              <w:rPr>
                <w:rFonts w:ascii="Times New Roman" w:hAnsi="Times New Roman" w:cs="Times New Roman"/>
                <w:color w:val="000000" w:themeColor="text1"/>
              </w:rPr>
              <w:t>Apie įgyvendinimą vėlesniais metais informacija nepateikta</w:t>
            </w:r>
          </w:p>
        </w:tc>
        <w:tc>
          <w:tcPr>
            <w:tcW w:w="2346" w:type="dxa"/>
            <w:shd w:val="clear" w:color="auto" w:fill="FFFFFF" w:themeFill="background1"/>
          </w:tcPr>
          <w:p w:rsidR="004C3730" w:rsidRPr="000C66B8" w:rsidRDefault="004C3730" w:rsidP="004C3730">
            <w:pPr>
              <w:jc w:val="center"/>
              <w:rPr>
                <w:rFonts w:ascii="Times New Roman" w:hAnsi="Times New Roman" w:cs="Times New Roman"/>
                <w:lang w:val="en-US"/>
              </w:rPr>
            </w:pPr>
            <w:proofErr w:type="spellStart"/>
            <w:r w:rsidRPr="000C66B8">
              <w:rPr>
                <w:rFonts w:ascii="Times New Roman" w:hAnsi="Times New Roman" w:cs="Times New Roman"/>
                <w:lang w:val="en-US"/>
              </w:rPr>
              <w:t>Aplinkos</w:t>
            </w:r>
            <w:proofErr w:type="spellEnd"/>
            <w:r w:rsidRPr="000C66B8">
              <w:rPr>
                <w:rFonts w:ascii="Times New Roman" w:hAnsi="Times New Roman" w:cs="Times New Roman"/>
                <w:lang w:val="en-US"/>
              </w:rPr>
              <w:t xml:space="preserve"> </w:t>
            </w:r>
            <w:proofErr w:type="spellStart"/>
            <w:r w:rsidRPr="000C66B8">
              <w:rPr>
                <w:rFonts w:ascii="Times New Roman" w:hAnsi="Times New Roman" w:cs="Times New Roman"/>
                <w:lang w:val="en-US"/>
              </w:rPr>
              <w:t>ministerija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pavaldžia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institucija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Valstybine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saugomų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teritorijų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tarnyba</w:t>
            </w:r>
            <w:proofErr w:type="spellEnd"/>
            <w:r>
              <w:rPr>
                <w:rFonts w:ascii="Times New Roman" w:hAnsi="Times New Roman" w:cs="Times New Roman"/>
                <w:lang w:val="en-US"/>
              </w:rPr>
              <w:t>)</w:t>
            </w:r>
          </w:p>
        </w:tc>
      </w:tr>
      <w:tr w:rsidR="004C3730" w:rsidTr="004C3730">
        <w:tc>
          <w:tcPr>
            <w:tcW w:w="821" w:type="dxa"/>
            <w:vMerge w:val="restart"/>
            <w:shd w:val="clear" w:color="auto" w:fill="FFFFFF" w:themeFill="background1"/>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lang w:val="en-US"/>
              </w:rPr>
              <w:t>1.4.4.</w:t>
            </w:r>
          </w:p>
        </w:tc>
        <w:tc>
          <w:tcPr>
            <w:tcW w:w="14337" w:type="dxa"/>
            <w:gridSpan w:val="2"/>
            <w:shd w:val="clear" w:color="auto" w:fill="FFFFCC"/>
          </w:tcPr>
          <w:p w:rsidR="004C3730" w:rsidRPr="000C66B8" w:rsidRDefault="004C3730" w:rsidP="004C3730">
            <w:pPr>
              <w:rPr>
                <w:rFonts w:ascii="Times New Roman" w:hAnsi="Times New Roman" w:cs="Times New Roman"/>
                <w:lang w:val="en-US"/>
              </w:rPr>
            </w:pPr>
            <w:r w:rsidRPr="000C66B8">
              <w:rPr>
                <w:rFonts w:ascii="Times New Roman" w:hAnsi="Times New Roman" w:cs="Times New Roman"/>
              </w:rPr>
              <w:t>Pasiūlyti Visagine ir Ignalinos atominės elektrinės regione, taip pat Vilniaus, Šalčininkų, Švenčionių bei Trakų rajono savivaldybėse įgyvendinamiems viešųjų pastatų ir da</w:t>
            </w:r>
            <w:r>
              <w:rPr>
                <w:rFonts w:ascii="Times New Roman" w:hAnsi="Times New Roman" w:cs="Times New Roman"/>
              </w:rPr>
              <w:t>ugiabučių gyvenamųjų namų energ</w:t>
            </w:r>
            <w:r w:rsidRPr="000C66B8">
              <w:rPr>
                <w:rFonts w:ascii="Times New Roman" w:hAnsi="Times New Roman" w:cs="Times New Roman"/>
              </w:rPr>
              <w:t>inio efektyvumo didinimo projektams iki 2020 m. taikyti ne mažesnę kaip 40 proc. negrąžintinų subsidijų dalį</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lang w:val="en-US"/>
              </w:rPr>
            </w:pPr>
          </w:p>
        </w:tc>
        <w:tc>
          <w:tcPr>
            <w:tcW w:w="11991" w:type="dxa"/>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Valstybės paramos daugiabučiams namams atnaujinti (modernizuoti) teikimo sąlygos ir tvarka reglamentuota Lietuvos Respublikos valstybės paramos daugiabučiams namams atnaujinti (modernizuoti) įstatyme. Pagal šio įstatymo 3 straipsnio 1 dalį butų ir kitų patalpų savininkams, įgyvendinantiems atnaujinimo (modernizavimo) projektą pagal Vyriausybės patvirtintą daugiabučių namų atnaujinimo (modernizavimo) programą ar ją atitinkančias savivaldybių programas suteikiamas lengvatinis kreditas atnaujinimo (modernizavimo) projektui finansuoti, padengiama ne mažiau kaip 50 procentų (iki 2015 m. spalio 1 d. 100 procentų) išlaidų atnaujinimo (modernizavimo) projektui parengti, jo įgyvendinimui administruoti ir statybos techninei priežiūrai vykdyti, valstybės biudžeto lėšomis kompensuojama 15 procentų investicijų, tenkančių </w:t>
            </w:r>
            <w:bookmarkStart w:id="0" w:name="OLE_LINK2"/>
            <w:bookmarkStart w:id="1" w:name="OLE_LINK1"/>
            <w:r w:rsidRPr="00F205D8">
              <w:rPr>
                <w:rFonts w:ascii="Times New Roman" w:hAnsi="Times New Roman" w:cs="Times New Roman"/>
                <w:color w:val="000000" w:themeColor="text1"/>
              </w:rPr>
              <w:t>energinį efektyvumą didinančioms priemonėms</w:t>
            </w:r>
            <w:bookmarkEnd w:id="0"/>
            <w:bookmarkEnd w:id="1"/>
            <w:r w:rsidRPr="00F205D8">
              <w:rPr>
                <w:rFonts w:ascii="Times New Roman" w:hAnsi="Times New Roman" w:cs="Times New Roman"/>
                <w:color w:val="000000" w:themeColor="text1"/>
              </w:rPr>
              <w:t>, jeigu pasiekiama ne mažesnė kaip D pastato energinio naudingumo klasė ir skaičiuojamosios šilumos energijos sąnaudos sumažinamos ne mažiau kaip 20 procentų, teikiama papildoma parama Klimato kaitos specialiosios programos lėšomis Vyriausybės nustatytais terminais kompensuojant ne mažiau kaip 25 procentų investicijų dalį energinį efektyvumą didinančioms priemonėms.</w:t>
            </w:r>
          </w:p>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Atsižvelgiant į ilgalaikes Klimato kaitos programos finansavimo galimybes, papildomos valstybės paramos teikimo sąlygos ir terminai nustatyti Lietuvos Respublikos Vyriausybės 2009 m. gruodžio 16 d. nutarimo Nr. 1725 „Dėl </w:t>
            </w:r>
            <w:bookmarkStart w:id="2" w:name="OLE_LINK3"/>
            <w:bookmarkStart w:id="3" w:name="OLE_LINK6"/>
            <w:bookmarkStart w:id="4" w:name="OLE_LINK5"/>
            <w:r w:rsidRPr="00F205D8">
              <w:rPr>
                <w:rFonts w:ascii="Times New Roman" w:hAnsi="Times New Roman" w:cs="Times New Roman"/>
                <w:color w:val="000000" w:themeColor="text1"/>
              </w:rPr>
              <w:t>Valstybės paramos daugiabučiams namams atnaujinti (modernizuoti) teikimo ir daugiabučių namų atnaujinimo (modernizavimo) projektų įgyvendinimo priežiūros taisyklių</w:t>
            </w:r>
            <w:bookmarkEnd w:id="2"/>
            <w:bookmarkEnd w:id="3"/>
            <w:bookmarkEnd w:id="4"/>
            <w:r w:rsidRPr="00F205D8">
              <w:rPr>
                <w:rFonts w:ascii="Times New Roman" w:hAnsi="Times New Roman" w:cs="Times New Roman"/>
                <w:color w:val="000000" w:themeColor="text1"/>
              </w:rPr>
              <w:t xml:space="preserve"> patvirtinimo ir daugiabučio namo atnaujinimo (modernizavimo) projektui įgyvendinti skirto kaupiamojo įnašo ir (ar) kitų įmokų didžiausios mėnesinės įmokos nustatymo“. Papildoma valstybės parama kompensuojant 25 procentus investicijų teikiama, jeigu statybos rangos darbų sutartis atnaujinimo (modernizavimo) projektui įgyvendinti sudaryta iki 2014 m. gruodžio 31 d. ir šis projektas įgyvendintas iki 2015 m. spalio 1 d. arba jeigu statybos rangos darbų sutartis projektui įgyvendinti sudaryta nuo 2015 m. sausio 1 d. iki 2015 m. kovo 31 d. ir šis projektas įgyvendintas iki 2016 m. liepos 1 dienos. Įgyvendinus šias sąlygas butų ir kitų patalpų savininkams kompensuojama 40 procentų energinį efektyvumą didinančių investicijų. Jeigu šios sąlygos neįvykdomos, papildoma valstybės parama mažinama 5 procentais.</w:t>
            </w:r>
          </w:p>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Šios valstybės paramos teikimo sąlygos vienodos visiems daugiabučių namų butų ir kitų patalpų savininkams, įgyvendinantiems projektus pagal minėtą programą. Šios sąlygos nediskriminuoja regionų, kuriuose gausiai gyvena tautinių mažumų atstovai. Be to, palyginti su kitomis Europos šalimis, valstybės parama daugiabučių namų atnaujinimui yra labai didelė, todėl diferencijuoti pagal vietoves nenumatoma. </w:t>
            </w:r>
          </w:p>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Dėl viešųjų pastatų energinio efektyvumo didinimo projektų subsidijavimo paaiškiname, kad Lietuvos Respublikos Vyriausybės 2014 m. lapkričio 26 d. nutarimu Nr. 1328 patvirtinta Viešųjų pastatų energinio efektyvumo didinimo programa. Programos įgyvendinimą pagal kompetenciją koordinuoja ir kontroliuoja Energetikos ministerija, kuri atsakinga už valstybės viešųjų pastatų energinio efektyvumo didinimą ir Aplinkos ministerija, kuri atsakinga už savivaldybės viešųjų pastatų energinio efektyvumo didinimą. Programa finansuojama valstybės biudžeto, savivaldybių biudžetų, Europos Sąjungos struktūrinių fondų, tarptautinių organizacijų, privačių investuotojų ir kitų šaltinių lėšomis. Atkreipiame dėmesį, kad pagal šią programą įgyvendinamiems viešųjų pastatų energinio efektyvumo didinimo projektams finansuoti Finansų ministerija rengia finansinę inžinerijos priemonę numatydama teikti subsidijas.</w:t>
            </w:r>
          </w:p>
          <w:p w:rsidR="00223CCF" w:rsidRPr="00F205D8" w:rsidRDefault="00223CCF" w:rsidP="004C3730">
            <w:pPr>
              <w:jc w:val="both"/>
              <w:rPr>
                <w:rFonts w:ascii="Times New Roman" w:hAnsi="Times New Roman" w:cs="Times New Roman"/>
                <w:color w:val="000000" w:themeColor="text1"/>
                <w:lang w:val="en-US"/>
              </w:rPr>
            </w:pPr>
            <w:r w:rsidRPr="00F205D8">
              <w:rPr>
                <w:rFonts w:ascii="Times New Roman" w:hAnsi="Times New Roman" w:cs="Times New Roman"/>
                <w:color w:val="000000" w:themeColor="text1"/>
              </w:rPr>
              <w:t>Apie įgyvendinimą vėlesniais metais informacija nepateikta</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lang w:val="en-US"/>
              </w:rPr>
            </w:pPr>
            <w:proofErr w:type="spellStart"/>
            <w:r w:rsidRPr="00F205D8">
              <w:rPr>
                <w:rFonts w:ascii="Times New Roman" w:hAnsi="Times New Roman" w:cs="Times New Roman"/>
                <w:color w:val="000000" w:themeColor="text1"/>
                <w:lang w:val="en-US"/>
              </w:rPr>
              <w:t>Aplinkos</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ministerija</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kartu</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su</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pavaldžia</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institucija</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Valstybine</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saugomų</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teritorijų</w:t>
            </w:r>
            <w:proofErr w:type="spellEnd"/>
            <w:r w:rsidRPr="00F205D8">
              <w:rPr>
                <w:rFonts w:ascii="Times New Roman" w:hAnsi="Times New Roman" w:cs="Times New Roman"/>
                <w:color w:val="000000" w:themeColor="text1"/>
                <w:lang w:val="en-US"/>
              </w:rPr>
              <w:t xml:space="preserve"> </w:t>
            </w:r>
            <w:proofErr w:type="spellStart"/>
            <w:r w:rsidRPr="00F205D8">
              <w:rPr>
                <w:rFonts w:ascii="Times New Roman" w:hAnsi="Times New Roman" w:cs="Times New Roman"/>
                <w:color w:val="000000" w:themeColor="text1"/>
                <w:lang w:val="en-US"/>
              </w:rPr>
              <w:t>tarnyba</w:t>
            </w:r>
            <w:proofErr w:type="spellEnd"/>
            <w:r w:rsidRPr="00F205D8">
              <w:rPr>
                <w:rFonts w:ascii="Times New Roman" w:hAnsi="Times New Roman" w:cs="Times New Roman"/>
                <w:color w:val="000000" w:themeColor="text1"/>
                <w:lang w:val="en-US"/>
              </w:rPr>
              <w:t>)</w:t>
            </w: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1.5.1.</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Pasiūlyti parengti atskirą valstybės projektų planavimo būdu įgyvendinamą ir ES lėšomis finansuojamą priemonę, skirtą mokyti tautinėms mažumoms priklausančius asmenis valstybinės kalbos </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Atskira valstybės projektų planavimo būdu įgyvendinamą ir ES lėšomis finansuojamą priemonę, skirtą mokyti tautinėms mažumoms priklausančius asmenis valstybinės kalbos, neparengta, tačiau valstybinės kalbos mokymams bus skirta priemonės Nr. 09.4.2-ESFA-V-715 „Formaliojo ir neformaliojo mokymo paslaugų įvairioms besimokančiųjų grupėms teikimas“ lėšų dalis.</w:t>
            </w:r>
          </w:p>
          <w:p w:rsidR="00223CCF" w:rsidRPr="00F205D8" w:rsidRDefault="00223CCF" w:rsidP="004C3730">
            <w:pP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Apie įgyvendinimą vėlesniais metais informacija nepateikta</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Švietimo ir mokslo ministerija</w:t>
            </w: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1.5.2.</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Pasiūlyti modernizuoti Dieveniškių technologijų ir verslo mokyklos materialinę ir mokymo bazę – pritaikyti ją darbo jėgos perkvalifikavimui</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Projektas „Dieveniškių technologijų ir verslo mokyklos materialinės ir mokymo bazės atnaujinimas, pritaikant ją darbo jėgos perkvalifikavimui“ numatytas Vilniaus regiono integruotoje vystymo programoje. Programos projektas suderintas su ŠMM (be pastabų).</w:t>
            </w:r>
          </w:p>
          <w:p w:rsidR="00223CCF" w:rsidRPr="00F205D8" w:rsidRDefault="00223CCF"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Apie įgyvendinimą vėlesniais metais informacija nepateikta</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Švietimo ir mokslo ministerija</w:t>
            </w: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1.6.1.</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Iki 2015 m. sausio 31 d. pateikti Vidaus reikalų ministerijai ir savivaldybėms duomenis apie kelių infrastruktūros būklę (dangos tipą ir nusidėvėjimo lygį) intensyvaus eismo (daugiau kaip 300 automobilių per parą) valstybinės reikšmės (krašto ir rajoniniuose) keliuose, esančiuose tautinių mažumų gausiai gyvenamame regione. Paaiškėjus, kad infrastruktūra išvystyta prasčiau nei vidutiniškai šalyje, Susisiekimo ministerija kartu su Vidaus reikalų ministerija ir savivaldybėmis turės sudaryti  kompensacinių priemonių (projektų) sąrašą, leisiantį iki 2020 m. pašalinti skirtumus (t.y. bus skirtas preliminariai  10 proc. didesnis negu vidutinis šalyje finansavimas, kuris iki 2020 m. padės užtikrinti intensyvaus eismo kelių būklę, ne blogesnę negu vidutinė šalyje). Šias priemones (projektus) Susisiekimo ministerija įtrauks į Kelių priežiūros ir plėtros programą</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6D4E91"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Infrastrukt</w:t>
            </w:r>
            <w:r w:rsidR="00223CCF" w:rsidRPr="00F205D8">
              <w:rPr>
                <w:rFonts w:ascii="Times New Roman" w:hAnsi="Times New Roman" w:cs="Times New Roman"/>
                <w:color w:val="000000" w:themeColor="text1"/>
              </w:rPr>
              <w:t>ūros būklė įvertinta 2015 metais.</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Susisiekimo ministerija</w:t>
            </w:r>
          </w:p>
          <w:p w:rsidR="004C3730" w:rsidRPr="00F205D8" w:rsidRDefault="004C3730" w:rsidP="004C3730">
            <w:pPr>
              <w:jc w:val="center"/>
              <w:rPr>
                <w:rFonts w:ascii="Times New Roman" w:hAnsi="Times New Roman" w:cs="Times New Roman"/>
                <w:color w:val="000000" w:themeColor="text1"/>
              </w:rPr>
            </w:pP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1.6.2.</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Įvertinti papildomus Kelių priežiūros ir plėtros programos asignavimų paskirstymo kriterijus (demografinį gyvybingumą, ekonominio aktyvumo pokyčius ir kitas socialines ir ekonomines charakteristikas, būdingas tautinių mažumų gausiai gyvenamoms teritorijoms) ir jais remiantis padidinti skiriamus asignavimus (preliminariai – 10 proc. laikotarpiui iki 2020 metų) vietinės reikšmės keliams (gatvėms) tiesti, taisyti (remontuoti) ir prižiūrėti tautinių mažumų gausiai gyvenamame regione apie priimtą sprendimą informuoti Vyriausybę, Vidaus reikalų ministeriją ir savivaldybes</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E04C4" w:rsidP="004E04C4">
            <w:pPr>
              <w:pStyle w:val="Pagrindinistekstas"/>
              <w:jc w:val="both"/>
              <w:rPr>
                <w:rFonts w:ascii="Times New Roman" w:hAnsi="Times New Roman" w:cs="Times New Roman"/>
                <w:color w:val="000000" w:themeColor="text1"/>
              </w:rPr>
            </w:pPr>
            <w:r w:rsidRPr="00F205D8">
              <w:rPr>
                <w:rFonts w:ascii="Times New Roman" w:hAnsi="Times New Roman" w:cs="Times New Roman"/>
                <w:color w:val="000000" w:themeColor="text1"/>
              </w:rPr>
              <w:t>Kelių priežiūros ir plėtros programos (toliau – programa) lėšos skiriamos ir naudojamos vadovaujantis Kelių priežiūros ir plėtros programos finansavimo lėšų naudojimo tvarkos aprašu (toliau – tvarkos aprašas). Nuo 2018 m. numatyta skirti papildomų programos rezervo lėšų savivaldybių, kuriose gausiai gyvena tautinių mažumų atstovai, projektams finansuoti. Papildomų programos rezervo lėšų suma galėtų būti iki 10 procentų programos skaičiuojamųjų lėšų, skiriamų atitinkamai savivaldybei.</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Susisiekimo ministerija</w:t>
            </w: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1.6.3.</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Įtraukti į ES finansinės paramos lėšomis finansuojamų valstybės projektų sąrašą projektą, skirtą Lentvario geležinkelio pervažos statybai (preliminarus ES finansinės paramos poreikis – 12 598 tūkst. tūkst. eurų)</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E04C4" w:rsidP="004E04C4">
            <w:pPr>
              <w:pStyle w:val="Pagrindinistekstas"/>
              <w:jc w:val="both"/>
              <w:rPr>
                <w:rFonts w:ascii="Times New Roman" w:hAnsi="Times New Roman" w:cs="Times New Roman"/>
                <w:color w:val="000000" w:themeColor="text1"/>
              </w:rPr>
            </w:pPr>
            <w:r w:rsidRPr="00F205D8">
              <w:rPr>
                <w:rFonts w:ascii="Times New Roman" w:hAnsi="Times New Roman" w:cs="Times New Roman"/>
                <w:color w:val="000000" w:themeColor="text1"/>
              </w:rPr>
              <w:t>Į 2014–2020 metų Europos Sąjungos fondų investicijų veiksmų programos įgyvendinimo priemonės 06.2.1-TID-V-508 „Vieno lygio eismo sankirtų eliminavimas“ iš Europos Sąjungos struktūrinių fondų lėšų siūlomų bendrai finansuoti valstybės projektų sąrašą įtrauktas projektas „Lentvario geležinkelio pervažos rekonstrukcija“. Preliminari projekto tinkamų finansuoti išlaidų suma – 12 540 tūkst. eurų.</w:t>
            </w:r>
          </w:p>
          <w:p w:rsidR="00CC2095" w:rsidRPr="00F205D8" w:rsidRDefault="00CC2095" w:rsidP="004E04C4">
            <w:pPr>
              <w:pStyle w:val="Pagrindinistekstas"/>
              <w:jc w:val="both"/>
              <w:rPr>
                <w:rFonts w:ascii="Times New Roman" w:hAnsi="Times New Roman" w:cs="Times New Roman"/>
                <w:color w:val="000000" w:themeColor="text1"/>
              </w:rPr>
            </w:pP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Susisiekimo ministerija</w:t>
            </w:r>
          </w:p>
          <w:p w:rsidR="004C3730" w:rsidRPr="00F205D8" w:rsidRDefault="004C3730" w:rsidP="004C3730">
            <w:pPr>
              <w:jc w:val="center"/>
              <w:rPr>
                <w:rFonts w:ascii="Times New Roman" w:hAnsi="Times New Roman" w:cs="Times New Roman"/>
                <w:color w:val="000000" w:themeColor="text1"/>
              </w:rPr>
            </w:pP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1.6.4.</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Suderinus su Vidaus reikalų ministerija, skirti Kelių priežiūros ir plėtros programos lėšų vietinės reikšmės kelių (gatvių) tiksliniam finansavimui siekiant įgyvendinti Švenčionių rajono savivaldybės projektą, skirtą parengti šalia Švenčionėlių miesto esančią teritoriją investicijoms (rekonstruoti transporto infrastruktūrą) (preliminarus valstybės biudžeto lėšų poreikis 724 tūkst. eurų)</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shd w:val="clear" w:color="auto" w:fill="FFFFFF" w:themeFill="background1"/>
          </w:tcPr>
          <w:p w:rsidR="00CC2095" w:rsidRPr="00F205D8" w:rsidRDefault="00CC2095" w:rsidP="00CC2095">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Atsižvelgiant į Švenčionių rajono savivaldybės pateiktą šalia Švenčionėlių miesto esančios teritorijos parengimo investicijoms projekto finansavimo poreikį, </w:t>
            </w:r>
            <w:proofErr w:type="spellStart"/>
            <w:r w:rsidRPr="00F205D8">
              <w:rPr>
                <w:rFonts w:ascii="Times New Roman" w:hAnsi="Times New Roman" w:cs="Times New Roman"/>
                <w:color w:val="000000" w:themeColor="text1"/>
              </w:rPr>
              <w:t>Pašaminės</w:t>
            </w:r>
            <w:proofErr w:type="spellEnd"/>
            <w:r w:rsidRPr="00F205D8">
              <w:rPr>
                <w:rFonts w:ascii="Times New Roman" w:hAnsi="Times New Roman" w:cs="Times New Roman"/>
                <w:color w:val="000000" w:themeColor="text1"/>
              </w:rPr>
              <w:t xml:space="preserve"> gatvės tiesimui 2016–2017 m. iš programos rezervo lėšų skirta 233,1 tūkst. eurų</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Susisiekimo ministerija</w:t>
            </w:r>
          </w:p>
          <w:p w:rsidR="004C3730" w:rsidRPr="00F205D8" w:rsidRDefault="004C3730" w:rsidP="004C3730">
            <w:pPr>
              <w:jc w:val="center"/>
              <w:rPr>
                <w:rFonts w:ascii="Times New Roman" w:hAnsi="Times New Roman" w:cs="Times New Roman"/>
                <w:color w:val="000000" w:themeColor="text1"/>
              </w:rPr>
            </w:pP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1.6.5.</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Įvertinti ir esant galimybei įtraukti į Kelių priežiūros programą ir finansuoti projektus, skirtus krašto kelių Nr. 3906 </w:t>
            </w:r>
            <w:proofErr w:type="spellStart"/>
            <w:r w:rsidRPr="00F205D8">
              <w:rPr>
                <w:rFonts w:ascii="Times New Roman" w:hAnsi="Times New Roman" w:cs="Times New Roman"/>
                <w:color w:val="000000" w:themeColor="text1"/>
              </w:rPr>
              <w:t>Vėžionys</w:t>
            </w:r>
            <w:proofErr w:type="spellEnd"/>
            <w:r w:rsidRPr="00F205D8">
              <w:rPr>
                <w:rFonts w:ascii="Times New Roman" w:hAnsi="Times New Roman" w:cs="Times New Roman"/>
                <w:color w:val="000000" w:themeColor="text1"/>
              </w:rPr>
              <w:t>–Dainava–Pabarė–Butrimonys, Nr. 105 Pirčiupiai-Eišiškės ir Nr. 176 Pirčiupiai–</w:t>
            </w:r>
            <w:proofErr w:type="spellStart"/>
            <w:r w:rsidRPr="00F205D8">
              <w:rPr>
                <w:rFonts w:ascii="Times New Roman" w:hAnsi="Times New Roman" w:cs="Times New Roman"/>
                <w:color w:val="000000" w:themeColor="text1"/>
              </w:rPr>
              <w:t>Jašiūnai</w:t>
            </w:r>
            <w:proofErr w:type="spellEnd"/>
            <w:r w:rsidRPr="00F205D8">
              <w:rPr>
                <w:rFonts w:ascii="Times New Roman" w:hAnsi="Times New Roman" w:cs="Times New Roman"/>
                <w:color w:val="000000" w:themeColor="text1"/>
              </w:rPr>
              <w:t xml:space="preserve"> rekonstrukcijos darbams užbaigti</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CC2095"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Lietuvoje yra 4930 km valstybinės reikšmės krašto kelių. Lietuvos automobilių kelių direkcija prie Susisiekimo ministerijos, atsižvelgdama į kelio dangos suirimo laipsnį, transporto priemonių eismo intensyvumą, žmonių pageidavimus, finansavimo iš programos lėšų galimybes, sudaro valstybinės reikšmės krašto kelių ruožų, kuriuos būtina rekonstruoti ar taisyti (remontuoti), sąrašą. Į 2017 m. sudarytą sąrašą įtraukti trys atskiri krašto kelio Nr. 105 Pirčiupiai–Eišiškės ruožai (užima 117, 151 ir 164 vietas) ir krašto kelio Nr. 176 Pirčiupiai–</w:t>
            </w:r>
            <w:proofErr w:type="spellStart"/>
            <w:r w:rsidRPr="00F205D8">
              <w:rPr>
                <w:rFonts w:ascii="Times New Roman" w:hAnsi="Times New Roman" w:cs="Times New Roman"/>
                <w:color w:val="000000" w:themeColor="text1"/>
              </w:rPr>
              <w:t>Jašiūnai</w:t>
            </w:r>
            <w:proofErr w:type="spellEnd"/>
            <w:r w:rsidRPr="00F205D8">
              <w:rPr>
                <w:rFonts w:ascii="Times New Roman" w:hAnsi="Times New Roman" w:cs="Times New Roman"/>
                <w:color w:val="000000" w:themeColor="text1"/>
              </w:rPr>
              <w:t xml:space="preserve"> ruožas (užima 96 vietą). Valstybinės reikšmės rajoninio kelio Nr. 3906 </w:t>
            </w:r>
            <w:proofErr w:type="spellStart"/>
            <w:r w:rsidRPr="00F205D8">
              <w:rPr>
                <w:rFonts w:ascii="Times New Roman" w:hAnsi="Times New Roman" w:cs="Times New Roman"/>
                <w:color w:val="000000" w:themeColor="text1"/>
              </w:rPr>
              <w:t>Vėžionys</w:t>
            </w:r>
            <w:proofErr w:type="spellEnd"/>
            <w:r w:rsidRPr="00F205D8">
              <w:rPr>
                <w:rFonts w:ascii="Times New Roman" w:hAnsi="Times New Roman" w:cs="Times New Roman"/>
                <w:color w:val="000000" w:themeColor="text1"/>
              </w:rPr>
              <w:t xml:space="preserve">–Dainava–Pabarė–Butrimonys ruožo nuo 5,97 iki 8,42 km rekonstravimą planuojama užbaigti iki 2018 m. liepos </w:t>
            </w:r>
            <w:proofErr w:type="spellStart"/>
            <w:r w:rsidRPr="00F205D8">
              <w:rPr>
                <w:rFonts w:ascii="Times New Roman" w:hAnsi="Times New Roman" w:cs="Times New Roman"/>
                <w:color w:val="000000" w:themeColor="text1"/>
              </w:rPr>
              <w:t>mėn</w:t>
            </w:r>
            <w:proofErr w:type="spellEnd"/>
            <w:r w:rsidR="004C3730" w:rsidRPr="00F205D8">
              <w:rPr>
                <w:rFonts w:ascii="Times New Roman" w:hAnsi="Times New Roman" w:cs="Times New Roman"/>
                <w:color w:val="000000" w:themeColor="text1"/>
                <w:lang w:val="en-US"/>
              </w:rPr>
              <w:t>.</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Susisiekimo ministerija</w:t>
            </w: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1.6.6.</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Kartu su AB „Lietuvos geležinkeliai“, Visagino, Vilniaus rajono, Trakų rajono, Šalčininkų rajono ir Švenčionių rajono savivaldybėmis iki 2015 sausio 31 d. parengti susisiekimo geležinkeliu optimizavimo (geresnio maršrutų suderinimo su darbo jėgos judėjimu ir efektyvesnio organizavimo) priemones ir įtraukti jas į atitinkamą ITVP (kaip organizacines ir administracines uždavinių įgyvendinimo priemones)</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shd w:val="clear" w:color="auto" w:fill="FFFFFF" w:themeFill="background1"/>
          </w:tcPr>
          <w:p w:rsidR="00CC2095" w:rsidRPr="00F205D8" w:rsidRDefault="00CC2095" w:rsidP="00B27823">
            <w:pPr>
              <w:jc w:val="both"/>
              <w:rPr>
                <w:rFonts w:ascii="Times New Roman" w:hAnsi="Times New Roman" w:cs="Times New Roman"/>
                <w:color w:val="000000" w:themeColor="text1"/>
                <w:lang w:eastAsia="lt-LT"/>
              </w:rPr>
            </w:pPr>
            <w:r w:rsidRPr="00F205D8">
              <w:rPr>
                <w:rFonts w:ascii="Times New Roman" w:hAnsi="Times New Roman" w:cs="Times New Roman"/>
                <w:color w:val="000000" w:themeColor="text1"/>
                <w:lang w:eastAsia="lt-LT"/>
              </w:rPr>
              <w:t>Nuo 2015 m. pradžios iki 2018 m. kovo mėn. AB ,,Lietuvos geležinkeliai“ įvykdė šias susisiekimo geležinkeliu optimizavimo regionuose, kuriose gausiai gyvena tautinių mažumų atstovai, priemones:</w:t>
            </w:r>
          </w:p>
          <w:p w:rsidR="00CC2095" w:rsidRPr="00F205D8" w:rsidRDefault="00CC2095" w:rsidP="00B27823">
            <w:pPr>
              <w:jc w:val="both"/>
              <w:rPr>
                <w:rFonts w:ascii="Times New Roman" w:hAnsi="Times New Roman" w:cs="Times New Roman"/>
                <w:color w:val="000000" w:themeColor="text1"/>
                <w:lang w:eastAsia="lt-LT"/>
              </w:rPr>
            </w:pPr>
            <w:r w:rsidRPr="00F205D8">
              <w:rPr>
                <w:rFonts w:ascii="Times New Roman" w:hAnsi="Times New Roman" w:cs="Times New Roman"/>
                <w:color w:val="000000" w:themeColor="text1"/>
                <w:lang w:eastAsia="lt-LT"/>
              </w:rPr>
              <w:t>- nuo 2015 m. birželio mėn. pradėjo važiuoti 2 papildomi traukiniai maršrutais Vilnius–Turmantas ir Turmantas–Vilnius;</w:t>
            </w:r>
          </w:p>
          <w:p w:rsidR="00CC2095" w:rsidRPr="00F205D8" w:rsidRDefault="00CC2095" w:rsidP="00B27823">
            <w:pPr>
              <w:jc w:val="both"/>
              <w:rPr>
                <w:rFonts w:ascii="Times New Roman" w:hAnsi="Times New Roman" w:cs="Times New Roman"/>
                <w:color w:val="000000" w:themeColor="text1"/>
                <w:lang w:eastAsia="lt-LT"/>
              </w:rPr>
            </w:pPr>
            <w:r w:rsidRPr="00F205D8">
              <w:rPr>
                <w:rFonts w:ascii="Times New Roman" w:hAnsi="Times New Roman" w:cs="Times New Roman"/>
                <w:color w:val="000000" w:themeColor="text1"/>
                <w:lang w:eastAsia="lt-LT"/>
              </w:rPr>
              <w:t>- nuo 2017 m. rugsėjo mėn. pakeisti 2 traukinių Vilnius–Ignalina–Turmantas ir 3 traukinių Turmantas–Ignalina–Vilnius tvarkaraščiai, atsižvelgiant į Pabradėje įsikūrusios medicininių gaminių gamintojos UAB ,,</w:t>
            </w:r>
            <w:proofErr w:type="spellStart"/>
            <w:r w:rsidRPr="00F205D8">
              <w:rPr>
                <w:rFonts w:ascii="Times New Roman" w:hAnsi="Times New Roman" w:cs="Times New Roman"/>
                <w:color w:val="000000" w:themeColor="text1"/>
                <w:lang w:eastAsia="lt-LT"/>
              </w:rPr>
              <w:t>Intersugical</w:t>
            </w:r>
            <w:proofErr w:type="spellEnd"/>
            <w:r w:rsidRPr="00F205D8">
              <w:rPr>
                <w:rFonts w:ascii="Times New Roman" w:hAnsi="Times New Roman" w:cs="Times New Roman"/>
                <w:color w:val="000000" w:themeColor="text1"/>
                <w:lang w:eastAsia="lt-LT"/>
              </w:rPr>
              <w:t>“ gamyklos darbo pamainų laiką.</w:t>
            </w:r>
          </w:p>
        </w:tc>
        <w:tc>
          <w:tcPr>
            <w:tcW w:w="2346" w:type="dxa"/>
            <w:shd w:val="clear" w:color="auto" w:fill="FFFFFF" w:themeFill="background1"/>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Susisiekimo ministerija</w:t>
            </w:r>
          </w:p>
        </w:tc>
      </w:tr>
      <w:tr w:rsidR="00F205D8" w:rsidRPr="00F205D8" w:rsidTr="004C3730">
        <w:tc>
          <w:tcPr>
            <w:tcW w:w="821" w:type="dxa"/>
            <w:vMerge w:val="restart"/>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1.7.1.</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Padidinti vietinių užimtumo iniciatyvų (VUI) projektų įgyvendinimo galimybes tautinių mažumų gausiai gyvenamame regione, taikant prioritetinius atrankos kriterijus.</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6D5914" w:rsidP="009C2997">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Vietinių užimtumo iniciatyvų (toliau - </w:t>
            </w:r>
            <w:r w:rsidRPr="00F205D8">
              <w:rPr>
                <w:rStyle w:val="Emfaz"/>
                <w:rFonts w:ascii="Times New Roman" w:hAnsi="Times New Roman" w:cs="Times New Roman"/>
                <w:bCs/>
                <w:i w:val="0"/>
                <w:iCs w:val="0"/>
                <w:color w:val="000000" w:themeColor="text1"/>
              </w:rPr>
              <w:t>VUI</w:t>
            </w:r>
            <w:r w:rsidRPr="00F205D8">
              <w:rPr>
                <w:rFonts w:ascii="Times New Roman" w:hAnsi="Times New Roman" w:cs="Times New Roman"/>
                <w:color w:val="000000" w:themeColor="text1"/>
              </w:rPr>
              <w:t xml:space="preserve">) </w:t>
            </w:r>
            <w:r w:rsidRPr="00F205D8">
              <w:rPr>
                <w:rStyle w:val="Emfaz"/>
                <w:rFonts w:ascii="Times New Roman" w:hAnsi="Times New Roman" w:cs="Times New Roman"/>
                <w:bCs/>
                <w:i w:val="0"/>
                <w:iCs w:val="0"/>
                <w:color w:val="000000" w:themeColor="text1"/>
              </w:rPr>
              <w:t>projektų</w:t>
            </w:r>
            <w:r w:rsidR="00630509" w:rsidRPr="00F205D8">
              <w:rPr>
                <w:rFonts w:ascii="Times New Roman" w:hAnsi="Times New Roman" w:cs="Times New Roman"/>
                <w:color w:val="000000" w:themeColor="text1"/>
              </w:rPr>
              <w:t> para</w:t>
            </w:r>
            <w:r w:rsidR="009C2997" w:rsidRPr="00F205D8">
              <w:rPr>
                <w:rFonts w:ascii="Times New Roman" w:hAnsi="Times New Roman" w:cs="Times New Roman"/>
                <w:color w:val="000000" w:themeColor="text1"/>
              </w:rPr>
              <w:t>i</w:t>
            </w:r>
            <w:r w:rsidR="00630509" w:rsidRPr="00F205D8">
              <w:rPr>
                <w:rFonts w:ascii="Times New Roman" w:hAnsi="Times New Roman" w:cs="Times New Roman"/>
                <w:color w:val="000000" w:themeColor="text1"/>
              </w:rPr>
              <w:t>škų vertinimo metu, VUI projektams tautinių mažumų gausiai gyvenamuose regionuose skiriami papildomai 5 balai</w:t>
            </w:r>
            <w:r w:rsidR="009C2997" w:rsidRPr="00F205D8">
              <w:rPr>
                <w:rFonts w:ascii="Times New Roman" w:hAnsi="Times New Roman" w:cs="Times New Roman"/>
                <w:color w:val="000000" w:themeColor="text1"/>
              </w:rPr>
              <w:t>. Per 2017 metus šalyje įgyvendinta 100 VUI projektų, iš jų 16 – tautinių mažumų regionuose (Vilniaus r. – 7, Ignalinos r. – 4, Visagino m. – 3, Šalčininkų r. -2). Vilniaus r. įsteigta 41 nauja darbo vieta: UAB „</w:t>
            </w:r>
            <w:proofErr w:type="spellStart"/>
            <w:r w:rsidR="009C2997" w:rsidRPr="00F205D8">
              <w:rPr>
                <w:rFonts w:ascii="Times New Roman" w:hAnsi="Times New Roman" w:cs="Times New Roman"/>
                <w:color w:val="000000" w:themeColor="text1"/>
              </w:rPr>
              <w:t>Litsas</w:t>
            </w:r>
            <w:proofErr w:type="spellEnd"/>
            <w:r w:rsidR="009C2997" w:rsidRPr="00F205D8">
              <w:rPr>
                <w:rFonts w:ascii="Times New Roman" w:hAnsi="Times New Roman" w:cs="Times New Roman"/>
                <w:color w:val="000000" w:themeColor="text1"/>
              </w:rPr>
              <w:t>“ ir UAB „ALTAS komercinis transportas</w:t>
            </w:r>
            <w:r w:rsidR="00345D15" w:rsidRPr="00F205D8">
              <w:rPr>
                <w:rFonts w:ascii="Times New Roman" w:hAnsi="Times New Roman" w:cs="Times New Roman"/>
                <w:color w:val="000000" w:themeColor="text1"/>
              </w:rPr>
              <w:t>“ sukūrė po 7 darbo vietas, po 6 darbo vietas sukūrė UAB „</w:t>
            </w:r>
            <w:proofErr w:type="spellStart"/>
            <w:r w:rsidR="00345D15" w:rsidRPr="00F205D8">
              <w:rPr>
                <w:rFonts w:ascii="Times New Roman" w:hAnsi="Times New Roman" w:cs="Times New Roman"/>
                <w:color w:val="000000" w:themeColor="text1"/>
              </w:rPr>
              <w:t>Nirobalt</w:t>
            </w:r>
            <w:proofErr w:type="spellEnd"/>
            <w:r w:rsidR="00345D15" w:rsidRPr="00F205D8">
              <w:rPr>
                <w:rFonts w:ascii="Times New Roman" w:hAnsi="Times New Roman" w:cs="Times New Roman"/>
                <w:color w:val="000000" w:themeColor="text1"/>
              </w:rPr>
              <w:t>“, UAB „</w:t>
            </w:r>
            <w:proofErr w:type="spellStart"/>
            <w:r w:rsidR="00345D15" w:rsidRPr="00F205D8">
              <w:rPr>
                <w:rFonts w:ascii="Times New Roman" w:hAnsi="Times New Roman" w:cs="Times New Roman"/>
                <w:color w:val="000000" w:themeColor="text1"/>
              </w:rPr>
              <w:t>Vildika</w:t>
            </w:r>
            <w:proofErr w:type="spellEnd"/>
            <w:r w:rsidR="00345D15" w:rsidRPr="00F205D8">
              <w:rPr>
                <w:rFonts w:ascii="Times New Roman" w:hAnsi="Times New Roman" w:cs="Times New Roman"/>
                <w:color w:val="000000" w:themeColor="text1"/>
              </w:rPr>
              <w:t>“, VŠĮ „4 RACE“, MB „</w:t>
            </w:r>
            <w:proofErr w:type="spellStart"/>
            <w:r w:rsidR="00345D15" w:rsidRPr="00F205D8">
              <w:rPr>
                <w:rFonts w:ascii="Times New Roman" w:hAnsi="Times New Roman" w:cs="Times New Roman"/>
                <w:color w:val="000000" w:themeColor="text1"/>
              </w:rPr>
              <w:t>Alorius</w:t>
            </w:r>
            <w:proofErr w:type="spellEnd"/>
            <w:r w:rsidR="00345D15" w:rsidRPr="00F205D8">
              <w:rPr>
                <w:rFonts w:ascii="Times New Roman" w:hAnsi="Times New Roman" w:cs="Times New Roman"/>
                <w:color w:val="000000" w:themeColor="text1"/>
              </w:rPr>
              <w:t>“, UAB „</w:t>
            </w:r>
            <w:proofErr w:type="spellStart"/>
            <w:r w:rsidR="00345D15" w:rsidRPr="00F205D8">
              <w:rPr>
                <w:rFonts w:ascii="Times New Roman" w:hAnsi="Times New Roman" w:cs="Times New Roman"/>
                <w:color w:val="000000" w:themeColor="text1"/>
              </w:rPr>
              <w:t>Termoefektas</w:t>
            </w:r>
            <w:proofErr w:type="spellEnd"/>
            <w:r w:rsidR="00345D15" w:rsidRPr="00F205D8">
              <w:rPr>
                <w:rFonts w:ascii="Times New Roman" w:hAnsi="Times New Roman" w:cs="Times New Roman"/>
                <w:color w:val="000000" w:themeColor="text1"/>
              </w:rPr>
              <w:t>“ – darbo vietas. Šalčininkų r. įsteigtos 7 naujos darbo vietos: UAB „</w:t>
            </w:r>
            <w:proofErr w:type="spellStart"/>
            <w:r w:rsidR="00345D15" w:rsidRPr="00F205D8">
              <w:rPr>
                <w:rFonts w:ascii="Times New Roman" w:hAnsi="Times New Roman" w:cs="Times New Roman"/>
                <w:color w:val="000000" w:themeColor="text1"/>
              </w:rPr>
              <w:t>Jaraks</w:t>
            </w:r>
            <w:proofErr w:type="spellEnd"/>
            <w:r w:rsidR="00345D15" w:rsidRPr="00F205D8">
              <w:rPr>
                <w:rFonts w:ascii="Times New Roman" w:hAnsi="Times New Roman" w:cs="Times New Roman"/>
                <w:color w:val="000000" w:themeColor="text1"/>
              </w:rPr>
              <w:t>“ sukūrė 6 darbo vietas, UAB „</w:t>
            </w:r>
            <w:proofErr w:type="spellStart"/>
            <w:r w:rsidR="00345D15" w:rsidRPr="00F205D8">
              <w:rPr>
                <w:rFonts w:ascii="Times New Roman" w:hAnsi="Times New Roman" w:cs="Times New Roman"/>
                <w:color w:val="000000" w:themeColor="text1"/>
              </w:rPr>
              <w:t>Genratas</w:t>
            </w:r>
            <w:proofErr w:type="spellEnd"/>
            <w:r w:rsidR="00345D15" w:rsidRPr="00F205D8">
              <w:rPr>
                <w:rFonts w:ascii="Times New Roman" w:hAnsi="Times New Roman" w:cs="Times New Roman"/>
                <w:color w:val="000000" w:themeColor="text1"/>
              </w:rPr>
              <w:t>“ – 1 darbo vietą. Visagino m. įsteigta 14 naujų darbo vietų“ UAB „</w:t>
            </w:r>
            <w:proofErr w:type="spellStart"/>
            <w:r w:rsidR="00345D15" w:rsidRPr="00F205D8">
              <w:rPr>
                <w:rFonts w:ascii="Times New Roman" w:hAnsi="Times New Roman" w:cs="Times New Roman"/>
                <w:color w:val="000000" w:themeColor="text1"/>
              </w:rPr>
              <w:t>Moldeks</w:t>
            </w:r>
            <w:proofErr w:type="spellEnd"/>
            <w:r w:rsidR="00345D15" w:rsidRPr="00F205D8">
              <w:rPr>
                <w:rFonts w:ascii="Times New Roman" w:hAnsi="Times New Roman" w:cs="Times New Roman"/>
                <w:color w:val="000000" w:themeColor="text1"/>
              </w:rPr>
              <w:t>“ – 7 darbo vietos, UAB „</w:t>
            </w:r>
            <w:proofErr w:type="spellStart"/>
            <w:r w:rsidR="00345D15" w:rsidRPr="00F205D8">
              <w:rPr>
                <w:rFonts w:ascii="Times New Roman" w:hAnsi="Times New Roman" w:cs="Times New Roman"/>
                <w:color w:val="000000" w:themeColor="text1"/>
              </w:rPr>
              <w:t>Kogus</w:t>
            </w:r>
            <w:proofErr w:type="spellEnd"/>
            <w:r w:rsidR="00345D15" w:rsidRPr="00F205D8">
              <w:rPr>
                <w:rFonts w:ascii="Times New Roman" w:hAnsi="Times New Roman" w:cs="Times New Roman"/>
                <w:color w:val="000000" w:themeColor="text1"/>
              </w:rPr>
              <w:t>“ – 6 darbo vietos, UAB „Vaigas“ – 1 darbo vieta. Ignalinos r. įsteigta 14 naujų darbo vietų: UAB „</w:t>
            </w:r>
            <w:proofErr w:type="spellStart"/>
            <w:r w:rsidR="00345D15" w:rsidRPr="00F205D8">
              <w:rPr>
                <w:rFonts w:ascii="Times New Roman" w:hAnsi="Times New Roman" w:cs="Times New Roman"/>
                <w:color w:val="000000" w:themeColor="text1"/>
              </w:rPr>
              <w:t>Houtens</w:t>
            </w:r>
            <w:proofErr w:type="spellEnd"/>
            <w:r w:rsidR="00345D15" w:rsidRPr="00F205D8">
              <w:rPr>
                <w:rFonts w:ascii="Times New Roman" w:hAnsi="Times New Roman" w:cs="Times New Roman"/>
                <w:color w:val="000000" w:themeColor="text1"/>
              </w:rPr>
              <w:t>“ sukūrė 6 darbo vietas, UAB „</w:t>
            </w:r>
            <w:proofErr w:type="spellStart"/>
            <w:r w:rsidR="00345D15" w:rsidRPr="00F205D8">
              <w:rPr>
                <w:rFonts w:ascii="Times New Roman" w:hAnsi="Times New Roman" w:cs="Times New Roman"/>
                <w:color w:val="000000" w:themeColor="text1"/>
              </w:rPr>
              <w:t>Atriumas</w:t>
            </w:r>
            <w:proofErr w:type="spellEnd"/>
            <w:r w:rsidR="00345D15" w:rsidRPr="00F205D8">
              <w:rPr>
                <w:rFonts w:ascii="Times New Roman" w:hAnsi="Times New Roman" w:cs="Times New Roman"/>
                <w:color w:val="000000" w:themeColor="text1"/>
              </w:rPr>
              <w:t>“ – 5 darbo vietas, UAB „</w:t>
            </w:r>
            <w:proofErr w:type="spellStart"/>
            <w:r w:rsidR="00345D15" w:rsidRPr="00F205D8">
              <w:rPr>
                <w:rFonts w:ascii="Times New Roman" w:hAnsi="Times New Roman" w:cs="Times New Roman"/>
                <w:color w:val="000000" w:themeColor="text1"/>
              </w:rPr>
              <w:t>Resta</w:t>
            </w:r>
            <w:proofErr w:type="spellEnd"/>
            <w:r w:rsidR="00345D15" w:rsidRPr="00F205D8">
              <w:rPr>
                <w:rFonts w:ascii="Times New Roman" w:hAnsi="Times New Roman" w:cs="Times New Roman"/>
                <w:color w:val="000000" w:themeColor="text1"/>
              </w:rPr>
              <w:t xml:space="preserve"> ES“ – 2 darbo vietas, UAB „</w:t>
            </w:r>
            <w:proofErr w:type="spellStart"/>
            <w:r w:rsidR="00345D15" w:rsidRPr="00F205D8">
              <w:rPr>
                <w:rFonts w:ascii="Times New Roman" w:hAnsi="Times New Roman" w:cs="Times New Roman"/>
                <w:color w:val="000000" w:themeColor="text1"/>
              </w:rPr>
              <w:t>Ignolitos</w:t>
            </w:r>
            <w:proofErr w:type="spellEnd"/>
            <w:r w:rsidR="00345D15" w:rsidRPr="00F205D8">
              <w:rPr>
                <w:rFonts w:ascii="Times New Roman" w:hAnsi="Times New Roman" w:cs="Times New Roman"/>
                <w:color w:val="000000" w:themeColor="text1"/>
              </w:rPr>
              <w:t xml:space="preserve"> mediena“ – 1 darbo vietą.</w:t>
            </w:r>
          </w:p>
          <w:p w:rsidR="00345D15" w:rsidRPr="00F205D8" w:rsidRDefault="00345D15" w:rsidP="00960EF4">
            <w:pPr>
              <w:jc w:val="both"/>
              <w:rPr>
                <w:rFonts w:ascii="Times New Roman" w:hAnsi="Times New Roman" w:cs="Times New Roman"/>
                <w:color w:val="000000" w:themeColor="text1"/>
              </w:rPr>
            </w:pPr>
            <w:r w:rsidRPr="00F205D8">
              <w:rPr>
                <w:rFonts w:ascii="Times New Roman" w:hAnsi="Times New Roman" w:cs="Times New Roman"/>
                <w:color w:val="000000" w:themeColor="text1"/>
              </w:rPr>
              <w:t>Įgyvendintų vietinių užimtumo in</w:t>
            </w:r>
            <w:r w:rsidR="009D1A89" w:rsidRPr="00F205D8">
              <w:rPr>
                <w:rFonts w:ascii="Times New Roman" w:hAnsi="Times New Roman" w:cs="Times New Roman"/>
                <w:color w:val="000000" w:themeColor="text1"/>
              </w:rPr>
              <w:t>iciatyvų projektų nauda abipusė – darbdaviai padidino savo g</w:t>
            </w:r>
            <w:r w:rsidR="00960EF4" w:rsidRPr="00F205D8">
              <w:rPr>
                <w:rFonts w:ascii="Times New Roman" w:hAnsi="Times New Roman" w:cs="Times New Roman"/>
                <w:color w:val="000000" w:themeColor="text1"/>
              </w:rPr>
              <w:t>amybinius</w:t>
            </w:r>
            <w:r w:rsidR="009D1A89" w:rsidRPr="00F205D8">
              <w:rPr>
                <w:rFonts w:ascii="Times New Roman" w:hAnsi="Times New Roman" w:cs="Times New Roman"/>
                <w:color w:val="000000" w:themeColor="text1"/>
              </w:rPr>
              <w:t xml:space="preserve"> pajėgumus,</w:t>
            </w:r>
            <w:r w:rsidR="00960EF4" w:rsidRPr="00F205D8">
              <w:rPr>
                <w:rFonts w:ascii="Times New Roman" w:hAnsi="Times New Roman" w:cs="Times New Roman"/>
                <w:color w:val="000000" w:themeColor="text1"/>
              </w:rPr>
              <w:t xml:space="preserve"> tautinių mažumų gausiai gyvenamo regiono kaimo gyventojai turi nuolatinį darbą.</w:t>
            </w:r>
          </w:p>
        </w:tc>
        <w:tc>
          <w:tcPr>
            <w:tcW w:w="2346" w:type="dxa"/>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Socialinės apsaugos ir darbo ministerija</w:t>
            </w:r>
          </w:p>
        </w:tc>
      </w:tr>
      <w:tr w:rsidR="00F205D8" w:rsidRPr="00F205D8" w:rsidTr="004C3730">
        <w:tc>
          <w:tcPr>
            <w:tcW w:w="821" w:type="dxa"/>
            <w:vMerge w:val="restart"/>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1.7.2.</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Pasiūlyti įtraukti į Valstybės investicijų programą projektą, skirtą įsigyti specialiojo transporto priemonių, pritaikytų vežti neįgaliuosius Vilniaus rajono savivaldybėje (preliminarus valstybės biudžeto lėšų poreikis – 434 tūkst. eurų)</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960EF4"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Socialinė apsaugos ir darbo ministro 2015 m. birželio 25 d. įsakymu Nr. A1-381 patvirtintame Nacionalinės neįgaliųjų socialinės integracijos 2013-2019 metų programos įgyvendinimo 2016-2018 metų veiksmų plane numatyta vykdyti investicinį projektą, kurio tikslas – įsigyti automobilių (mikroautobusų), pritaikytų neįgaliesiems vežti, ir perduoti juos pagal panaudos sutartį neįgaliųjų organizacijoms. SADM kasmet skiria po 600 tūkst. eurų finansuoti automobilių, pritaikytų neįgaliesiems vežti, įsigijimui (numatoma iš viso įsigyti 60 specialiųjų transporto priemonių – 20 vnt. kasmet). Transporto priemonių paskirtis – transporto paslaugų neįgaliesiems teikimas (vežti į ugdymo, lavinimo, užimtumo reabilitacijos įstaigas ir </w:t>
            </w:r>
            <w:proofErr w:type="spellStart"/>
            <w:r w:rsidRPr="00F205D8">
              <w:rPr>
                <w:rFonts w:ascii="Times New Roman" w:hAnsi="Times New Roman" w:cs="Times New Roman"/>
                <w:color w:val="000000" w:themeColor="text1"/>
              </w:rPr>
              <w:t>kt</w:t>
            </w:r>
            <w:proofErr w:type="spellEnd"/>
            <w:r w:rsidRPr="00F205D8">
              <w:rPr>
                <w:rFonts w:ascii="Times New Roman" w:hAnsi="Times New Roman" w:cs="Times New Roman"/>
                <w:color w:val="000000" w:themeColor="text1"/>
              </w:rPr>
              <w:t>). Vykdant šį investicinį projektą 2016 m. vienas mikroautobusas su specialia įranga (</w:t>
            </w:r>
            <w:proofErr w:type="spellStart"/>
            <w:r w:rsidRPr="00F205D8">
              <w:rPr>
                <w:rFonts w:ascii="Times New Roman" w:hAnsi="Times New Roman" w:cs="Times New Roman"/>
                <w:color w:val="000000" w:themeColor="text1"/>
              </w:rPr>
              <w:t>Ford</w:t>
            </w:r>
            <w:proofErr w:type="spellEnd"/>
            <w:r w:rsidRPr="00F205D8">
              <w:rPr>
                <w:rFonts w:ascii="Times New Roman" w:hAnsi="Times New Roman" w:cs="Times New Roman"/>
                <w:color w:val="000000" w:themeColor="text1"/>
              </w:rPr>
              <w:t xml:space="preserve"> </w:t>
            </w:r>
            <w:proofErr w:type="spellStart"/>
            <w:r w:rsidRPr="00F205D8">
              <w:rPr>
                <w:rFonts w:ascii="Times New Roman" w:hAnsi="Times New Roman" w:cs="Times New Roman"/>
                <w:color w:val="000000" w:themeColor="text1"/>
              </w:rPr>
              <w:t>Transit</w:t>
            </w:r>
            <w:proofErr w:type="spellEnd"/>
            <w:r w:rsidRPr="00F205D8">
              <w:rPr>
                <w:rFonts w:ascii="Times New Roman" w:hAnsi="Times New Roman" w:cs="Times New Roman"/>
                <w:color w:val="000000" w:themeColor="text1"/>
              </w:rPr>
              <w:t xml:space="preserve"> </w:t>
            </w:r>
            <w:proofErr w:type="spellStart"/>
            <w:r w:rsidRPr="00F205D8">
              <w:rPr>
                <w:rFonts w:ascii="Times New Roman" w:hAnsi="Times New Roman" w:cs="Times New Roman"/>
                <w:color w:val="000000" w:themeColor="text1"/>
              </w:rPr>
              <w:t>Custom</w:t>
            </w:r>
            <w:proofErr w:type="spellEnd"/>
            <w:r w:rsidRPr="00F205D8">
              <w:rPr>
                <w:rFonts w:ascii="Times New Roman" w:hAnsi="Times New Roman" w:cs="Times New Roman"/>
                <w:color w:val="000000" w:themeColor="text1"/>
              </w:rPr>
              <w:t xml:space="preserve"> </w:t>
            </w:r>
            <w:proofErr w:type="spellStart"/>
            <w:r w:rsidRPr="00F205D8">
              <w:rPr>
                <w:rFonts w:ascii="Times New Roman" w:hAnsi="Times New Roman" w:cs="Times New Roman"/>
                <w:color w:val="000000" w:themeColor="text1"/>
              </w:rPr>
              <w:t>Kombi</w:t>
            </w:r>
            <w:proofErr w:type="spellEnd"/>
            <w:r w:rsidRPr="00F205D8">
              <w:rPr>
                <w:rFonts w:ascii="Times New Roman" w:hAnsi="Times New Roman" w:cs="Times New Roman"/>
                <w:color w:val="000000" w:themeColor="text1"/>
              </w:rPr>
              <w:t xml:space="preserve">, kurio vertė 36 </w:t>
            </w:r>
            <w:proofErr w:type="spellStart"/>
            <w:r w:rsidRPr="00F205D8">
              <w:rPr>
                <w:rFonts w:ascii="Times New Roman" w:hAnsi="Times New Roman" w:cs="Times New Roman"/>
                <w:color w:val="000000" w:themeColor="text1"/>
              </w:rPr>
              <w:t>tūks</w:t>
            </w:r>
            <w:proofErr w:type="spellEnd"/>
            <w:r w:rsidRPr="00F205D8">
              <w:rPr>
                <w:rFonts w:ascii="Times New Roman" w:hAnsi="Times New Roman" w:cs="Times New Roman"/>
                <w:color w:val="000000" w:themeColor="text1"/>
              </w:rPr>
              <w:t xml:space="preserve">. Eurų) Vilniaus rajono savivaldybei rekomendavus perduotas pagal panaudos sutartį Vilniaus rajono neįgaliųjų asociacijai, kuri teikia pavėžėjimo paslaugas Vilniaus </w:t>
            </w:r>
            <w:r w:rsidRPr="00F205D8">
              <w:rPr>
                <w:rFonts w:ascii="Times New Roman" w:hAnsi="Times New Roman" w:cs="Times New Roman"/>
                <w:color w:val="000000" w:themeColor="text1"/>
              </w:rPr>
              <w:lastRenderedPageBreak/>
              <w:t xml:space="preserve">rajone gyvenantiems neįgaliesiems. </w:t>
            </w:r>
          </w:p>
        </w:tc>
        <w:tc>
          <w:tcPr>
            <w:tcW w:w="2346" w:type="dxa"/>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Socialinės apsaugos ir darbo ministerija</w:t>
            </w:r>
          </w:p>
        </w:tc>
      </w:tr>
      <w:tr w:rsidR="00F205D8" w:rsidRPr="00F205D8" w:rsidTr="004C3730">
        <w:tc>
          <w:tcPr>
            <w:tcW w:w="821" w:type="dxa"/>
            <w:vMerge w:val="restart"/>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1.7.3.</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Pasiūlyti įtraukti į ES finansinės paramos lėšomis finansuojamų valstybės projektų sąrašą bandomąjį projektą, skirtą vaikų socialinės globos Vilniaus apskrityje </w:t>
            </w:r>
            <w:proofErr w:type="spellStart"/>
            <w:r w:rsidRPr="00F205D8">
              <w:rPr>
                <w:rFonts w:ascii="Times New Roman" w:hAnsi="Times New Roman" w:cs="Times New Roman"/>
                <w:color w:val="000000" w:themeColor="text1"/>
              </w:rPr>
              <w:t>deinstitucionalizacijai</w:t>
            </w:r>
            <w:proofErr w:type="spellEnd"/>
            <w:r w:rsidRPr="00F205D8">
              <w:rPr>
                <w:rFonts w:ascii="Times New Roman" w:hAnsi="Times New Roman" w:cs="Times New Roman"/>
                <w:color w:val="000000" w:themeColor="text1"/>
              </w:rPr>
              <w:t xml:space="preserve"> įgyvendinti (išskaidyti valstybinius globos namus į smulkias bendruomenines įstaigas, įkurti bendruomeninius vaikų globos namus Vilniaus, Šalčininkų, Švenčionių ir Trakų rajono savivaldybėse).</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960EF4" w:rsidP="000D2729">
            <w:pPr>
              <w:jc w:val="both"/>
              <w:rPr>
                <w:rFonts w:ascii="Times New Roman" w:hAnsi="Times New Roman" w:cs="Times New Roman"/>
                <w:color w:val="000000" w:themeColor="text1"/>
              </w:rPr>
            </w:pPr>
            <w:r w:rsidRPr="00F205D8">
              <w:rPr>
                <w:rFonts w:ascii="Times New Roman" w:hAnsi="Times New Roman" w:cs="Times New Roman"/>
                <w:color w:val="000000" w:themeColor="text1"/>
              </w:rPr>
              <w:t>Socialinė apsaugos ir darbo ministerija planuoja įgyvendinti 2014-2020 m. Europos Sąjungos fondų investicijų veiksmų programos priemonės Nr. 08.1.1-CPVA-V-427 „Institucinės globos pertvarka: investicijos į infrastruktūrą“ veikla „Bendruomenių vaikų globos namų tinklo plėtra“ (toliau – Veikla), pagal kurią būtų finansuojamos bendruomenių vaikų globos namų veiklai tinkamų butų, namų įsigijimo, rekonstrukcijos, remonto ar naujų namų statybos išlaidos, Veiklą numatoma įgyvendinti valstybės projektų planavimo būdų – galimi pareiškėjai (planuojama – savivaldybių administracijos), partneriai (planuojama – visi veikiantys Lietuvoje ir turintys atitinkamos rūšies licenciją teikti socialinę globą vaikų globos namai)</w:t>
            </w:r>
            <w:r w:rsidR="000D2729" w:rsidRPr="00F205D8">
              <w:rPr>
                <w:rFonts w:ascii="Times New Roman" w:hAnsi="Times New Roman" w:cs="Times New Roman"/>
                <w:color w:val="000000" w:themeColor="text1"/>
              </w:rPr>
              <w:t xml:space="preserve"> ir jiems skiriamos lėšos numatomi patvirtinti Perėjimo nuo institucinės globos šeimoje ir bendruomenėje teikiamų paslaugų neįgaliesiems ir likusiems be tėvų globos vaikams 2015-2020 metų veiksmų plano priede (toliau – VP priedas). Šiuo metu derinamas VP priedo projektas ir rengiamas Veiklos projektų finansavimo sąlygų aprašas. Veiklos valstybės projektų sąrašą numatoma sudaryti 2018 m. pabaigoje – 2019 m. pradžioje.</w:t>
            </w:r>
          </w:p>
        </w:tc>
        <w:tc>
          <w:tcPr>
            <w:tcW w:w="2346" w:type="dxa"/>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Socialinės apsaugos ir darbo ministerija</w:t>
            </w:r>
          </w:p>
        </w:tc>
      </w:tr>
      <w:tr w:rsidR="00F205D8" w:rsidRPr="00F205D8" w:rsidTr="004C3730">
        <w:tc>
          <w:tcPr>
            <w:tcW w:w="821" w:type="dxa"/>
            <w:vMerge w:val="restart"/>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1.8.</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Įtraukti į Valstybės investicijų programą projektą, skirtą Vilniaus rajono savivaldybės sporto mokyklos administracinio pastato statybai (preliminarus valstybės biudžeto lėšų poreikis – 579 tūkst. eurų), su sąlyga, kad susijusiems projektams (pėsčiųjų, dviračių ir slidinėjimo takų, šaudyklos įrengimo, viešųjų erdvių sutvarkymo) įgyvendinti savivaldybė panaudos savivaldybės biudžeto ir ES finansinės paramos regioninio planavimo būdu skiriamas lėšas</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Į Valstybės investicijų programą įtrauktas projektas, skirtas Vilniaus rajono savivaldybės sporto mokyklos administracinio pastato statybai.</w:t>
            </w:r>
          </w:p>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Prie „Vilniaus regiono integruotos teritorijų vystymo programos“ įgyvendinimo Kūno kultūros ir sporto departamentas prisidės įrengdamas universalias dirbtinės dangos sporto aikšteles ant savivaldybių lėšomis įrengtų pagrindų. Departamento generalinio direktoriaus 2015 m. kovo 18 d. įsakymu „Dėl universalių dirbtinės dangos aikštelių įrengimo“ nustatyta, kad 2015 metais šios aikštelės turi būti įrengtos Švenčionių rajono savivaldybėje Švenčionėlių mieste, Vilniaus rajono savivaldybėje, Riešėje prie Šv. F. </w:t>
            </w:r>
            <w:proofErr w:type="spellStart"/>
            <w:r w:rsidRPr="00F205D8">
              <w:rPr>
                <w:rFonts w:ascii="Times New Roman" w:hAnsi="Times New Roman" w:cs="Times New Roman"/>
                <w:color w:val="000000" w:themeColor="text1"/>
              </w:rPr>
              <w:t>Kovalskos</w:t>
            </w:r>
            <w:proofErr w:type="spellEnd"/>
            <w:r w:rsidRPr="00F205D8">
              <w:rPr>
                <w:rFonts w:ascii="Times New Roman" w:hAnsi="Times New Roman" w:cs="Times New Roman"/>
                <w:color w:val="000000" w:themeColor="text1"/>
              </w:rPr>
              <w:t xml:space="preserve"> pagrindinės mokyklos, Visagino savivaldybėje prie Draugystės vidurinės mokyklos.</w:t>
            </w:r>
          </w:p>
          <w:p w:rsidR="00BF6596" w:rsidRPr="00F205D8" w:rsidRDefault="00BF6596"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Apie įgyvendinimą vėlesniais metais informacija nepateikta</w:t>
            </w:r>
          </w:p>
        </w:tc>
        <w:tc>
          <w:tcPr>
            <w:tcW w:w="2346" w:type="dxa"/>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Kūno kultūros ir sporto departamentas</w:t>
            </w:r>
          </w:p>
        </w:tc>
      </w:tr>
      <w:tr w:rsidR="00F205D8" w:rsidRPr="00F205D8" w:rsidTr="004C3730">
        <w:tc>
          <w:tcPr>
            <w:tcW w:w="821" w:type="dxa"/>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1.9.1.</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Parengti Vilniaus regiono (tikslinių teritorijų), taip pat Ignalinos atominės elektrinės  regiono ir Visagino miesto rinkodaros strategiją ir vykdyti rinkodaros kampanijas (su savivaldybėmis)</w:t>
            </w:r>
          </w:p>
        </w:tc>
      </w:tr>
      <w:tr w:rsidR="00F205D8" w:rsidRPr="00F205D8" w:rsidTr="004C3730">
        <w:tc>
          <w:tcPr>
            <w:tcW w:w="821" w:type="dxa"/>
            <w:vMerge w:val="restart"/>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1.9.2.</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eastAsia="Calibri" w:hAnsi="Times New Roman" w:cs="Times New Roman"/>
                <w:color w:val="000000" w:themeColor="text1"/>
              </w:rPr>
              <w:t>Surengti tikslinius informacinius renginius regiono verslo įmonėms – pristatyti finansinės ir investicinės paramos verslui galimybes</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Viešoji įstaiga „Investuok Lietuvoje“ organizavo Regionų investicinės plėtros mokymus Šalčininkuose 2015 metų sausio 26 dieną ir Visagine 2015 metų birželio 23 dieną. Mokymuose dalyvavo savivaldybės, vietos švietimo įstaigų, darbo biržos ir verslo atstovai. Mokymų metų buvo išryškintos savivaldybių stipriosios pusės, aptartos priemonės, kurios padėtų į savivaldybes pritraukti daugiau užsienio investicijų. Šalčininkų savivaldybei jau yra parengta, Visagino savivaldybei rengiama </w:t>
            </w:r>
            <w:proofErr w:type="spellStart"/>
            <w:r w:rsidRPr="00F205D8">
              <w:rPr>
                <w:rFonts w:ascii="Times New Roman" w:hAnsi="Times New Roman" w:cs="Times New Roman"/>
                <w:color w:val="000000" w:themeColor="text1"/>
              </w:rPr>
              <w:t>rinkodarinė</w:t>
            </w:r>
            <w:proofErr w:type="spellEnd"/>
            <w:r w:rsidRPr="00F205D8">
              <w:rPr>
                <w:rFonts w:ascii="Times New Roman" w:hAnsi="Times New Roman" w:cs="Times New Roman"/>
                <w:color w:val="000000" w:themeColor="text1"/>
              </w:rPr>
              <w:t xml:space="preserve"> priemonė, savivaldybių atstovai dalyvauja viešosios įstaigos „Investuok Lietuvoje“ organizuojamuose </w:t>
            </w:r>
            <w:proofErr w:type="spellStart"/>
            <w:r w:rsidRPr="00F205D8">
              <w:rPr>
                <w:rFonts w:ascii="Times New Roman" w:hAnsi="Times New Roman" w:cs="Times New Roman"/>
                <w:color w:val="000000" w:themeColor="text1"/>
              </w:rPr>
              <w:t>rinkodariniuose</w:t>
            </w:r>
            <w:proofErr w:type="spellEnd"/>
            <w:r w:rsidRPr="00F205D8">
              <w:rPr>
                <w:rFonts w:ascii="Times New Roman" w:hAnsi="Times New Roman" w:cs="Times New Roman"/>
                <w:color w:val="000000" w:themeColor="text1"/>
              </w:rPr>
              <w:t xml:space="preserve"> mokymuose.</w:t>
            </w:r>
          </w:p>
          <w:p w:rsidR="004C3730" w:rsidRPr="00F205D8" w:rsidRDefault="004C3730" w:rsidP="004C3730">
            <w:pPr>
              <w:jc w:val="both"/>
              <w:rPr>
                <w:rFonts w:ascii="Times New Roman" w:hAnsi="Times New Roman" w:cs="Times New Roman"/>
                <w:color w:val="000000" w:themeColor="text1"/>
                <w:lang w:val="en-US"/>
              </w:rPr>
            </w:pPr>
            <w:r w:rsidRPr="00F205D8">
              <w:rPr>
                <w:rFonts w:ascii="Times New Roman" w:hAnsi="Times New Roman" w:cs="Times New Roman"/>
                <w:color w:val="000000" w:themeColor="text1"/>
              </w:rPr>
              <w:t xml:space="preserve">Viešoji įstaiga „Versli Lietuva“ 2015 m. I pusmetį surengė 7 </w:t>
            </w:r>
            <w:proofErr w:type="spellStart"/>
            <w:r w:rsidRPr="00F205D8">
              <w:rPr>
                <w:rFonts w:ascii="Times New Roman" w:hAnsi="Times New Roman" w:cs="Times New Roman"/>
                <w:color w:val="000000" w:themeColor="text1"/>
              </w:rPr>
              <w:t>verslumo</w:t>
            </w:r>
            <w:proofErr w:type="spellEnd"/>
            <w:r w:rsidRPr="00F205D8">
              <w:rPr>
                <w:rFonts w:ascii="Times New Roman" w:hAnsi="Times New Roman" w:cs="Times New Roman"/>
                <w:color w:val="000000" w:themeColor="text1"/>
              </w:rPr>
              <w:t xml:space="preserve"> skatinimo renginius Šalčininkų savivaldybėje ir Ignalinos atominės elektrinės regione. Šalčininkų rajono savivaldybėje suorganizuotas renginys </w:t>
            </w:r>
            <w:r w:rsidRPr="00F205D8">
              <w:rPr>
                <w:rFonts w:ascii="Times New Roman" w:hAnsi="Times New Roman" w:cs="Times New Roman"/>
                <w:b/>
                <w:bCs/>
                <w:color w:val="000000" w:themeColor="text1"/>
              </w:rPr>
              <w:t>„</w:t>
            </w:r>
            <w:r w:rsidRPr="00F205D8">
              <w:rPr>
                <w:rFonts w:ascii="Times New Roman" w:hAnsi="Times New Roman" w:cs="Times New Roman"/>
                <w:color w:val="000000" w:themeColor="text1"/>
              </w:rPr>
              <w:t xml:space="preserve">Jaunimas ir verslas. Link svajonės...“, o ir Ignalinos atominės elektrinės regione vyko 6 renginių ciklas (viso suplanuota 12 renginių), kurio tikslas – padėti gyventojams nugalėti verslo pradžios baimes, ugdyti </w:t>
            </w:r>
            <w:proofErr w:type="spellStart"/>
            <w:r w:rsidRPr="00F205D8">
              <w:rPr>
                <w:rFonts w:ascii="Times New Roman" w:hAnsi="Times New Roman" w:cs="Times New Roman"/>
                <w:color w:val="000000" w:themeColor="text1"/>
              </w:rPr>
              <w:t>verslumo</w:t>
            </w:r>
            <w:proofErr w:type="spellEnd"/>
            <w:r w:rsidRPr="00F205D8">
              <w:rPr>
                <w:rFonts w:ascii="Times New Roman" w:hAnsi="Times New Roman" w:cs="Times New Roman"/>
                <w:color w:val="000000" w:themeColor="text1"/>
              </w:rPr>
              <w:t xml:space="preserve"> įgūdžius, suteikti teorinių ir praktinių žinių, padėti sukurti konkrečius verslo modelius. Renginių metu dalyviai generavo verslo idėjas, jas pristatinėjo auditorijai, kūrė minimalų veikiantį produktą, kurį galima parduoti jau šiandien, mokėsi pristatyti ir parduoti savo produktą klientams, atliko namų darbus (talpino skelbimus apie savo </w:t>
            </w:r>
            <w:r w:rsidRPr="00F205D8">
              <w:rPr>
                <w:rFonts w:ascii="Times New Roman" w:hAnsi="Times New Roman" w:cs="Times New Roman"/>
                <w:color w:val="000000" w:themeColor="text1"/>
              </w:rPr>
              <w:lastRenderedPageBreak/>
              <w:t>paslaugas, kalbėjosi su galimais partneriais, pardavinėjo savo paslaugas).</w:t>
            </w:r>
          </w:p>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Viešoji įstaiga Lietuvos verslo paramos agentūra 2015 m. I pusmetį organizavo renginius Visagine (vasario 26 d.) ir Šalčininkuose (vasario 27 d.), kurių metu viešojo sektoriaus ir verslo atstovams buvo pristatytos Veiksmų programos priemonių „</w:t>
            </w:r>
            <w:proofErr w:type="spellStart"/>
            <w:r w:rsidRPr="00F205D8">
              <w:rPr>
                <w:rFonts w:ascii="Times New Roman" w:hAnsi="Times New Roman" w:cs="Times New Roman"/>
                <w:color w:val="000000" w:themeColor="text1"/>
              </w:rPr>
              <w:t>Regio</w:t>
            </w:r>
            <w:proofErr w:type="spellEnd"/>
            <w:r w:rsidRPr="00F205D8">
              <w:rPr>
                <w:rFonts w:ascii="Times New Roman" w:hAnsi="Times New Roman" w:cs="Times New Roman"/>
                <w:color w:val="000000" w:themeColor="text1"/>
              </w:rPr>
              <w:t xml:space="preserve"> </w:t>
            </w:r>
            <w:proofErr w:type="spellStart"/>
            <w:r w:rsidRPr="00F205D8">
              <w:rPr>
                <w:rFonts w:ascii="Times New Roman" w:hAnsi="Times New Roman" w:cs="Times New Roman"/>
                <w:color w:val="000000" w:themeColor="text1"/>
              </w:rPr>
              <w:t>Invest</w:t>
            </w:r>
            <w:proofErr w:type="spellEnd"/>
            <w:r w:rsidRPr="00F205D8">
              <w:rPr>
                <w:rFonts w:ascii="Times New Roman" w:hAnsi="Times New Roman" w:cs="Times New Roman"/>
                <w:color w:val="000000" w:themeColor="text1"/>
              </w:rPr>
              <w:t xml:space="preserve"> LT+“, „</w:t>
            </w:r>
            <w:proofErr w:type="spellStart"/>
            <w:r w:rsidRPr="00F205D8">
              <w:rPr>
                <w:rFonts w:ascii="Times New Roman" w:hAnsi="Times New Roman" w:cs="Times New Roman"/>
                <w:color w:val="000000" w:themeColor="text1"/>
              </w:rPr>
              <w:t>Expo</w:t>
            </w:r>
            <w:proofErr w:type="spellEnd"/>
            <w:r w:rsidRPr="00F205D8">
              <w:rPr>
                <w:rFonts w:ascii="Times New Roman" w:hAnsi="Times New Roman" w:cs="Times New Roman"/>
                <w:color w:val="000000" w:themeColor="text1"/>
              </w:rPr>
              <w:t xml:space="preserve"> Sertifikatas LT“ ir „Naujos galimybės LT“ sąlygos ir reikalavimai. Apie šias priemones Visagine balandžio 24 d. taip pat buvo pateikta informacija Finansų ministerijos organizuotame renginyje. </w:t>
            </w:r>
          </w:p>
          <w:p w:rsidR="004C3730" w:rsidRPr="00F205D8" w:rsidRDefault="004C3730"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Uždarajai akcinei bendrovei „Investicijų ir verslo garantijos“ (toliau – INVEGA), atsižvelgiant į tai, kad planuotas naujų finansinių priemonių įgyvendinimas nusikėlė, o šiuo metu įgyvendinamos finansinės priemonės baigiasi, neliko pagrindo organizuoti ‎numatytų renginių. Todėl 2015 m. I pusmetį buvo viešinami tik besibaigiančių finansinių priemonių įgyvendinimo rezultatai ir sėkmės pavyzdžiai. Viešinimas vyko įvairiais kanalais, leidžiančiais kuo plačiau pasiekti tikslinę auditoriją: nacionalinėje spaudoje ir specializuotuose leidiniuose („Lietuvos rytas“, „IQ“, „Vakaro žinios“), internete (15min.lt rubrika „</w:t>
            </w:r>
            <w:proofErr w:type="spellStart"/>
            <w:r w:rsidRPr="00F205D8">
              <w:rPr>
                <w:rFonts w:ascii="Times New Roman" w:hAnsi="Times New Roman" w:cs="Times New Roman"/>
                <w:color w:val="000000" w:themeColor="text1"/>
              </w:rPr>
              <w:t>Geronomika</w:t>
            </w:r>
            <w:proofErr w:type="spellEnd"/>
            <w:r w:rsidRPr="00F205D8">
              <w:rPr>
                <w:rFonts w:ascii="Times New Roman" w:hAnsi="Times New Roman" w:cs="Times New Roman"/>
                <w:color w:val="000000" w:themeColor="text1"/>
              </w:rPr>
              <w:t>“) radiją (M-1), televizijoje (Baltijos televizijoje Socialinės ir darbo apsaugos ministerijos iniciatyva INVEGOS administruojamos priemonės, jų nauda ir poveikis verslui buvo pristatytos laidose „Arčiau mūsų“), socialiniuose tinkluose.</w:t>
            </w:r>
          </w:p>
          <w:p w:rsidR="006D4E91" w:rsidRPr="00F205D8" w:rsidRDefault="006D4E91"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Apie įgyvendinim</w:t>
            </w:r>
            <w:r w:rsidR="00A45677" w:rsidRPr="00F205D8">
              <w:rPr>
                <w:rFonts w:ascii="Times New Roman" w:hAnsi="Times New Roman" w:cs="Times New Roman"/>
                <w:color w:val="000000" w:themeColor="text1"/>
              </w:rPr>
              <w:t>ą vėlesniais metais Ūkio ministerija nepateikė.</w:t>
            </w:r>
          </w:p>
        </w:tc>
        <w:tc>
          <w:tcPr>
            <w:tcW w:w="2346" w:type="dxa"/>
          </w:tcPr>
          <w:p w:rsidR="004C3730" w:rsidRPr="00F205D8" w:rsidRDefault="004C3730"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Ūkio ministerija kartu su pavaldžiomis įstaigomis (</w:t>
            </w:r>
            <w:proofErr w:type="spellStart"/>
            <w:r w:rsidRPr="00F205D8">
              <w:rPr>
                <w:rFonts w:ascii="Times New Roman" w:hAnsi="Times New Roman" w:cs="Times New Roman"/>
                <w:color w:val="000000" w:themeColor="text1"/>
              </w:rPr>
              <w:t>VšĮ</w:t>
            </w:r>
            <w:proofErr w:type="spellEnd"/>
            <w:r w:rsidRPr="00F205D8">
              <w:rPr>
                <w:rFonts w:ascii="Times New Roman" w:hAnsi="Times New Roman" w:cs="Times New Roman"/>
                <w:color w:val="000000" w:themeColor="text1"/>
              </w:rPr>
              <w:t xml:space="preserve"> Investuok Lietuvoje, </w:t>
            </w:r>
            <w:proofErr w:type="spellStart"/>
            <w:r w:rsidRPr="00F205D8">
              <w:rPr>
                <w:rFonts w:ascii="Times New Roman" w:hAnsi="Times New Roman" w:cs="Times New Roman"/>
                <w:color w:val="000000" w:themeColor="text1"/>
              </w:rPr>
              <w:t>VšĮ</w:t>
            </w:r>
            <w:proofErr w:type="spellEnd"/>
            <w:r w:rsidRPr="00F205D8">
              <w:rPr>
                <w:rFonts w:ascii="Times New Roman" w:hAnsi="Times New Roman" w:cs="Times New Roman"/>
                <w:color w:val="000000" w:themeColor="text1"/>
              </w:rPr>
              <w:t xml:space="preserve"> „Versli Lietuva“, </w:t>
            </w:r>
            <w:proofErr w:type="spellStart"/>
            <w:r w:rsidRPr="00F205D8">
              <w:rPr>
                <w:rFonts w:ascii="Times New Roman" w:hAnsi="Times New Roman" w:cs="Times New Roman"/>
                <w:color w:val="000000" w:themeColor="text1"/>
              </w:rPr>
              <w:t>VšĮ</w:t>
            </w:r>
            <w:proofErr w:type="spellEnd"/>
            <w:r w:rsidRPr="00F205D8">
              <w:rPr>
                <w:rFonts w:ascii="Times New Roman" w:hAnsi="Times New Roman" w:cs="Times New Roman"/>
                <w:color w:val="000000" w:themeColor="text1"/>
              </w:rPr>
              <w:t xml:space="preserve"> Lietuvos verslo paramos agentūra, UAB „Investicijų ir verslo garantijos“)</w:t>
            </w:r>
          </w:p>
        </w:tc>
      </w:tr>
      <w:tr w:rsidR="00F205D8" w:rsidRPr="00F205D8" w:rsidTr="004C3730">
        <w:tc>
          <w:tcPr>
            <w:tcW w:w="821" w:type="dxa"/>
          </w:tcPr>
          <w:p w:rsidR="004C3730" w:rsidRPr="00F205D8" w:rsidRDefault="004C3730" w:rsidP="004C3730">
            <w:pPr>
              <w:rPr>
                <w:rFonts w:ascii="Times New Roman" w:hAnsi="Times New Roman" w:cs="Times New Roman"/>
                <w:color w:val="000000" w:themeColor="text1"/>
              </w:rPr>
            </w:pPr>
            <w:r w:rsidRPr="00F205D8">
              <w:rPr>
                <w:rFonts w:ascii="Times New Roman" w:eastAsia="Calibri" w:hAnsi="Times New Roman" w:cs="Times New Roman"/>
                <w:color w:val="000000" w:themeColor="text1"/>
              </w:rPr>
              <w:lastRenderedPageBreak/>
              <w:t>1.10.</w:t>
            </w:r>
            <w:r w:rsidRPr="00F205D8">
              <w:rPr>
                <w:rFonts w:ascii="Times New Roman" w:hAnsi="Times New Roman" w:cs="Times New Roman"/>
                <w:color w:val="000000" w:themeColor="text1"/>
              </w:rPr>
              <w:t>1.</w:t>
            </w:r>
          </w:p>
        </w:tc>
        <w:tc>
          <w:tcPr>
            <w:tcW w:w="14337" w:type="dxa"/>
            <w:gridSpan w:val="2"/>
            <w:shd w:val="clear" w:color="auto" w:fill="FFFFCC"/>
          </w:tcPr>
          <w:p w:rsidR="004C3730" w:rsidRPr="00F205D8" w:rsidRDefault="00F03E69"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Remti tautinių bendrijų vietos iniciatyvų projektus tautinių mažumų paramos, kultūros ir kultūrinio bendradarbiavimo srityse tautinių mažumų atstovų gausiai gyvenamame regione, iki 2020 m. tam skirti ne mažiau kaip po 40 tūkst. eurų per metus;.</w:t>
            </w:r>
          </w:p>
        </w:tc>
      </w:tr>
      <w:tr w:rsidR="00F205D8" w:rsidRPr="00F205D8" w:rsidTr="004C3730">
        <w:tc>
          <w:tcPr>
            <w:tcW w:w="821" w:type="dxa"/>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437DA6"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Tautinių mažumų departamentas prie Lietuvos Respublikos Vyriausybės 2017 m. skyrė 70 tūkst. eurų 32 projektams finansuoti. Finansavimas skirtas Visagino miesto, Šalčininkų </w:t>
            </w:r>
            <w:proofErr w:type="spellStart"/>
            <w:r w:rsidRPr="00F205D8">
              <w:rPr>
                <w:rFonts w:ascii="Times New Roman" w:hAnsi="Times New Roman" w:cs="Times New Roman"/>
                <w:color w:val="000000" w:themeColor="text1"/>
              </w:rPr>
              <w:t>raj</w:t>
            </w:r>
            <w:proofErr w:type="spellEnd"/>
            <w:r w:rsidRPr="00F205D8">
              <w:rPr>
                <w:rFonts w:ascii="Times New Roman" w:hAnsi="Times New Roman" w:cs="Times New Roman"/>
                <w:color w:val="000000" w:themeColor="text1"/>
              </w:rPr>
              <w:t xml:space="preserve">. Švenčionių </w:t>
            </w:r>
            <w:proofErr w:type="spellStart"/>
            <w:r w:rsidRPr="00F205D8">
              <w:rPr>
                <w:rFonts w:ascii="Times New Roman" w:hAnsi="Times New Roman" w:cs="Times New Roman"/>
                <w:color w:val="000000" w:themeColor="text1"/>
              </w:rPr>
              <w:t>raj</w:t>
            </w:r>
            <w:proofErr w:type="spellEnd"/>
            <w:r w:rsidRPr="00F205D8">
              <w:rPr>
                <w:rFonts w:ascii="Times New Roman" w:hAnsi="Times New Roman" w:cs="Times New Roman"/>
                <w:color w:val="000000" w:themeColor="text1"/>
              </w:rPr>
              <w:t xml:space="preserve">., Trakų </w:t>
            </w:r>
            <w:proofErr w:type="spellStart"/>
            <w:r w:rsidRPr="00F205D8">
              <w:rPr>
                <w:rFonts w:ascii="Times New Roman" w:hAnsi="Times New Roman" w:cs="Times New Roman"/>
                <w:color w:val="000000" w:themeColor="text1"/>
              </w:rPr>
              <w:t>raj</w:t>
            </w:r>
            <w:proofErr w:type="spellEnd"/>
            <w:r w:rsidRPr="00F205D8">
              <w:rPr>
                <w:rFonts w:ascii="Times New Roman" w:hAnsi="Times New Roman" w:cs="Times New Roman"/>
                <w:color w:val="000000" w:themeColor="text1"/>
              </w:rPr>
              <w:t xml:space="preserve">. ir Vilniaus </w:t>
            </w:r>
            <w:proofErr w:type="spellStart"/>
            <w:r w:rsidRPr="00F205D8">
              <w:rPr>
                <w:rFonts w:ascii="Times New Roman" w:hAnsi="Times New Roman" w:cs="Times New Roman"/>
                <w:color w:val="000000" w:themeColor="text1"/>
              </w:rPr>
              <w:t>raj</w:t>
            </w:r>
            <w:proofErr w:type="spellEnd"/>
            <w:r w:rsidRPr="00F205D8">
              <w:rPr>
                <w:rFonts w:ascii="Times New Roman" w:hAnsi="Times New Roman" w:cs="Times New Roman"/>
                <w:color w:val="000000" w:themeColor="text1"/>
              </w:rPr>
              <w:t>. tautinių mažumų bendruomenių istorinės datoms ir įvykiams paminėti, tautinių mažumų kultūriniams, pažindinimas renginiams ir festivaliams, pilietiškumo skatinimo projektams, vaikų ir jaunimo tarpkultūrinio dialogo skatinimui</w:t>
            </w:r>
            <w:r w:rsidR="006D4E91" w:rsidRPr="00F205D8">
              <w:rPr>
                <w:rFonts w:ascii="Times New Roman" w:hAnsi="Times New Roman" w:cs="Times New Roman"/>
                <w:color w:val="000000" w:themeColor="text1"/>
              </w:rPr>
              <w:t>.</w:t>
            </w:r>
          </w:p>
        </w:tc>
        <w:tc>
          <w:tcPr>
            <w:tcW w:w="2346" w:type="dxa"/>
          </w:tcPr>
          <w:p w:rsidR="004C3730" w:rsidRPr="00F205D8" w:rsidRDefault="00F03E69" w:rsidP="004C3730">
            <w:pPr>
              <w:jc w:val="center"/>
              <w:rPr>
                <w:rFonts w:ascii="Times New Roman" w:hAnsi="Times New Roman" w:cs="Times New Roman"/>
                <w:color w:val="000000" w:themeColor="text1"/>
              </w:rPr>
            </w:pPr>
            <w:r w:rsidRPr="00F205D8">
              <w:rPr>
                <w:rFonts w:ascii="Times New Roman" w:hAnsi="Times New Roman" w:cs="Times New Roman"/>
                <w:color w:val="000000" w:themeColor="text1"/>
              </w:rPr>
              <w:t>Tautinių mažumų departamentas</w:t>
            </w:r>
          </w:p>
        </w:tc>
      </w:tr>
      <w:tr w:rsidR="00F205D8" w:rsidRPr="00F205D8" w:rsidTr="004C3730">
        <w:trPr>
          <w:trHeight w:val="11"/>
        </w:trPr>
        <w:tc>
          <w:tcPr>
            <w:tcW w:w="821" w:type="dxa"/>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1.10.2.</w:t>
            </w:r>
          </w:p>
        </w:tc>
        <w:tc>
          <w:tcPr>
            <w:tcW w:w="14337" w:type="dxa"/>
            <w:gridSpan w:val="2"/>
            <w:shd w:val="clear" w:color="auto" w:fill="FFFFCC"/>
          </w:tcPr>
          <w:p w:rsidR="004C3730" w:rsidRPr="00F205D8" w:rsidRDefault="00F03E69" w:rsidP="004C3730">
            <w:pPr>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paskelbti valstybės saugomais kultūros paveldo objektais </w:t>
            </w:r>
            <w:proofErr w:type="spellStart"/>
            <w:r w:rsidRPr="00F205D8">
              <w:rPr>
                <w:rFonts w:ascii="Times New Roman" w:hAnsi="Times New Roman" w:cs="Times New Roman"/>
                <w:color w:val="000000" w:themeColor="text1"/>
              </w:rPr>
              <w:t>Vilkiškių</w:t>
            </w:r>
            <w:proofErr w:type="spellEnd"/>
            <w:r w:rsidRPr="00F205D8">
              <w:rPr>
                <w:rFonts w:ascii="Times New Roman" w:hAnsi="Times New Roman" w:cs="Times New Roman"/>
                <w:color w:val="000000" w:themeColor="text1"/>
              </w:rPr>
              <w:t xml:space="preserve"> dvarą (Šalčininkų rajono savivaldybė) ir </w:t>
            </w:r>
            <w:proofErr w:type="spellStart"/>
            <w:r w:rsidRPr="00F205D8">
              <w:rPr>
                <w:rFonts w:ascii="Times New Roman" w:hAnsi="Times New Roman" w:cs="Times New Roman"/>
                <w:color w:val="000000" w:themeColor="text1"/>
              </w:rPr>
              <w:t>Glitiškių</w:t>
            </w:r>
            <w:proofErr w:type="spellEnd"/>
            <w:r w:rsidRPr="00F205D8">
              <w:rPr>
                <w:rFonts w:ascii="Times New Roman" w:hAnsi="Times New Roman" w:cs="Times New Roman"/>
                <w:color w:val="000000" w:themeColor="text1"/>
              </w:rPr>
              <w:t xml:space="preserve"> dvarą (Vilniaus rajono savivaldybė); iš dalies finansuoti šių objektų sutvarkymą ir aktualizavimą </w:t>
            </w:r>
            <w:proofErr w:type="spellStart"/>
            <w:r w:rsidRPr="00F205D8">
              <w:rPr>
                <w:rFonts w:ascii="Times New Roman" w:hAnsi="Times New Roman" w:cs="Times New Roman"/>
                <w:color w:val="000000" w:themeColor="text1"/>
              </w:rPr>
              <w:t>Paveldotvarkos</w:t>
            </w:r>
            <w:proofErr w:type="spellEnd"/>
            <w:r w:rsidRPr="00F205D8">
              <w:rPr>
                <w:rFonts w:ascii="Times New Roman" w:hAnsi="Times New Roman" w:cs="Times New Roman"/>
                <w:color w:val="000000" w:themeColor="text1"/>
              </w:rPr>
              <w:t xml:space="preserve"> programos lėšomis. Preliminarios sutvarkymo ir aktualizavimo projektų vertės: </w:t>
            </w:r>
            <w:proofErr w:type="spellStart"/>
            <w:r w:rsidRPr="00F205D8">
              <w:rPr>
                <w:rFonts w:ascii="Times New Roman" w:hAnsi="Times New Roman" w:cs="Times New Roman"/>
                <w:color w:val="000000" w:themeColor="text1"/>
              </w:rPr>
              <w:t>Vilkiškių</w:t>
            </w:r>
            <w:proofErr w:type="spellEnd"/>
            <w:r w:rsidRPr="00F205D8">
              <w:rPr>
                <w:rFonts w:ascii="Times New Roman" w:hAnsi="Times New Roman" w:cs="Times New Roman"/>
                <w:color w:val="000000" w:themeColor="text1"/>
              </w:rPr>
              <w:t xml:space="preserve"> dvaras – 724 tūkst. eurų, </w:t>
            </w:r>
            <w:proofErr w:type="spellStart"/>
            <w:r w:rsidRPr="00F205D8">
              <w:rPr>
                <w:rFonts w:ascii="Times New Roman" w:hAnsi="Times New Roman" w:cs="Times New Roman"/>
                <w:color w:val="000000" w:themeColor="text1"/>
              </w:rPr>
              <w:t>Glitiškių</w:t>
            </w:r>
            <w:proofErr w:type="spellEnd"/>
            <w:r w:rsidRPr="00F205D8">
              <w:rPr>
                <w:rFonts w:ascii="Times New Roman" w:hAnsi="Times New Roman" w:cs="Times New Roman"/>
                <w:color w:val="000000" w:themeColor="text1"/>
              </w:rPr>
              <w:t xml:space="preserve"> dvaras – 579 tūkst. eurų“.  Pavesti Kultūros ministerijai informuoti Šalčininkų rajono savivaldybę ir Vilniaus rajono savivaldybę apie galimybę teikti paraiškas </w:t>
            </w:r>
            <w:proofErr w:type="spellStart"/>
            <w:r w:rsidRPr="00F205D8">
              <w:rPr>
                <w:rFonts w:ascii="Times New Roman" w:hAnsi="Times New Roman" w:cs="Times New Roman"/>
                <w:color w:val="000000" w:themeColor="text1"/>
              </w:rPr>
              <w:t>Vilkiškių</w:t>
            </w:r>
            <w:proofErr w:type="spellEnd"/>
            <w:r w:rsidRPr="00F205D8">
              <w:rPr>
                <w:rFonts w:ascii="Times New Roman" w:hAnsi="Times New Roman" w:cs="Times New Roman"/>
                <w:color w:val="000000" w:themeColor="text1"/>
              </w:rPr>
              <w:t xml:space="preserve"> ir </w:t>
            </w:r>
            <w:proofErr w:type="spellStart"/>
            <w:r w:rsidRPr="00F205D8">
              <w:rPr>
                <w:rFonts w:ascii="Times New Roman" w:hAnsi="Times New Roman" w:cs="Times New Roman"/>
                <w:color w:val="000000" w:themeColor="text1"/>
              </w:rPr>
              <w:t>Glitiškių</w:t>
            </w:r>
            <w:proofErr w:type="spellEnd"/>
            <w:r w:rsidRPr="00F205D8">
              <w:rPr>
                <w:rFonts w:ascii="Times New Roman" w:hAnsi="Times New Roman" w:cs="Times New Roman"/>
                <w:color w:val="000000" w:themeColor="text1"/>
              </w:rPr>
              <w:t xml:space="preserve"> dvarų daliniam tvarkybos darbų finansavimui iš </w:t>
            </w:r>
            <w:proofErr w:type="spellStart"/>
            <w:r w:rsidRPr="00F205D8">
              <w:rPr>
                <w:rFonts w:ascii="Times New Roman" w:hAnsi="Times New Roman" w:cs="Times New Roman"/>
                <w:color w:val="000000" w:themeColor="text1"/>
              </w:rPr>
              <w:t>Paveldotvarkos</w:t>
            </w:r>
            <w:proofErr w:type="spellEnd"/>
            <w:r w:rsidRPr="00F205D8">
              <w:rPr>
                <w:rFonts w:ascii="Times New Roman" w:hAnsi="Times New Roman" w:cs="Times New Roman"/>
                <w:color w:val="000000" w:themeColor="text1"/>
              </w:rPr>
              <w:t xml:space="preserve"> programos.</w:t>
            </w:r>
          </w:p>
        </w:tc>
      </w:tr>
      <w:tr w:rsidR="00F205D8" w:rsidRPr="00F205D8" w:rsidTr="004C3730">
        <w:trPr>
          <w:trHeight w:val="999"/>
        </w:trPr>
        <w:tc>
          <w:tcPr>
            <w:tcW w:w="821" w:type="dxa"/>
          </w:tcPr>
          <w:p w:rsidR="004C3730" w:rsidRPr="00F205D8" w:rsidRDefault="004C3730" w:rsidP="004C3730">
            <w:pPr>
              <w:rPr>
                <w:rFonts w:ascii="Times New Roman" w:hAnsi="Times New Roman" w:cs="Times New Roman"/>
                <w:color w:val="000000" w:themeColor="text1"/>
              </w:rPr>
            </w:pPr>
          </w:p>
        </w:tc>
        <w:tc>
          <w:tcPr>
            <w:tcW w:w="11991" w:type="dxa"/>
          </w:tcPr>
          <w:p w:rsidR="004C3730" w:rsidRPr="00F205D8" w:rsidRDefault="000D2729" w:rsidP="00F03E69">
            <w:pPr>
              <w:jc w:val="both"/>
              <w:rPr>
                <w:rFonts w:ascii="Times New Roman" w:eastAsia="Calibri" w:hAnsi="Times New Roman" w:cs="Times New Roman"/>
                <w:color w:val="000000" w:themeColor="text1"/>
              </w:rPr>
            </w:pPr>
            <w:r w:rsidRPr="00F205D8">
              <w:rPr>
                <w:rFonts w:ascii="Times New Roman" w:eastAsia="Calibri" w:hAnsi="Times New Roman" w:cs="Times New Roman"/>
                <w:color w:val="000000" w:themeColor="text1"/>
              </w:rPr>
              <w:t>2018 m. sausio 31 d. VŠĮ Centrinei projektų valdymo agentūrai (toliau – CPVA) pateikta vertinti Viliaus rajono savivaldybės projekto „</w:t>
            </w:r>
            <w:proofErr w:type="spellStart"/>
            <w:r w:rsidRPr="00F205D8">
              <w:rPr>
                <w:rFonts w:ascii="Times New Roman" w:eastAsia="Calibri" w:hAnsi="Times New Roman" w:cs="Times New Roman"/>
                <w:color w:val="000000" w:themeColor="text1"/>
              </w:rPr>
              <w:t>Glitiškių</w:t>
            </w:r>
            <w:proofErr w:type="spellEnd"/>
            <w:r w:rsidRPr="00F205D8">
              <w:rPr>
                <w:rFonts w:ascii="Times New Roman" w:eastAsia="Calibri" w:hAnsi="Times New Roman" w:cs="Times New Roman"/>
                <w:color w:val="000000" w:themeColor="text1"/>
              </w:rPr>
              <w:t xml:space="preserve"> dvaro atnaujinimas pritaikant kultūros paslaugų teikimui ir kitos bendruomenės reikmėms“ paraiška. Šį projektą, kurio bendra vertė 1 448,9 tūkst. eurų, numatoma dalinai finansuoti iš 2014-2020 metų Europos Sąjungos fondų investicijų veiksmų programos 5 prioriteto „Aplinkosauga, gamtos išteklių darnus naudojimas ir pritaikymas prie klimato kaitos“ priemonės Nr. 05.4.1-CPVA-R-302</w:t>
            </w:r>
            <w:r w:rsidR="006A5762" w:rsidRPr="00F205D8">
              <w:rPr>
                <w:rFonts w:ascii="Times New Roman" w:eastAsia="Calibri" w:hAnsi="Times New Roman" w:cs="Times New Roman"/>
                <w:color w:val="000000" w:themeColor="text1"/>
              </w:rPr>
              <w:t xml:space="preserve"> „Aktualizuoti savivaldybių kultūros paveldo objektus“ lėšų, planuojant skirti 868,2 tūkst. eurų Europos Sąjungos lėšų bei 580,7 tūkst. eurų savivaldybės biudžeto lėšų.</w:t>
            </w:r>
          </w:p>
          <w:p w:rsidR="006A5762" w:rsidRPr="00F205D8" w:rsidRDefault="006A5762" w:rsidP="00F03E69">
            <w:pPr>
              <w:jc w:val="both"/>
              <w:rPr>
                <w:rFonts w:ascii="Times New Roman" w:eastAsia="Calibri" w:hAnsi="Times New Roman" w:cs="Times New Roman"/>
                <w:color w:val="000000" w:themeColor="text1"/>
              </w:rPr>
            </w:pPr>
            <w:r w:rsidRPr="00F205D8">
              <w:rPr>
                <w:rFonts w:ascii="Times New Roman" w:eastAsia="Calibri" w:hAnsi="Times New Roman" w:cs="Times New Roman"/>
                <w:color w:val="000000" w:themeColor="text1"/>
              </w:rPr>
              <w:t xml:space="preserve">Siekdama pritraukti </w:t>
            </w:r>
            <w:proofErr w:type="spellStart"/>
            <w:r w:rsidRPr="00F205D8">
              <w:rPr>
                <w:rFonts w:ascii="Times New Roman" w:eastAsia="Calibri" w:hAnsi="Times New Roman" w:cs="Times New Roman"/>
                <w:color w:val="000000" w:themeColor="text1"/>
              </w:rPr>
              <w:t>Vilkiškių</w:t>
            </w:r>
            <w:proofErr w:type="spellEnd"/>
            <w:r w:rsidRPr="00F205D8">
              <w:rPr>
                <w:rFonts w:ascii="Times New Roman" w:eastAsia="Calibri" w:hAnsi="Times New Roman" w:cs="Times New Roman"/>
                <w:color w:val="000000" w:themeColor="text1"/>
              </w:rPr>
              <w:t xml:space="preserve"> dvaro sutvarkymui Lietuvos Respublikos kultūros ministerijos (toliau – ministerija) administruojamos Europos Sąjungos investicijų lėšas, Šalčininkų rajono savivaldybė gali teikti paraišką CPVA pagal Europos Sąjungos investicijų programos konkursinės priemonės Nr. 05.4.1-CPVA-K-303 „Aktualizuoti viešąjį ir privatų kultūros paveldą“ kvietimą</w:t>
            </w:r>
            <w:r w:rsidR="00814355" w:rsidRPr="00F205D8">
              <w:rPr>
                <w:rFonts w:ascii="Times New Roman" w:eastAsia="Calibri" w:hAnsi="Times New Roman" w:cs="Times New Roman"/>
                <w:color w:val="000000" w:themeColor="text1"/>
              </w:rPr>
              <w:t>.</w:t>
            </w:r>
          </w:p>
          <w:p w:rsidR="00814355" w:rsidRPr="00F205D8" w:rsidRDefault="00814355" w:rsidP="00F03E69">
            <w:pPr>
              <w:jc w:val="both"/>
              <w:rPr>
                <w:rFonts w:ascii="Times New Roman" w:eastAsia="Calibri" w:hAnsi="Times New Roman" w:cs="Times New Roman"/>
                <w:color w:val="000000" w:themeColor="text1"/>
              </w:rPr>
            </w:pPr>
            <w:r w:rsidRPr="00F205D8">
              <w:rPr>
                <w:rFonts w:ascii="Times New Roman" w:eastAsia="Calibri" w:hAnsi="Times New Roman" w:cs="Times New Roman"/>
                <w:color w:val="000000" w:themeColor="text1"/>
              </w:rPr>
              <w:t xml:space="preserve">Pažymime, kad ministerija, vykdydama veiksmų plano priemones, skirtas socialiniams ir ekonominiams skirtumams mažinti regionuose, kuriuose gausiai gyvena tautinių mažumų atstovai, 2017 metais VIP lėšomis baigė įgyvendinti investicijų projektą „Šalčininkų rajono savivaldybės Kultūros centro pastato, Vilniaus g. 48, Šalčininkai, rekonstravimas“, kurio bendra vertė – 1 890 tūkst. eurų. 2018 m. numatoma užbaigti investicijų projektus „Vilniaus miesto savivaldybės literatūrinio A. Puškino muziejaus pastato, Subačiaus g. 124, Vilniuje, Šv. </w:t>
            </w:r>
            <w:proofErr w:type="spellStart"/>
            <w:r w:rsidRPr="00F205D8">
              <w:rPr>
                <w:rFonts w:ascii="Times New Roman" w:eastAsia="Calibri" w:hAnsi="Times New Roman" w:cs="Times New Roman"/>
                <w:color w:val="000000" w:themeColor="text1"/>
              </w:rPr>
              <w:t>Varvaros</w:t>
            </w:r>
            <w:proofErr w:type="spellEnd"/>
            <w:r w:rsidRPr="00F205D8">
              <w:rPr>
                <w:rFonts w:ascii="Times New Roman" w:eastAsia="Calibri" w:hAnsi="Times New Roman" w:cs="Times New Roman"/>
                <w:color w:val="000000" w:themeColor="text1"/>
              </w:rPr>
              <w:t xml:space="preserve"> koplyčios durų tvarkybos darbai“ ir „Vilniaus miesto savivaldybės Naujosios Vilnios kultūros centro Pergalės g. 8 rekonstravimas ir modernizavimas“. </w:t>
            </w:r>
          </w:p>
          <w:p w:rsidR="00E002CE" w:rsidRPr="00F205D8" w:rsidRDefault="00814355" w:rsidP="00F03E69">
            <w:pPr>
              <w:jc w:val="both"/>
              <w:rPr>
                <w:rFonts w:ascii="Times New Roman" w:eastAsia="Calibri" w:hAnsi="Times New Roman" w:cs="Times New Roman"/>
                <w:color w:val="000000" w:themeColor="text1"/>
              </w:rPr>
            </w:pPr>
            <w:r w:rsidRPr="00F205D8">
              <w:rPr>
                <w:rFonts w:ascii="Times New Roman" w:eastAsia="Calibri" w:hAnsi="Times New Roman" w:cs="Times New Roman"/>
                <w:color w:val="000000" w:themeColor="text1"/>
              </w:rPr>
              <w:lastRenderedPageBreak/>
              <w:t>Taip pat ministerija, vykdydama Vyriausybės pasitarimo 2017 m. gruodžio 11 d. protokolo Nr. 51 klausimo 10 pavedimą, į kultūros srities 2018-2020 metų VIP įrašė „Vilniaus rajono savivaldybės Nemenčinės daugiafunkcinio kultūros centro, esančio Švenčionių g. 12, Nemenčinės m., rekonstravimas“ projektą, kuriam, kaip ir „Zarasų rajono savivaldybės Zarasų kultūros centro pastato Vytauto g. 1A, Zarasai rekonstravimas ir modernizavimas“ investicijų projektui, suplanavo Vyriausybės siūlymus skirtas papildomas lėšas</w:t>
            </w:r>
            <w:r w:rsidR="00E002CE" w:rsidRPr="00F205D8">
              <w:rPr>
                <w:rFonts w:ascii="Times New Roman" w:eastAsia="Calibri" w:hAnsi="Times New Roman" w:cs="Times New Roman"/>
                <w:color w:val="000000" w:themeColor="text1"/>
              </w:rPr>
              <w:t>.</w:t>
            </w:r>
            <w:bookmarkStart w:id="5" w:name="_GoBack"/>
            <w:bookmarkEnd w:id="5"/>
          </w:p>
          <w:p w:rsidR="00814355" w:rsidRPr="00F205D8" w:rsidRDefault="00E002CE" w:rsidP="00F03E69">
            <w:pPr>
              <w:jc w:val="both"/>
              <w:rPr>
                <w:rFonts w:ascii="Times New Roman" w:eastAsia="Calibri" w:hAnsi="Times New Roman" w:cs="Times New Roman"/>
                <w:color w:val="000000" w:themeColor="text1"/>
              </w:rPr>
            </w:pPr>
            <w:r w:rsidRPr="00F205D8">
              <w:rPr>
                <w:rFonts w:ascii="Times New Roman" w:eastAsia="Calibri" w:hAnsi="Times New Roman" w:cs="Times New Roman"/>
                <w:color w:val="000000" w:themeColor="text1"/>
              </w:rPr>
              <w:t xml:space="preserve">Ministerija, vykdydama Vyriausybės pasitarimo 2016 m. vasario 10 d. protokolo Nr. 8 pavedimą 4.1., 2016 m. kovo 8 d. raštu Nr. S2-606 „Dėl </w:t>
            </w:r>
            <w:proofErr w:type="spellStart"/>
            <w:r w:rsidRPr="00F205D8">
              <w:rPr>
                <w:rFonts w:ascii="Times New Roman" w:eastAsia="Calibri" w:hAnsi="Times New Roman" w:cs="Times New Roman"/>
                <w:color w:val="000000" w:themeColor="text1"/>
              </w:rPr>
              <w:t>Glitiškių</w:t>
            </w:r>
            <w:proofErr w:type="spellEnd"/>
            <w:r w:rsidR="00814355" w:rsidRPr="00F205D8">
              <w:rPr>
                <w:rFonts w:ascii="Times New Roman" w:eastAsia="Calibri" w:hAnsi="Times New Roman" w:cs="Times New Roman"/>
                <w:color w:val="000000" w:themeColor="text1"/>
              </w:rPr>
              <w:t xml:space="preserve"> </w:t>
            </w:r>
            <w:r w:rsidRPr="00F205D8">
              <w:rPr>
                <w:rFonts w:ascii="Times New Roman" w:eastAsia="Calibri" w:hAnsi="Times New Roman" w:cs="Times New Roman"/>
                <w:color w:val="000000" w:themeColor="text1"/>
              </w:rPr>
              <w:t xml:space="preserve">ir </w:t>
            </w:r>
            <w:proofErr w:type="spellStart"/>
            <w:r w:rsidRPr="00F205D8">
              <w:rPr>
                <w:rFonts w:ascii="Times New Roman" w:eastAsia="Calibri" w:hAnsi="Times New Roman" w:cs="Times New Roman"/>
                <w:color w:val="000000" w:themeColor="text1"/>
              </w:rPr>
              <w:t>Vilkaviškių</w:t>
            </w:r>
            <w:proofErr w:type="spellEnd"/>
            <w:r w:rsidRPr="00F205D8">
              <w:rPr>
                <w:rFonts w:ascii="Times New Roman" w:eastAsia="Calibri" w:hAnsi="Times New Roman" w:cs="Times New Roman"/>
                <w:color w:val="000000" w:themeColor="text1"/>
              </w:rPr>
              <w:t xml:space="preserve"> dvarų paskelbimo valstybės saugomais bei galimybės teikti paraiškas daliniam darbu finansavimui“ informavo Vilniaus bei Šalčininkų rajono savivaldybes, kad kultūros ministro 2016 m. sausio 21 d. įsakymu Nr. 36 „Dėl kultūros paveldo objektų paskelbimo valstybės saugomais“ </w:t>
            </w:r>
            <w:proofErr w:type="spellStart"/>
            <w:r w:rsidRPr="00F205D8">
              <w:rPr>
                <w:rFonts w:ascii="Times New Roman" w:eastAsia="Calibri" w:hAnsi="Times New Roman" w:cs="Times New Roman"/>
                <w:color w:val="000000" w:themeColor="text1"/>
              </w:rPr>
              <w:t>Glitiškių</w:t>
            </w:r>
            <w:proofErr w:type="spellEnd"/>
            <w:r w:rsidRPr="00F205D8">
              <w:rPr>
                <w:rFonts w:ascii="Times New Roman" w:eastAsia="Calibri" w:hAnsi="Times New Roman" w:cs="Times New Roman"/>
                <w:color w:val="000000" w:themeColor="text1"/>
              </w:rPr>
              <w:t xml:space="preserve"> dvaro sodybos rūmai (</w:t>
            </w:r>
            <w:proofErr w:type="spellStart"/>
            <w:r w:rsidRPr="00F205D8">
              <w:rPr>
                <w:rFonts w:ascii="Times New Roman" w:eastAsia="Calibri" w:hAnsi="Times New Roman" w:cs="Times New Roman"/>
                <w:color w:val="000000" w:themeColor="text1"/>
              </w:rPr>
              <w:t>u.k</w:t>
            </w:r>
            <w:proofErr w:type="spellEnd"/>
            <w:r w:rsidRPr="00F205D8">
              <w:rPr>
                <w:rFonts w:ascii="Times New Roman" w:eastAsia="Calibri" w:hAnsi="Times New Roman" w:cs="Times New Roman"/>
                <w:color w:val="000000" w:themeColor="text1"/>
              </w:rPr>
              <w:t xml:space="preserve">. 37043) ir </w:t>
            </w:r>
            <w:proofErr w:type="spellStart"/>
            <w:r w:rsidRPr="00F205D8">
              <w:rPr>
                <w:rFonts w:ascii="Times New Roman" w:eastAsia="Calibri" w:hAnsi="Times New Roman" w:cs="Times New Roman"/>
                <w:color w:val="000000" w:themeColor="text1"/>
              </w:rPr>
              <w:t>Vilkiškių</w:t>
            </w:r>
            <w:proofErr w:type="spellEnd"/>
            <w:r w:rsidRPr="00F205D8">
              <w:rPr>
                <w:rFonts w:ascii="Times New Roman" w:eastAsia="Calibri" w:hAnsi="Times New Roman" w:cs="Times New Roman"/>
                <w:color w:val="000000" w:themeColor="text1"/>
              </w:rPr>
              <w:t xml:space="preserve"> dvaro sodybos fragmentų rūmai (u. K. 36763) paskelbti valstybės saugomais kultūros paveldo objektais. Šios savivaldybės buvo informuotos, jog pagal Nekilnojamo kultūros paveldo apsaugos įstatymą tokį statusą turintiems kultūros paveldo objektams atsiranda galimybė gauti dalinį valstybės finansavimą.</w:t>
            </w:r>
          </w:p>
          <w:p w:rsidR="00E002CE" w:rsidRPr="00F205D8" w:rsidRDefault="00E002CE" w:rsidP="00F03E69">
            <w:pPr>
              <w:jc w:val="both"/>
              <w:rPr>
                <w:rFonts w:ascii="Times New Roman" w:eastAsia="Calibri" w:hAnsi="Times New Roman" w:cs="Times New Roman"/>
                <w:color w:val="000000" w:themeColor="text1"/>
              </w:rPr>
            </w:pPr>
            <w:r w:rsidRPr="00F205D8">
              <w:rPr>
                <w:rFonts w:ascii="Times New Roman" w:eastAsia="Calibri" w:hAnsi="Times New Roman" w:cs="Times New Roman"/>
                <w:color w:val="000000" w:themeColor="text1"/>
              </w:rPr>
              <w:t xml:space="preserve">Minėtu ministerijos raštu 2016 metais Vilniaus ir Šalčininkų rajono savivaldybės taip pat informuotos, kad vadovaudamosi Nekilnojamųjų ir kilnojamųjų kultūros vertybių išsaugojimo darbų finansavimo tvarkos parašu, patvirtintu kultūros ministro 2014 m. birželio 30 d. įsakymu Nr. ĮV-524, kiekvienais einamaisiais metais iki rugsėjo 1 d. (taip pat iki 2018 m. rugsėjo 1 d. ) jos gali teikti paraiškas Kultūros paveldo departamento Vilniaus teritoriniam skyriui </w:t>
            </w:r>
            <w:proofErr w:type="spellStart"/>
            <w:r w:rsidRPr="00F205D8">
              <w:rPr>
                <w:rFonts w:ascii="Times New Roman" w:eastAsia="Calibri" w:hAnsi="Times New Roman" w:cs="Times New Roman"/>
                <w:color w:val="000000" w:themeColor="text1"/>
              </w:rPr>
              <w:t>Paveldotvarkos</w:t>
            </w:r>
            <w:proofErr w:type="spellEnd"/>
            <w:r w:rsidRPr="00F205D8">
              <w:rPr>
                <w:rFonts w:ascii="Times New Roman" w:eastAsia="Calibri" w:hAnsi="Times New Roman" w:cs="Times New Roman"/>
                <w:color w:val="000000" w:themeColor="text1"/>
              </w:rPr>
              <w:t xml:space="preserve"> programos finansavimui ateinančiais metais (tai pat 2019 m.) gauti.</w:t>
            </w:r>
          </w:p>
        </w:tc>
        <w:tc>
          <w:tcPr>
            <w:tcW w:w="2346" w:type="dxa"/>
          </w:tcPr>
          <w:p w:rsidR="004C3730" w:rsidRPr="00F205D8" w:rsidRDefault="004C3730" w:rsidP="004C3730">
            <w:pPr>
              <w:jc w:val="center"/>
              <w:rPr>
                <w:rFonts w:ascii="Times New Roman" w:hAnsi="Times New Roman" w:cs="Times New Roman"/>
                <w:color w:val="000000" w:themeColor="text1"/>
              </w:rPr>
            </w:pPr>
            <w:r w:rsidRPr="00F205D8">
              <w:rPr>
                <w:rFonts w:ascii="Times New Roman" w:eastAsia="Calibri" w:hAnsi="Times New Roman" w:cs="Times New Roman"/>
                <w:color w:val="000000" w:themeColor="text1"/>
              </w:rPr>
              <w:lastRenderedPageBreak/>
              <w:t>Kultūros ministerija kartu su pavaldžia įstaiga Kultūros paveldo departamentu</w:t>
            </w:r>
          </w:p>
        </w:tc>
      </w:tr>
      <w:tr w:rsidR="00F205D8" w:rsidRPr="00F205D8" w:rsidTr="004C3730">
        <w:tc>
          <w:tcPr>
            <w:tcW w:w="821" w:type="dxa"/>
            <w:vMerge w:val="restart"/>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1.11.</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eastAsia="Calibri" w:hAnsi="Times New Roman" w:cs="Times New Roman"/>
                <w:color w:val="000000" w:themeColor="text1"/>
              </w:rPr>
              <w:t>Taikyti prioritetinius atrankos kriterijus, atrenkant finansuoti numatomas įgyvendinti tautinių mažumų gausiai gyvenamame regione miestų vietos plėtros strategijas</w:t>
            </w:r>
          </w:p>
        </w:tc>
      </w:tr>
      <w:tr w:rsidR="00F205D8" w:rsidRPr="00F205D8" w:rsidTr="004C3730">
        <w:tc>
          <w:tcPr>
            <w:tcW w:w="821" w:type="dxa"/>
            <w:vMerge/>
          </w:tcPr>
          <w:p w:rsidR="004C3730" w:rsidRPr="00F205D8" w:rsidRDefault="004C3730" w:rsidP="004C3730">
            <w:pPr>
              <w:rPr>
                <w:rFonts w:ascii="Times New Roman" w:hAnsi="Times New Roman" w:cs="Times New Roman"/>
                <w:color w:val="000000" w:themeColor="text1"/>
              </w:rPr>
            </w:pPr>
          </w:p>
        </w:tc>
        <w:tc>
          <w:tcPr>
            <w:tcW w:w="11991" w:type="dxa"/>
            <w:shd w:val="clear" w:color="auto" w:fill="FFFFFF" w:themeFill="background1"/>
          </w:tcPr>
          <w:p w:rsidR="004C3730" w:rsidRPr="00F205D8" w:rsidRDefault="002F1240" w:rsidP="002F1240">
            <w:pPr>
              <w:jc w:val="both"/>
              <w:rPr>
                <w:rFonts w:ascii="Times New Roman" w:hAnsi="Times New Roman" w:cs="Times New Roman"/>
                <w:color w:val="000000" w:themeColor="text1"/>
              </w:rPr>
            </w:pPr>
            <w:r w:rsidRPr="00F205D8">
              <w:rPr>
                <w:rFonts w:ascii="Times New Roman" w:hAnsi="Times New Roman" w:cs="Times New Roman"/>
                <w:color w:val="000000" w:themeColor="text1"/>
              </w:rPr>
              <w:t>2016 m. liepos 20 d. įsakymu Nr. 1V</w:t>
            </w:r>
            <w:r w:rsidR="002A5C94" w:rsidRPr="00F205D8">
              <w:rPr>
                <w:rFonts w:ascii="Times New Roman" w:hAnsi="Times New Roman" w:cs="Times New Roman"/>
                <w:color w:val="000000" w:themeColor="text1"/>
              </w:rPr>
              <w:t>-</w:t>
            </w:r>
            <w:r w:rsidRPr="00F205D8">
              <w:rPr>
                <w:rFonts w:ascii="Times New Roman" w:hAnsi="Times New Roman" w:cs="Times New Roman"/>
                <w:color w:val="000000" w:themeColor="text1"/>
              </w:rPr>
              <w:t xml:space="preserve">505 „Dėl siūlomų atrinkti finansuoti pagal 2014-2020 metų Europos Sąjungos fondų investicijų veiksmų programos 8 prioriteto „Socialinės </w:t>
            </w:r>
            <w:proofErr w:type="spellStart"/>
            <w:r w:rsidRPr="00F205D8">
              <w:rPr>
                <w:rFonts w:ascii="Times New Roman" w:hAnsi="Times New Roman" w:cs="Times New Roman"/>
                <w:color w:val="000000" w:themeColor="text1"/>
              </w:rPr>
              <w:t>įtraukties</w:t>
            </w:r>
            <w:proofErr w:type="spellEnd"/>
            <w:r w:rsidRPr="00F205D8">
              <w:rPr>
                <w:rFonts w:ascii="Times New Roman" w:hAnsi="Times New Roman" w:cs="Times New Roman"/>
                <w:color w:val="000000" w:themeColor="text1"/>
              </w:rPr>
              <w:t xml:space="preserve"> didinimas ir kova su skurdu</w:t>
            </w:r>
            <w:r w:rsidR="002A5C94" w:rsidRPr="00F205D8">
              <w:rPr>
                <w:rFonts w:ascii="Times New Roman" w:hAnsi="Times New Roman" w:cs="Times New Roman"/>
                <w:color w:val="000000" w:themeColor="text1"/>
              </w:rPr>
              <w:t xml:space="preserve">‘ priemonės Nr. 08.6.1-ESFA-T-910 „Vietos plėtros strategijų įgyvendinimo administravimas“ ir Nr. 08.6.1-ESFA-V-911 „Vietos plėtros strategijų įgyvendinimas“ vietos plėtros strategijų sąrašo sudarymo“ finansavimą gavo Švenčionių miesto vietos plėtros strategija 2016–2022 m. ir Visagino miesto vietos plėtros strategija 2016–2022 m.. </w:t>
            </w:r>
            <w:r w:rsidR="002A5C94" w:rsidRPr="00F205D8">
              <w:rPr>
                <w:rFonts w:ascii="Times New Roman" w:hAnsi="Times New Roman" w:cs="Times New Roman"/>
                <w:bCs/>
                <w:color w:val="000000" w:themeColor="text1"/>
                <w:lang w:eastAsia="lt-LT"/>
              </w:rPr>
              <w:t>Šalčininkų miesto vietos plėtros strategija ir Lentvario ir Trakų miestų plėtros strategija 2014</w:t>
            </w:r>
            <w:r w:rsidR="002A5C94" w:rsidRPr="00F205D8">
              <w:rPr>
                <w:rFonts w:ascii="Times New Roman" w:hAnsi="Times New Roman" w:cs="Times New Roman"/>
                <w:color w:val="000000" w:themeColor="text1"/>
              </w:rPr>
              <w:t>–</w:t>
            </w:r>
            <w:r w:rsidR="002A5C94" w:rsidRPr="00F205D8">
              <w:rPr>
                <w:rFonts w:ascii="Times New Roman" w:hAnsi="Times New Roman" w:cs="Times New Roman"/>
                <w:bCs/>
                <w:color w:val="000000" w:themeColor="text1"/>
                <w:lang w:eastAsia="lt-LT"/>
              </w:rPr>
              <w:t>2020 metams yra rezerviniam vietos plėtros strategijų sąraše.</w:t>
            </w:r>
          </w:p>
        </w:tc>
        <w:tc>
          <w:tcPr>
            <w:tcW w:w="2346" w:type="dxa"/>
            <w:shd w:val="clear" w:color="auto" w:fill="FFFFFF" w:themeFill="background1"/>
          </w:tcPr>
          <w:p w:rsidR="004C3730" w:rsidRPr="00F205D8" w:rsidRDefault="004C3730" w:rsidP="004C3730">
            <w:pPr>
              <w:jc w:val="center"/>
              <w:rPr>
                <w:rFonts w:ascii="Times New Roman" w:hAnsi="Times New Roman" w:cs="Times New Roman"/>
                <w:color w:val="000000" w:themeColor="text1"/>
              </w:rPr>
            </w:pPr>
            <w:r w:rsidRPr="00F205D8">
              <w:rPr>
                <w:rFonts w:ascii="Times New Roman" w:eastAsia="Calibri" w:hAnsi="Times New Roman" w:cs="Times New Roman"/>
                <w:color w:val="000000" w:themeColor="text1"/>
              </w:rPr>
              <w:t>Vidaus reikalų ministerija</w:t>
            </w:r>
          </w:p>
        </w:tc>
      </w:tr>
      <w:tr w:rsidR="00F205D8" w:rsidRPr="00F205D8" w:rsidTr="004C3730">
        <w:tc>
          <w:tcPr>
            <w:tcW w:w="821" w:type="dxa"/>
            <w:vMerge w:val="restart"/>
            <w:shd w:val="clear" w:color="auto" w:fill="FFFFFF" w:themeFill="background1"/>
          </w:tcPr>
          <w:p w:rsidR="004C3730" w:rsidRPr="00F205D8" w:rsidRDefault="004C3730" w:rsidP="004C3730">
            <w:pPr>
              <w:rPr>
                <w:rFonts w:ascii="Times New Roman" w:hAnsi="Times New Roman" w:cs="Times New Roman"/>
                <w:color w:val="000000" w:themeColor="text1"/>
              </w:rPr>
            </w:pPr>
            <w:r w:rsidRPr="00F205D8">
              <w:rPr>
                <w:rFonts w:ascii="Times New Roman" w:hAnsi="Times New Roman" w:cs="Times New Roman"/>
                <w:color w:val="000000" w:themeColor="text1"/>
              </w:rPr>
              <w:t>1.12.</w:t>
            </w:r>
          </w:p>
        </w:tc>
        <w:tc>
          <w:tcPr>
            <w:tcW w:w="14337" w:type="dxa"/>
            <w:gridSpan w:val="2"/>
            <w:shd w:val="clear" w:color="auto" w:fill="FFFFCC"/>
          </w:tcPr>
          <w:p w:rsidR="004C3730" w:rsidRPr="00F205D8" w:rsidRDefault="004C3730" w:rsidP="004C3730">
            <w:pPr>
              <w:jc w:val="both"/>
              <w:rPr>
                <w:rFonts w:ascii="Times New Roman" w:hAnsi="Times New Roman" w:cs="Times New Roman"/>
                <w:color w:val="000000" w:themeColor="text1"/>
              </w:rPr>
            </w:pPr>
            <w:r w:rsidRPr="00F205D8">
              <w:rPr>
                <w:rFonts w:ascii="Times New Roman" w:eastAsia="Calibri" w:hAnsi="Times New Roman" w:cs="Times New Roman"/>
                <w:color w:val="000000" w:themeColor="text1"/>
              </w:rPr>
              <w:t>Papildomai įvertinti galimybes nustatyti (išlaikyti) nepalankių ūkininkauti teritorijų statusą 2015–2020 metais Vilniaus, Šalčininkų, Trakų ir Švenčionių rajonų savivaldybėms ir apie priimtą sprendimą pranešti Vyriausybei, Vidaus reikalų ministerijai ir atitinkamoms savivaldybėms</w:t>
            </w:r>
          </w:p>
        </w:tc>
      </w:tr>
      <w:tr w:rsidR="00F205D8" w:rsidRPr="00F205D8" w:rsidTr="004C3730">
        <w:tc>
          <w:tcPr>
            <w:tcW w:w="821" w:type="dxa"/>
            <w:vMerge/>
            <w:shd w:val="clear" w:color="auto" w:fill="FFFFFF" w:themeFill="background1"/>
          </w:tcPr>
          <w:p w:rsidR="004C3730" w:rsidRPr="00F205D8" w:rsidRDefault="004C3730" w:rsidP="004C3730">
            <w:pPr>
              <w:rPr>
                <w:rFonts w:ascii="Times New Roman" w:hAnsi="Times New Roman" w:cs="Times New Roman"/>
                <w:color w:val="000000" w:themeColor="text1"/>
              </w:rPr>
            </w:pPr>
          </w:p>
        </w:tc>
        <w:tc>
          <w:tcPr>
            <w:tcW w:w="11991" w:type="dxa"/>
          </w:tcPr>
          <w:p w:rsidR="0059206F" w:rsidRPr="00F205D8" w:rsidRDefault="0059206F" w:rsidP="00A138E9">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Ministerija, vykdydama jai pavestus uždavinius ir siekdama užtikrinti sėkmingą mažiau palankių ūkininkauti vietovių (toliau – MPŪV) reformą šalyje, vadovaudamasi Europos Parlamento ir Tarybos 2013 m. gruodžio 17 d. reglamento (ES) Nr. 1305/2013 11 straipsnio b punkto antrąja pastraipa, 2018-01-17 per informacinę Europos Bendrijos 2014–2020 metų fondų valdymo sistemą SFC 2014 Europos Komisijai pateikė siūlymą dėl Lietuvos kaimo plėtros 2014–2020 metų programos (toliau – Programa) pakeitimų, į kuriuos integruoti vietovių, kuriose esama didelių gamtinių kliūčių (MPŪV analogas), išskyrimo rezultatai, t. y. naujasis vietovių su didelėmis gamtinėmis kliūtimis žemėlapis.</w:t>
            </w:r>
          </w:p>
          <w:p w:rsidR="0059206F" w:rsidRPr="00F205D8" w:rsidRDefault="0059206F" w:rsidP="00A138E9">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Pažymime, kaip numatyta Europos Parlamento ir Tarybos 2013 m. gruodžio 17 d. reglamento (ES) Nr. 1303/2013 49 straipsnio 3 dalyje, kad dėl Programos keitimų (taip pat ir dėl vietovių, kuriose esama didelių gamtinių, išskyrimo rezultatų) konsultuotasi ir jiems pritarta Programos </w:t>
            </w:r>
            <w:proofErr w:type="spellStart"/>
            <w:r w:rsidRPr="00F205D8">
              <w:rPr>
                <w:rFonts w:ascii="Times New Roman" w:hAnsi="Times New Roman" w:cs="Times New Roman"/>
                <w:color w:val="000000" w:themeColor="text1"/>
              </w:rPr>
              <w:t>Stebėsenos</w:t>
            </w:r>
            <w:proofErr w:type="spellEnd"/>
            <w:r w:rsidRPr="00F205D8">
              <w:rPr>
                <w:rFonts w:ascii="Times New Roman" w:hAnsi="Times New Roman" w:cs="Times New Roman"/>
                <w:color w:val="000000" w:themeColor="text1"/>
              </w:rPr>
              <w:t xml:space="preserve"> komiteto 2017 m. spalio 24 d. ir gruodžio 19 d. posėdžiuose.</w:t>
            </w:r>
          </w:p>
          <w:p w:rsidR="0059206F" w:rsidRPr="00F205D8" w:rsidRDefault="0059206F" w:rsidP="00A138E9">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Europos Komisijai notifikavus IV Programos pakeitimą, 2018 m. parama bus teikiama jau pagal naująsias nustatytas didelių gamtinių kliūčių turinčių vietovių ribas. Pabrėžiame, jog šių vietovių išskyrimas yra griežtai reglamentuotas ir privalo būti atliktas dviem etapais: nustatant gamtines kliūtis tam tikroje teritorijoje pagal biofizikinius kriterijus ir po to dar atliekant  šių teritorijų </w:t>
            </w:r>
            <w:r w:rsidRPr="00F205D8">
              <w:rPr>
                <w:rFonts w:ascii="Times New Roman" w:hAnsi="Times New Roman" w:cs="Times New Roman"/>
                <w:color w:val="000000" w:themeColor="text1"/>
              </w:rPr>
              <w:lastRenderedPageBreak/>
              <w:t xml:space="preserve">ekonominį vertinimą. Atkreipiame dėmesį, kad ministerija 2015-01-28 raštu Nr. 2D-402(12.97) apie tai informavo Lietuvos Respublikos Vyriausybę, detaliai išdėstydama  vietovių, kuriose esama didelių gamtinių kliūčių, išskyrimo principus.  </w:t>
            </w:r>
          </w:p>
          <w:p w:rsidR="0059206F" w:rsidRPr="00F205D8" w:rsidRDefault="0059206F" w:rsidP="00A138E9">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Informuojame, kad įvertinus gausiai gyvenamas tautinių bendrijų savivaldybių teritorijas, esančias Pietryčių Lietuvoje, pastarosios atitiko didelių gamtinių kliūčių išskyrimo rodiklius taip:</w:t>
            </w:r>
          </w:p>
          <w:p w:rsidR="0059206F" w:rsidRPr="00F205D8" w:rsidRDefault="00A138E9" w:rsidP="00A138E9">
            <w:pPr>
              <w:tabs>
                <w:tab w:val="left" w:pos="1134"/>
              </w:tabs>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1. </w:t>
            </w:r>
            <w:r w:rsidR="0059206F" w:rsidRPr="00F205D8">
              <w:rPr>
                <w:rFonts w:ascii="Times New Roman" w:hAnsi="Times New Roman" w:cs="Times New Roman"/>
                <w:color w:val="000000" w:themeColor="text1"/>
              </w:rPr>
              <w:t>visa Šalčininkų rajono savivaldybės teritorija;</w:t>
            </w:r>
          </w:p>
          <w:p w:rsidR="0059206F" w:rsidRPr="00F205D8" w:rsidRDefault="00A138E9" w:rsidP="00A138E9">
            <w:pPr>
              <w:tabs>
                <w:tab w:val="left" w:pos="1134"/>
              </w:tabs>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2. </w:t>
            </w:r>
            <w:r w:rsidR="0059206F" w:rsidRPr="00F205D8">
              <w:rPr>
                <w:rFonts w:ascii="Times New Roman" w:hAnsi="Times New Roman" w:cs="Times New Roman"/>
                <w:color w:val="000000" w:themeColor="text1"/>
              </w:rPr>
              <w:t>visa Trakų rajonų savivaldybės teritorija;</w:t>
            </w:r>
          </w:p>
          <w:p w:rsidR="0059206F" w:rsidRPr="00F205D8" w:rsidRDefault="00A138E9" w:rsidP="00A138E9">
            <w:pPr>
              <w:tabs>
                <w:tab w:val="left" w:pos="1134"/>
              </w:tabs>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3. </w:t>
            </w:r>
            <w:r w:rsidR="0059206F" w:rsidRPr="00F205D8">
              <w:rPr>
                <w:rFonts w:ascii="Times New Roman" w:hAnsi="Times New Roman" w:cs="Times New Roman"/>
                <w:color w:val="000000" w:themeColor="text1"/>
              </w:rPr>
              <w:t xml:space="preserve">Vilniaus rajono savivaldybės teritorija, išskyrus </w:t>
            </w:r>
            <w:proofErr w:type="spellStart"/>
            <w:r w:rsidR="0059206F" w:rsidRPr="00F205D8">
              <w:rPr>
                <w:rFonts w:ascii="Times New Roman" w:hAnsi="Times New Roman" w:cs="Times New Roman"/>
                <w:color w:val="000000" w:themeColor="text1"/>
              </w:rPr>
              <w:t>Šatrininkų</w:t>
            </w:r>
            <w:proofErr w:type="spellEnd"/>
            <w:r w:rsidR="0059206F" w:rsidRPr="00F205D8">
              <w:rPr>
                <w:rFonts w:ascii="Times New Roman" w:hAnsi="Times New Roman" w:cs="Times New Roman"/>
                <w:color w:val="000000" w:themeColor="text1"/>
              </w:rPr>
              <w:t xml:space="preserve"> seniūniją;</w:t>
            </w:r>
          </w:p>
          <w:p w:rsidR="00A138E9" w:rsidRPr="00F205D8" w:rsidRDefault="00A138E9" w:rsidP="00A138E9">
            <w:pPr>
              <w:tabs>
                <w:tab w:val="left" w:pos="1134"/>
              </w:tabs>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4. </w:t>
            </w:r>
            <w:r w:rsidR="0059206F" w:rsidRPr="00F205D8">
              <w:rPr>
                <w:rFonts w:ascii="Times New Roman" w:hAnsi="Times New Roman" w:cs="Times New Roman"/>
                <w:color w:val="000000" w:themeColor="text1"/>
              </w:rPr>
              <w:t xml:space="preserve">Švenčionių rajono savivaldybės teritorija, išskyrus Adutiškio ir </w:t>
            </w:r>
            <w:proofErr w:type="spellStart"/>
            <w:r w:rsidR="0059206F" w:rsidRPr="00F205D8">
              <w:rPr>
                <w:rFonts w:ascii="Times New Roman" w:hAnsi="Times New Roman" w:cs="Times New Roman"/>
                <w:color w:val="000000" w:themeColor="text1"/>
              </w:rPr>
              <w:t>Svirkų</w:t>
            </w:r>
            <w:proofErr w:type="spellEnd"/>
            <w:r w:rsidR="0059206F" w:rsidRPr="00F205D8">
              <w:rPr>
                <w:rFonts w:ascii="Times New Roman" w:hAnsi="Times New Roman" w:cs="Times New Roman"/>
                <w:color w:val="000000" w:themeColor="text1"/>
              </w:rPr>
              <w:t xml:space="preserve"> seniūnijas. </w:t>
            </w:r>
          </w:p>
          <w:p w:rsidR="0059206F" w:rsidRPr="00F205D8" w:rsidRDefault="0059206F" w:rsidP="00A138E9">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 xml:space="preserve">Pažymime, jog ir praėjusiu programiniu laikotarpiu </w:t>
            </w:r>
            <w:proofErr w:type="spellStart"/>
            <w:r w:rsidRPr="00F205D8">
              <w:rPr>
                <w:rFonts w:ascii="Times New Roman" w:hAnsi="Times New Roman" w:cs="Times New Roman"/>
                <w:color w:val="000000" w:themeColor="text1"/>
              </w:rPr>
              <w:t>Šatrininkų</w:t>
            </w:r>
            <w:proofErr w:type="spellEnd"/>
            <w:r w:rsidRPr="00F205D8">
              <w:rPr>
                <w:rFonts w:ascii="Times New Roman" w:hAnsi="Times New Roman" w:cs="Times New Roman"/>
                <w:color w:val="000000" w:themeColor="text1"/>
              </w:rPr>
              <w:t xml:space="preserve"> seniūnija nebuvo vadinama mažiau palankia ūkininkauti vietove. Taip pat atkreipiame Jūsų dėmesį į tai, kad ūkininkaujantieji Adutiškio ir </w:t>
            </w:r>
            <w:proofErr w:type="spellStart"/>
            <w:r w:rsidRPr="00F205D8">
              <w:rPr>
                <w:rFonts w:ascii="Times New Roman" w:hAnsi="Times New Roman" w:cs="Times New Roman"/>
                <w:color w:val="000000" w:themeColor="text1"/>
              </w:rPr>
              <w:t>Svirkų</w:t>
            </w:r>
            <w:proofErr w:type="spellEnd"/>
            <w:r w:rsidRPr="00F205D8">
              <w:rPr>
                <w:rFonts w:ascii="Times New Roman" w:hAnsi="Times New Roman" w:cs="Times New Roman"/>
                <w:color w:val="000000" w:themeColor="text1"/>
              </w:rPr>
              <w:t xml:space="preserve"> seniūnijose, kurios neteks MPŪV statuso, apibrėžus vietoves su didelėmis gamtinėmis kliūtimis, galės pretenduoti į kompensacinę metinę išmoką už einamaisiais metais deklaruotą plotą, t. y. į 25 </w:t>
            </w:r>
            <w:proofErr w:type="spellStart"/>
            <w:r w:rsidRPr="00F205D8">
              <w:rPr>
                <w:rFonts w:ascii="Times New Roman" w:hAnsi="Times New Roman" w:cs="Times New Roman"/>
                <w:color w:val="000000" w:themeColor="text1"/>
              </w:rPr>
              <w:t>Eur</w:t>
            </w:r>
            <w:proofErr w:type="spellEnd"/>
            <w:r w:rsidRPr="00F205D8">
              <w:rPr>
                <w:rFonts w:ascii="Times New Roman" w:hAnsi="Times New Roman" w:cs="Times New Roman"/>
                <w:color w:val="000000" w:themeColor="text1"/>
              </w:rPr>
              <w:t xml:space="preserve"> už 1 ha  pereinamuoju (</w:t>
            </w:r>
            <w:r w:rsidRPr="00F205D8">
              <w:rPr>
                <w:rFonts w:ascii="Times New Roman" w:hAnsi="Times New Roman" w:cs="Times New Roman"/>
                <w:i/>
                <w:color w:val="000000" w:themeColor="text1"/>
              </w:rPr>
              <w:t>angl.</w:t>
            </w:r>
            <w:r w:rsidRPr="00F205D8">
              <w:rPr>
                <w:rFonts w:ascii="Times New Roman" w:hAnsi="Times New Roman" w:cs="Times New Roman"/>
                <w:color w:val="000000" w:themeColor="text1"/>
              </w:rPr>
              <w:t xml:space="preserve"> </w:t>
            </w:r>
            <w:proofErr w:type="spellStart"/>
            <w:r w:rsidRPr="00F205D8">
              <w:rPr>
                <w:rFonts w:ascii="Times New Roman" w:hAnsi="Times New Roman" w:cs="Times New Roman"/>
                <w:i/>
                <w:color w:val="000000" w:themeColor="text1"/>
              </w:rPr>
              <w:t>phasing</w:t>
            </w:r>
            <w:proofErr w:type="spellEnd"/>
            <w:r w:rsidRPr="00F205D8">
              <w:rPr>
                <w:rFonts w:ascii="Times New Roman" w:hAnsi="Times New Roman" w:cs="Times New Roman"/>
                <w:i/>
                <w:color w:val="000000" w:themeColor="text1"/>
              </w:rPr>
              <w:t xml:space="preserve"> </w:t>
            </w:r>
            <w:proofErr w:type="spellStart"/>
            <w:r w:rsidRPr="00F205D8">
              <w:rPr>
                <w:rFonts w:ascii="Times New Roman" w:hAnsi="Times New Roman" w:cs="Times New Roman"/>
                <w:i/>
                <w:color w:val="000000" w:themeColor="text1"/>
              </w:rPr>
              <w:t>out</w:t>
            </w:r>
            <w:proofErr w:type="spellEnd"/>
            <w:r w:rsidRPr="00F205D8">
              <w:rPr>
                <w:rFonts w:ascii="Times New Roman" w:hAnsi="Times New Roman" w:cs="Times New Roman"/>
                <w:i/>
                <w:color w:val="000000" w:themeColor="text1"/>
              </w:rPr>
              <w:t xml:space="preserve"> </w:t>
            </w:r>
            <w:proofErr w:type="spellStart"/>
            <w:r w:rsidRPr="00F205D8">
              <w:rPr>
                <w:rFonts w:ascii="Times New Roman" w:hAnsi="Times New Roman" w:cs="Times New Roman"/>
                <w:i/>
                <w:color w:val="000000" w:themeColor="text1"/>
              </w:rPr>
              <w:t>scheme</w:t>
            </w:r>
            <w:proofErr w:type="spellEnd"/>
            <w:r w:rsidRPr="00F205D8">
              <w:rPr>
                <w:rFonts w:ascii="Times New Roman" w:hAnsi="Times New Roman" w:cs="Times New Roman"/>
                <w:color w:val="000000" w:themeColor="text1"/>
              </w:rPr>
              <w:t>) dvejų  metų trukmės laikotarpiu 2018–2019 m.</w:t>
            </w:r>
          </w:p>
          <w:p w:rsidR="0059206F" w:rsidRPr="00F205D8" w:rsidRDefault="0059206F" w:rsidP="00A138E9">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Atsižvelgiant į tai, kas išdėstyta pirmiau, pažymime, kad ministerija užtikrins 1.12 papunkčio (pavesti Žemės ūkio ministerijai papildomai įvertinti galimybes nustatyti (išlaikyti) nepalankių ūkininkauti teritorijų statusą 2015–2020 metais Vilniaus, Šalčininkų, Trakų ir Švenčionių r. savivaldybėms ir apie priimtą sprendimą pranešti Vyriausybei, Vidaus reikalų ministerijai ir atitinkamoms savivaldybėms) įgyvendinimą.</w:t>
            </w:r>
          </w:p>
          <w:p w:rsidR="004C3730" w:rsidRPr="00F205D8" w:rsidRDefault="0059206F" w:rsidP="006D4E91">
            <w:pPr>
              <w:pStyle w:val="Sraopastraipa"/>
              <w:tabs>
                <w:tab w:val="left" w:pos="1134"/>
              </w:tabs>
              <w:ind w:left="0"/>
              <w:jc w:val="both"/>
              <w:rPr>
                <w:rFonts w:ascii="Times New Roman" w:hAnsi="Times New Roman" w:cs="Times New Roman"/>
                <w:color w:val="000000" w:themeColor="text1"/>
              </w:rPr>
            </w:pPr>
            <w:r w:rsidRPr="00F205D8">
              <w:rPr>
                <w:rFonts w:ascii="Times New Roman" w:hAnsi="Times New Roman" w:cs="Times New Roman"/>
                <w:color w:val="000000" w:themeColor="text1"/>
              </w:rPr>
              <w:t>Pabrėžiame, kad tik gavus Europos Komisijos pritarimą, bus galima galutinai atsakyti, kurios seniūnijos, įgyvendinus MPŪV reformą, bus priskirtos vietovėms, turinčioms didelių gamtinių trūkumų.</w:t>
            </w:r>
          </w:p>
        </w:tc>
        <w:tc>
          <w:tcPr>
            <w:tcW w:w="2346" w:type="dxa"/>
            <w:vAlign w:val="center"/>
          </w:tcPr>
          <w:p w:rsidR="004C3730" w:rsidRPr="00F205D8" w:rsidRDefault="004C3730" w:rsidP="004C3730">
            <w:pPr>
              <w:jc w:val="center"/>
              <w:rPr>
                <w:rFonts w:ascii="Times New Roman" w:hAnsi="Times New Roman" w:cs="Times New Roman"/>
                <w:color w:val="000000" w:themeColor="text1"/>
              </w:rPr>
            </w:pPr>
            <w:r w:rsidRPr="00F205D8">
              <w:rPr>
                <w:rFonts w:ascii="Times New Roman" w:eastAsia="Calibri" w:hAnsi="Times New Roman" w:cs="Times New Roman"/>
                <w:color w:val="000000" w:themeColor="text1"/>
              </w:rPr>
              <w:lastRenderedPageBreak/>
              <w:t>Žemės ūkio ministerija</w:t>
            </w:r>
          </w:p>
        </w:tc>
      </w:tr>
    </w:tbl>
    <w:p w:rsidR="0021360B" w:rsidRPr="00F205D8" w:rsidRDefault="0021360B" w:rsidP="0021360B">
      <w:pPr>
        <w:shd w:val="clear" w:color="auto" w:fill="FFFFFF" w:themeFill="background1"/>
        <w:jc w:val="center"/>
        <w:rPr>
          <w:rFonts w:ascii="Times New Roman" w:hAnsi="Times New Roman" w:cs="Times New Roman"/>
          <w:color w:val="000000" w:themeColor="text1"/>
        </w:rPr>
      </w:pPr>
      <w:r w:rsidRPr="00F205D8">
        <w:rPr>
          <w:rFonts w:ascii="Times New Roman" w:hAnsi="Times New Roman" w:cs="Times New Roman"/>
          <w:color w:val="000000" w:themeColor="text1"/>
        </w:rPr>
        <w:lastRenderedPageBreak/>
        <w:t>_________________</w:t>
      </w:r>
    </w:p>
    <w:p w:rsidR="0021360B" w:rsidRPr="00F205D8" w:rsidRDefault="0021360B">
      <w:pPr>
        <w:rPr>
          <w:rFonts w:ascii="Times New Roman" w:hAnsi="Times New Roman" w:cs="Times New Roman"/>
          <w:color w:val="000000" w:themeColor="text1"/>
          <w:lang w:val="en-US"/>
        </w:rPr>
      </w:pPr>
    </w:p>
    <w:sectPr w:rsidR="0021360B" w:rsidRPr="00F205D8" w:rsidSect="000C66B8">
      <w:headerReference w:type="default" r:id="rId9"/>
      <w:headerReference w:type="first" r:id="rId10"/>
      <w:pgSz w:w="16838" w:h="11906" w:orient="landscape"/>
      <w:pgMar w:top="1135" w:right="536"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41" w:rsidRDefault="000F1541" w:rsidP="000C66B8">
      <w:pPr>
        <w:spacing w:after="0" w:line="240" w:lineRule="auto"/>
      </w:pPr>
      <w:r>
        <w:separator/>
      </w:r>
    </w:p>
  </w:endnote>
  <w:endnote w:type="continuationSeparator" w:id="0">
    <w:p w:rsidR="000F1541" w:rsidRDefault="000F1541" w:rsidP="000C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41" w:rsidRDefault="000F1541" w:rsidP="000C66B8">
      <w:pPr>
        <w:spacing w:after="0" w:line="240" w:lineRule="auto"/>
      </w:pPr>
      <w:r>
        <w:separator/>
      </w:r>
    </w:p>
  </w:footnote>
  <w:footnote w:type="continuationSeparator" w:id="0">
    <w:p w:rsidR="000F1541" w:rsidRDefault="000F1541" w:rsidP="000C6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3077"/>
      <w:docPartObj>
        <w:docPartGallery w:val="Page Numbers (Top of Page)"/>
        <w:docPartUnique/>
      </w:docPartObj>
    </w:sdtPr>
    <w:sdtEndPr/>
    <w:sdtContent>
      <w:p w:rsidR="00707596" w:rsidRDefault="00112461">
        <w:pPr>
          <w:pStyle w:val="Antrats"/>
          <w:jc w:val="center"/>
        </w:pPr>
        <w:r>
          <w:fldChar w:fldCharType="begin"/>
        </w:r>
        <w:r>
          <w:instrText xml:space="preserve"> PAGE   \* MERGEFORMAT </w:instrText>
        </w:r>
        <w:r>
          <w:fldChar w:fldCharType="separate"/>
        </w:r>
        <w:r w:rsidR="009C425F">
          <w:rPr>
            <w:noProof/>
          </w:rPr>
          <w:t>2</w:t>
        </w:r>
        <w:r>
          <w:rPr>
            <w:noProof/>
          </w:rPr>
          <w:fldChar w:fldCharType="end"/>
        </w:r>
      </w:p>
    </w:sdtContent>
  </w:sdt>
  <w:p w:rsidR="00707596" w:rsidRDefault="007075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96" w:rsidRDefault="00707596">
    <w:pPr>
      <w:pStyle w:val="Antrats"/>
    </w:pPr>
  </w:p>
  <w:p w:rsidR="00707596" w:rsidRDefault="007075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63BA"/>
    <w:multiLevelType w:val="hybridMultilevel"/>
    <w:tmpl w:val="3A261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7C29A1"/>
    <w:multiLevelType w:val="hybridMultilevel"/>
    <w:tmpl w:val="C2689CA8"/>
    <w:lvl w:ilvl="0" w:tplc="5ED2F62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B2742D"/>
    <w:multiLevelType w:val="hybridMultilevel"/>
    <w:tmpl w:val="6B96D174"/>
    <w:lvl w:ilvl="0" w:tplc="4C805118">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7C244BAD"/>
    <w:multiLevelType w:val="hybridMultilevel"/>
    <w:tmpl w:val="D2D86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60"/>
    <w:rsid w:val="00030CE3"/>
    <w:rsid w:val="00046B5B"/>
    <w:rsid w:val="00050998"/>
    <w:rsid w:val="00073223"/>
    <w:rsid w:val="00085FAB"/>
    <w:rsid w:val="000C3955"/>
    <w:rsid w:val="000C66B8"/>
    <w:rsid w:val="000D2729"/>
    <w:rsid w:val="000F1541"/>
    <w:rsid w:val="00104585"/>
    <w:rsid w:val="00112461"/>
    <w:rsid w:val="0012113E"/>
    <w:rsid w:val="001232E2"/>
    <w:rsid w:val="00126749"/>
    <w:rsid w:val="001415CD"/>
    <w:rsid w:val="00147CB8"/>
    <w:rsid w:val="00183667"/>
    <w:rsid w:val="001A6E7F"/>
    <w:rsid w:val="001C6ADB"/>
    <w:rsid w:val="001D1178"/>
    <w:rsid w:val="001D6E00"/>
    <w:rsid w:val="0021360B"/>
    <w:rsid w:val="00223CCF"/>
    <w:rsid w:val="00242F6D"/>
    <w:rsid w:val="00273ABC"/>
    <w:rsid w:val="00281B8C"/>
    <w:rsid w:val="002A5C94"/>
    <w:rsid w:val="002C3D0A"/>
    <w:rsid w:val="002D16DE"/>
    <w:rsid w:val="002F1240"/>
    <w:rsid w:val="002F3092"/>
    <w:rsid w:val="002F7A63"/>
    <w:rsid w:val="00313086"/>
    <w:rsid w:val="00321D07"/>
    <w:rsid w:val="00324704"/>
    <w:rsid w:val="00335461"/>
    <w:rsid w:val="0033666E"/>
    <w:rsid w:val="00336E97"/>
    <w:rsid w:val="00345D15"/>
    <w:rsid w:val="00363AC3"/>
    <w:rsid w:val="003C3EAD"/>
    <w:rsid w:val="003D02AD"/>
    <w:rsid w:val="003D7773"/>
    <w:rsid w:val="00434B4E"/>
    <w:rsid w:val="00437DA6"/>
    <w:rsid w:val="00437E77"/>
    <w:rsid w:val="00443DA5"/>
    <w:rsid w:val="00446BF7"/>
    <w:rsid w:val="00451226"/>
    <w:rsid w:val="00451E07"/>
    <w:rsid w:val="00460A16"/>
    <w:rsid w:val="0047657B"/>
    <w:rsid w:val="004956F0"/>
    <w:rsid w:val="004A3982"/>
    <w:rsid w:val="004C2426"/>
    <w:rsid w:val="004C3730"/>
    <w:rsid w:val="004D63D3"/>
    <w:rsid w:val="004E04C4"/>
    <w:rsid w:val="004F0DB9"/>
    <w:rsid w:val="005003F9"/>
    <w:rsid w:val="00501C2F"/>
    <w:rsid w:val="00510EB4"/>
    <w:rsid w:val="0051188F"/>
    <w:rsid w:val="00516A8F"/>
    <w:rsid w:val="00537F4E"/>
    <w:rsid w:val="00557A60"/>
    <w:rsid w:val="00560F0F"/>
    <w:rsid w:val="00563F5F"/>
    <w:rsid w:val="005736C4"/>
    <w:rsid w:val="00581986"/>
    <w:rsid w:val="00591FA1"/>
    <w:rsid w:val="0059206F"/>
    <w:rsid w:val="005E4C5E"/>
    <w:rsid w:val="005E73E9"/>
    <w:rsid w:val="005F4FAF"/>
    <w:rsid w:val="0060312A"/>
    <w:rsid w:val="00604C55"/>
    <w:rsid w:val="00627F83"/>
    <w:rsid w:val="00630509"/>
    <w:rsid w:val="00634848"/>
    <w:rsid w:val="0063746A"/>
    <w:rsid w:val="006541E8"/>
    <w:rsid w:val="006608B5"/>
    <w:rsid w:val="00677777"/>
    <w:rsid w:val="00690429"/>
    <w:rsid w:val="00691E1B"/>
    <w:rsid w:val="006A22DF"/>
    <w:rsid w:val="006A5762"/>
    <w:rsid w:val="006A6372"/>
    <w:rsid w:val="006D4E91"/>
    <w:rsid w:val="006D5914"/>
    <w:rsid w:val="006E5640"/>
    <w:rsid w:val="00707596"/>
    <w:rsid w:val="0074170E"/>
    <w:rsid w:val="00774318"/>
    <w:rsid w:val="007F6A19"/>
    <w:rsid w:val="00803D01"/>
    <w:rsid w:val="00814355"/>
    <w:rsid w:val="00827569"/>
    <w:rsid w:val="00867565"/>
    <w:rsid w:val="00885626"/>
    <w:rsid w:val="00897D11"/>
    <w:rsid w:val="008C0169"/>
    <w:rsid w:val="008D5317"/>
    <w:rsid w:val="008F78FD"/>
    <w:rsid w:val="009031FD"/>
    <w:rsid w:val="0090759C"/>
    <w:rsid w:val="009112B9"/>
    <w:rsid w:val="009232DB"/>
    <w:rsid w:val="00927650"/>
    <w:rsid w:val="00930ECA"/>
    <w:rsid w:val="00931939"/>
    <w:rsid w:val="009324F0"/>
    <w:rsid w:val="009454EF"/>
    <w:rsid w:val="00960EF4"/>
    <w:rsid w:val="00966136"/>
    <w:rsid w:val="00975368"/>
    <w:rsid w:val="0098432F"/>
    <w:rsid w:val="009C2997"/>
    <w:rsid w:val="009C425F"/>
    <w:rsid w:val="009D1A89"/>
    <w:rsid w:val="009D6FA4"/>
    <w:rsid w:val="009E438D"/>
    <w:rsid w:val="00A05C09"/>
    <w:rsid w:val="00A11E6D"/>
    <w:rsid w:val="00A138E9"/>
    <w:rsid w:val="00A2005C"/>
    <w:rsid w:val="00A2138C"/>
    <w:rsid w:val="00A45677"/>
    <w:rsid w:val="00A73CA2"/>
    <w:rsid w:val="00A832A2"/>
    <w:rsid w:val="00AF0355"/>
    <w:rsid w:val="00B001B4"/>
    <w:rsid w:val="00B039CB"/>
    <w:rsid w:val="00B0662D"/>
    <w:rsid w:val="00B27823"/>
    <w:rsid w:val="00B432E5"/>
    <w:rsid w:val="00B44063"/>
    <w:rsid w:val="00B74821"/>
    <w:rsid w:val="00BA0E21"/>
    <w:rsid w:val="00BE2D3C"/>
    <w:rsid w:val="00BF6596"/>
    <w:rsid w:val="00BF6BB5"/>
    <w:rsid w:val="00C35F2B"/>
    <w:rsid w:val="00C64311"/>
    <w:rsid w:val="00C70677"/>
    <w:rsid w:val="00C75E46"/>
    <w:rsid w:val="00C83300"/>
    <w:rsid w:val="00CB6C60"/>
    <w:rsid w:val="00CC2095"/>
    <w:rsid w:val="00CC7278"/>
    <w:rsid w:val="00CF3128"/>
    <w:rsid w:val="00CF7EBB"/>
    <w:rsid w:val="00D047FA"/>
    <w:rsid w:val="00D11FAA"/>
    <w:rsid w:val="00D25507"/>
    <w:rsid w:val="00D472DD"/>
    <w:rsid w:val="00D84C38"/>
    <w:rsid w:val="00D95004"/>
    <w:rsid w:val="00D97279"/>
    <w:rsid w:val="00DA1488"/>
    <w:rsid w:val="00DF16C7"/>
    <w:rsid w:val="00E002CE"/>
    <w:rsid w:val="00E11A05"/>
    <w:rsid w:val="00E13B8B"/>
    <w:rsid w:val="00E45912"/>
    <w:rsid w:val="00E6720A"/>
    <w:rsid w:val="00E96C14"/>
    <w:rsid w:val="00EC4EFB"/>
    <w:rsid w:val="00ED773C"/>
    <w:rsid w:val="00EE5CDA"/>
    <w:rsid w:val="00F03E69"/>
    <w:rsid w:val="00F05DED"/>
    <w:rsid w:val="00F205D8"/>
    <w:rsid w:val="00F32C97"/>
    <w:rsid w:val="00F33D7E"/>
    <w:rsid w:val="00F35CEA"/>
    <w:rsid w:val="00F41E37"/>
    <w:rsid w:val="00F43087"/>
    <w:rsid w:val="00F47305"/>
    <w:rsid w:val="00F5380B"/>
    <w:rsid w:val="00F756B5"/>
    <w:rsid w:val="00FB146C"/>
    <w:rsid w:val="00FB1BAC"/>
    <w:rsid w:val="00FB6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042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57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
    <w:basedOn w:val="prastasis"/>
    <w:link w:val="AntratsDiagrama"/>
    <w:uiPriority w:val="99"/>
    <w:rsid w:val="00557A6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aliases w:val=" Char Diagrama,Char Diagrama"/>
    <w:basedOn w:val="Numatytasispastraiposriftas"/>
    <w:link w:val="Antrats"/>
    <w:uiPriority w:val="99"/>
    <w:rsid w:val="00557A60"/>
    <w:rPr>
      <w:rFonts w:ascii="Times New Roman" w:eastAsia="Times New Roman" w:hAnsi="Times New Roman" w:cs="Times New Roman"/>
      <w:sz w:val="20"/>
      <w:szCs w:val="20"/>
    </w:rPr>
  </w:style>
  <w:style w:type="paragraph" w:styleId="Pagrindinistekstas2">
    <w:name w:val="Body Text 2"/>
    <w:basedOn w:val="prastasis"/>
    <w:link w:val="Pagrindinistekstas2Diagrama"/>
    <w:uiPriority w:val="99"/>
    <w:semiHidden/>
    <w:unhideWhenUsed/>
    <w:rsid w:val="008C016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C0169"/>
  </w:style>
  <w:style w:type="paragraph" w:styleId="Porat">
    <w:name w:val="footer"/>
    <w:basedOn w:val="prastasis"/>
    <w:link w:val="PoratDiagrama"/>
    <w:uiPriority w:val="99"/>
    <w:semiHidden/>
    <w:unhideWhenUsed/>
    <w:rsid w:val="000C66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C66B8"/>
  </w:style>
  <w:style w:type="paragraph" w:styleId="Sraopastraipa">
    <w:name w:val="List Paragraph"/>
    <w:basedOn w:val="prastasis"/>
    <w:uiPriority w:val="34"/>
    <w:qFormat/>
    <w:rsid w:val="0012113E"/>
    <w:pPr>
      <w:ind w:left="720"/>
      <w:contextualSpacing/>
    </w:pPr>
  </w:style>
  <w:style w:type="paragraph" w:styleId="Debesliotekstas">
    <w:name w:val="Balloon Text"/>
    <w:basedOn w:val="prastasis"/>
    <w:link w:val="DebesliotekstasDiagrama"/>
    <w:uiPriority w:val="99"/>
    <w:semiHidden/>
    <w:unhideWhenUsed/>
    <w:rsid w:val="00E11A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05"/>
    <w:rPr>
      <w:rFonts w:ascii="Segoe UI" w:hAnsi="Segoe UI" w:cs="Segoe UI"/>
      <w:sz w:val="18"/>
      <w:szCs w:val="18"/>
    </w:rPr>
  </w:style>
  <w:style w:type="character" w:styleId="Emfaz">
    <w:name w:val="Emphasis"/>
    <w:basedOn w:val="Numatytasispastraiposriftas"/>
    <w:uiPriority w:val="20"/>
    <w:qFormat/>
    <w:rsid w:val="006D5914"/>
    <w:rPr>
      <w:i/>
      <w:iCs/>
    </w:rPr>
  </w:style>
  <w:style w:type="paragraph" w:styleId="Pagrindinistekstas">
    <w:name w:val="Body Text"/>
    <w:basedOn w:val="prastasis"/>
    <w:link w:val="PagrindinistekstasDiagrama"/>
    <w:uiPriority w:val="99"/>
    <w:unhideWhenUsed/>
    <w:rsid w:val="004E04C4"/>
    <w:pPr>
      <w:spacing w:after="120"/>
    </w:pPr>
  </w:style>
  <w:style w:type="character" w:customStyle="1" w:styleId="PagrindinistekstasDiagrama">
    <w:name w:val="Pagrindinis tekstas Diagrama"/>
    <w:basedOn w:val="Numatytasispastraiposriftas"/>
    <w:link w:val="Pagrindinistekstas"/>
    <w:uiPriority w:val="99"/>
    <w:rsid w:val="004E04C4"/>
  </w:style>
  <w:style w:type="paragraph" w:styleId="Puslapioinaostekstas">
    <w:name w:val="footnote text"/>
    <w:basedOn w:val="prastasis"/>
    <w:link w:val="PuslapioinaostekstasDiagrama"/>
    <w:semiHidden/>
    <w:unhideWhenUsed/>
    <w:rsid w:val="004E04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4E04C4"/>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E04C4"/>
    <w:rPr>
      <w:vertAlign w:val="superscript"/>
    </w:rPr>
  </w:style>
  <w:style w:type="character" w:styleId="Komentaronuoroda">
    <w:name w:val="annotation reference"/>
    <w:basedOn w:val="Numatytasispastraiposriftas"/>
    <w:uiPriority w:val="99"/>
    <w:semiHidden/>
    <w:unhideWhenUsed/>
    <w:rsid w:val="002C3D0A"/>
    <w:rPr>
      <w:sz w:val="16"/>
      <w:szCs w:val="16"/>
    </w:rPr>
  </w:style>
  <w:style w:type="paragraph" w:styleId="Komentarotekstas">
    <w:name w:val="annotation text"/>
    <w:basedOn w:val="prastasis"/>
    <w:link w:val="KomentarotekstasDiagrama"/>
    <w:uiPriority w:val="99"/>
    <w:semiHidden/>
    <w:unhideWhenUsed/>
    <w:rsid w:val="002C3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3D0A"/>
    <w:rPr>
      <w:sz w:val="20"/>
      <w:szCs w:val="20"/>
    </w:rPr>
  </w:style>
  <w:style w:type="paragraph" w:styleId="Komentarotema">
    <w:name w:val="annotation subject"/>
    <w:basedOn w:val="Komentarotekstas"/>
    <w:next w:val="Komentarotekstas"/>
    <w:link w:val="KomentarotemaDiagrama"/>
    <w:uiPriority w:val="99"/>
    <w:semiHidden/>
    <w:unhideWhenUsed/>
    <w:rsid w:val="002C3D0A"/>
    <w:rPr>
      <w:b/>
      <w:bCs/>
    </w:rPr>
  </w:style>
  <w:style w:type="character" w:customStyle="1" w:styleId="KomentarotemaDiagrama">
    <w:name w:val="Komentaro tema Diagrama"/>
    <w:basedOn w:val="KomentarotekstasDiagrama"/>
    <w:link w:val="Komentarotema"/>
    <w:uiPriority w:val="99"/>
    <w:semiHidden/>
    <w:rsid w:val="002C3D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042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57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
    <w:basedOn w:val="prastasis"/>
    <w:link w:val="AntratsDiagrama"/>
    <w:uiPriority w:val="99"/>
    <w:rsid w:val="00557A60"/>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aliases w:val=" Char Diagrama,Char Diagrama"/>
    <w:basedOn w:val="Numatytasispastraiposriftas"/>
    <w:link w:val="Antrats"/>
    <w:uiPriority w:val="99"/>
    <w:rsid w:val="00557A60"/>
    <w:rPr>
      <w:rFonts w:ascii="Times New Roman" w:eastAsia="Times New Roman" w:hAnsi="Times New Roman" w:cs="Times New Roman"/>
      <w:sz w:val="20"/>
      <w:szCs w:val="20"/>
    </w:rPr>
  </w:style>
  <w:style w:type="paragraph" w:styleId="Pagrindinistekstas2">
    <w:name w:val="Body Text 2"/>
    <w:basedOn w:val="prastasis"/>
    <w:link w:val="Pagrindinistekstas2Diagrama"/>
    <w:uiPriority w:val="99"/>
    <w:semiHidden/>
    <w:unhideWhenUsed/>
    <w:rsid w:val="008C016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C0169"/>
  </w:style>
  <w:style w:type="paragraph" w:styleId="Porat">
    <w:name w:val="footer"/>
    <w:basedOn w:val="prastasis"/>
    <w:link w:val="PoratDiagrama"/>
    <w:uiPriority w:val="99"/>
    <w:semiHidden/>
    <w:unhideWhenUsed/>
    <w:rsid w:val="000C66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C66B8"/>
  </w:style>
  <w:style w:type="paragraph" w:styleId="Sraopastraipa">
    <w:name w:val="List Paragraph"/>
    <w:basedOn w:val="prastasis"/>
    <w:uiPriority w:val="34"/>
    <w:qFormat/>
    <w:rsid w:val="0012113E"/>
    <w:pPr>
      <w:ind w:left="720"/>
      <w:contextualSpacing/>
    </w:pPr>
  </w:style>
  <w:style w:type="paragraph" w:styleId="Debesliotekstas">
    <w:name w:val="Balloon Text"/>
    <w:basedOn w:val="prastasis"/>
    <w:link w:val="DebesliotekstasDiagrama"/>
    <w:uiPriority w:val="99"/>
    <w:semiHidden/>
    <w:unhideWhenUsed/>
    <w:rsid w:val="00E11A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05"/>
    <w:rPr>
      <w:rFonts w:ascii="Segoe UI" w:hAnsi="Segoe UI" w:cs="Segoe UI"/>
      <w:sz w:val="18"/>
      <w:szCs w:val="18"/>
    </w:rPr>
  </w:style>
  <w:style w:type="character" w:styleId="Emfaz">
    <w:name w:val="Emphasis"/>
    <w:basedOn w:val="Numatytasispastraiposriftas"/>
    <w:uiPriority w:val="20"/>
    <w:qFormat/>
    <w:rsid w:val="006D5914"/>
    <w:rPr>
      <w:i/>
      <w:iCs/>
    </w:rPr>
  </w:style>
  <w:style w:type="paragraph" w:styleId="Pagrindinistekstas">
    <w:name w:val="Body Text"/>
    <w:basedOn w:val="prastasis"/>
    <w:link w:val="PagrindinistekstasDiagrama"/>
    <w:uiPriority w:val="99"/>
    <w:unhideWhenUsed/>
    <w:rsid w:val="004E04C4"/>
    <w:pPr>
      <w:spacing w:after="120"/>
    </w:pPr>
  </w:style>
  <w:style w:type="character" w:customStyle="1" w:styleId="PagrindinistekstasDiagrama">
    <w:name w:val="Pagrindinis tekstas Diagrama"/>
    <w:basedOn w:val="Numatytasispastraiposriftas"/>
    <w:link w:val="Pagrindinistekstas"/>
    <w:uiPriority w:val="99"/>
    <w:rsid w:val="004E04C4"/>
  </w:style>
  <w:style w:type="paragraph" w:styleId="Puslapioinaostekstas">
    <w:name w:val="footnote text"/>
    <w:basedOn w:val="prastasis"/>
    <w:link w:val="PuslapioinaostekstasDiagrama"/>
    <w:semiHidden/>
    <w:unhideWhenUsed/>
    <w:rsid w:val="004E04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4E04C4"/>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E04C4"/>
    <w:rPr>
      <w:vertAlign w:val="superscript"/>
    </w:rPr>
  </w:style>
  <w:style w:type="character" w:styleId="Komentaronuoroda">
    <w:name w:val="annotation reference"/>
    <w:basedOn w:val="Numatytasispastraiposriftas"/>
    <w:uiPriority w:val="99"/>
    <w:semiHidden/>
    <w:unhideWhenUsed/>
    <w:rsid w:val="002C3D0A"/>
    <w:rPr>
      <w:sz w:val="16"/>
      <w:szCs w:val="16"/>
    </w:rPr>
  </w:style>
  <w:style w:type="paragraph" w:styleId="Komentarotekstas">
    <w:name w:val="annotation text"/>
    <w:basedOn w:val="prastasis"/>
    <w:link w:val="KomentarotekstasDiagrama"/>
    <w:uiPriority w:val="99"/>
    <w:semiHidden/>
    <w:unhideWhenUsed/>
    <w:rsid w:val="002C3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3D0A"/>
    <w:rPr>
      <w:sz w:val="20"/>
      <w:szCs w:val="20"/>
    </w:rPr>
  </w:style>
  <w:style w:type="paragraph" w:styleId="Komentarotema">
    <w:name w:val="annotation subject"/>
    <w:basedOn w:val="Komentarotekstas"/>
    <w:next w:val="Komentarotekstas"/>
    <w:link w:val="KomentarotemaDiagrama"/>
    <w:uiPriority w:val="99"/>
    <w:semiHidden/>
    <w:unhideWhenUsed/>
    <w:rsid w:val="002C3D0A"/>
    <w:rPr>
      <w:b/>
      <w:bCs/>
    </w:rPr>
  </w:style>
  <w:style w:type="character" w:customStyle="1" w:styleId="KomentarotemaDiagrama">
    <w:name w:val="Komentaro tema Diagrama"/>
    <w:basedOn w:val="KomentarotekstasDiagrama"/>
    <w:link w:val="Komentarotema"/>
    <w:uiPriority w:val="99"/>
    <w:semiHidden/>
    <w:rsid w:val="002C3D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6A36C-9020-40B2-B5F6-C5765BB0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29407</Words>
  <Characters>16762</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dc:creator>
  <cp:lastModifiedBy>Ana </cp:lastModifiedBy>
  <cp:revision>13</cp:revision>
  <cp:lastPrinted>2015-09-17T09:46:00Z</cp:lastPrinted>
  <dcterms:created xsi:type="dcterms:W3CDTF">2018-04-23T06:16:00Z</dcterms:created>
  <dcterms:modified xsi:type="dcterms:W3CDTF">2018-04-23T09:07:00Z</dcterms:modified>
</cp:coreProperties>
</file>