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BE49A" w14:textId="77777777" w:rsidR="005C4FD3" w:rsidRDefault="00026342" w:rsidP="000449A8">
      <w:pPr>
        <w:ind w:left="7200"/>
        <w:rPr>
          <w:b/>
          <w:bCs/>
          <w:szCs w:val="24"/>
        </w:rPr>
      </w:pPr>
      <w:bookmarkStart w:id="0" w:name="_GoBack"/>
      <w:bookmarkEnd w:id="0"/>
      <w:r>
        <w:rPr>
          <w:b/>
          <w:bCs/>
          <w:szCs w:val="24"/>
        </w:rPr>
        <w:t>Projekto</w:t>
      </w:r>
      <w:r w:rsidR="004512E8">
        <w:rPr>
          <w:b/>
          <w:bCs/>
          <w:szCs w:val="24"/>
        </w:rPr>
        <w:t xml:space="preserve"> </w:t>
      </w:r>
    </w:p>
    <w:p w14:paraId="250DABAF" w14:textId="77777777" w:rsidR="00026342" w:rsidRDefault="00026342" w:rsidP="000449A8">
      <w:pPr>
        <w:ind w:left="7200"/>
        <w:rPr>
          <w:b/>
          <w:bCs/>
          <w:szCs w:val="24"/>
        </w:rPr>
      </w:pPr>
      <w:r>
        <w:rPr>
          <w:b/>
          <w:bCs/>
          <w:szCs w:val="24"/>
        </w:rPr>
        <w:t>lyginamasis variantas</w:t>
      </w:r>
    </w:p>
    <w:p w14:paraId="188013D8" w14:textId="77777777" w:rsidR="00026342" w:rsidRDefault="00026342" w:rsidP="000449A8">
      <w:pPr>
        <w:rPr>
          <w:b/>
          <w:caps/>
          <w:szCs w:val="24"/>
        </w:rPr>
      </w:pPr>
    </w:p>
    <w:p w14:paraId="048612F3" w14:textId="77777777" w:rsidR="00026342" w:rsidRDefault="00026342" w:rsidP="000449A8">
      <w:pPr>
        <w:jc w:val="center"/>
        <w:rPr>
          <w:b/>
          <w:caps/>
          <w:szCs w:val="24"/>
        </w:rPr>
      </w:pPr>
    </w:p>
    <w:p w14:paraId="2691A0B6" w14:textId="77777777" w:rsidR="00026342" w:rsidRDefault="00026342" w:rsidP="000449A8">
      <w:pPr>
        <w:jc w:val="center"/>
        <w:rPr>
          <w:b/>
          <w:caps/>
          <w:szCs w:val="24"/>
        </w:rPr>
      </w:pPr>
      <w:r>
        <w:rPr>
          <w:b/>
          <w:caps/>
          <w:szCs w:val="24"/>
        </w:rPr>
        <w:t>LIETUVOS RESPUBLIKOS VYRIAUSYBĖ</w:t>
      </w:r>
    </w:p>
    <w:p w14:paraId="3BCF34F1" w14:textId="77777777" w:rsidR="00026342" w:rsidRDefault="00026342" w:rsidP="000449A8">
      <w:pPr>
        <w:jc w:val="center"/>
        <w:rPr>
          <w:b/>
          <w:caps/>
          <w:szCs w:val="24"/>
        </w:rPr>
      </w:pPr>
    </w:p>
    <w:p w14:paraId="172EDEB1" w14:textId="77777777" w:rsidR="00026342" w:rsidRDefault="00026342" w:rsidP="000449A8">
      <w:pPr>
        <w:jc w:val="center"/>
        <w:rPr>
          <w:b/>
          <w:caps/>
          <w:szCs w:val="24"/>
        </w:rPr>
      </w:pPr>
      <w:r>
        <w:rPr>
          <w:b/>
          <w:caps/>
          <w:szCs w:val="24"/>
        </w:rPr>
        <w:t>NuTARIMAS</w:t>
      </w:r>
    </w:p>
    <w:p w14:paraId="7C21D74E" w14:textId="77777777" w:rsidR="00026342" w:rsidRDefault="00026342" w:rsidP="000449A8">
      <w:pPr>
        <w:jc w:val="center"/>
        <w:rPr>
          <w:b/>
          <w:bCs/>
          <w:caps/>
          <w:szCs w:val="24"/>
          <w:lang w:eastAsia="lt-LT"/>
        </w:rPr>
      </w:pPr>
      <w:r>
        <w:rPr>
          <w:b/>
          <w:bCs/>
          <w:caps/>
          <w:szCs w:val="24"/>
          <w:lang w:eastAsia="lt-LT"/>
        </w:rPr>
        <w:t>DĖL LIETUVOS RESPUBLIKOS VYRIAUSYBĖS 2001 M. GEGUŽĖS 22 D. NUTARIMO NR. 594 „</w:t>
      </w:r>
      <w:r>
        <w:rPr>
          <w:b/>
          <w:caps/>
          <w:szCs w:val="24"/>
          <w:lang w:eastAsia="lt-LT"/>
        </w:rPr>
        <w:t>Dėl TESTAMENTŲ REGISTRO</w:t>
      </w:r>
      <w:r>
        <w:rPr>
          <w:caps/>
          <w:szCs w:val="24"/>
          <w:lang w:eastAsia="lt-LT"/>
        </w:rPr>
        <w:t xml:space="preserve"> </w:t>
      </w:r>
      <w:r>
        <w:rPr>
          <w:b/>
          <w:caps/>
          <w:szCs w:val="24"/>
          <w:lang w:eastAsia="lt-LT"/>
        </w:rPr>
        <w:t>REORGANIZAVIMO IR TESTAMENTŲ REGISTRO</w:t>
      </w:r>
      <w:r>
        <w:rPr>
          <w:caps/>
          <w:szCs w:val="24"/>
          <w:lang w:eastAsia="lt-LT"/>
        </w:rPr>
        <w:t xml:space="preserve"> </w:t>
      </w:r>
      <w:r>
        <w:rPr>
          <w:b/>
          <w:caps/>
          <w:szCs w:val="24"/>
          <w:lang w:eastAsia="lt-LT"/>
        </w:rPr>
        <w:t>NUOSTATŲ PATVIRTINIMO</w:t>
      </w:r>
      <w:r>
        <w:rPr>
          <w:b/>
          <w:bCs/>
          <w:caps/>
          <w:szCs w:val="24"/>
          <w:lang w:eastAsia="lt-LT"/>
        </w:rPr>
        <w:t>“ pakeitimo</w:t>
      </w:r>
    </w:p>
    <w:p w14:paraId="394DD594" w14:textId="77777777" w:rsidR="00026342" w:rsidRDefault="00026342" w:rsidP="000449A8">
      <w:pPr>
        <w:jc w:val="center"/>
        <w:rPr>
          <w:caps/>
          <w:szCs w:val="24"/>
          <w:lang w:eastAsia="lt-LT"/>
        </w:rPr>
      </w:pPr>
    </w:p>
    <w:p w14:paraId="7A076D8C" w14:textId="77777777" w:rsidR="00026342" w:rsidRDefault="00026342" w:rsidP="000449A8">
      <w:pPr>
        <w:ind w:firstLine="60"/>
        <w:jc w:val="center"/>
        <w:rPr>
          <w:szCs w:val="24"/>
          <w:lang w:eastAsia="lt-LT"/>
        </w:rPr>
      </w:pPr>
      <w:r>
        <w:rPr>
          <w:szCs w:val="24"/>
          <w:lang w:eastAsia="lt-LT"/>
        </w:rPr>
        <w:t xml:space="preserve">2020 m.               d. Nr. </w:t>
      </w:r>
    </w:p>
    <w:p w14:paraId="0A028B73" w14:textId="77777777" w:rsidR="00026342" w:rsidRDefault="00026342" w:rsidP="000449A8">
      <w:pPr>
        <w:jc w:val="center"/>
        <w:rPr>
          <w:szCs w:val="24"/>
          <w:lang w:eastAsia="lt-LT"/>
        </w:rPr>
      </w:pPr>
      <w:r>
        <w:rPr>
          <w:szCs w:val="24"/>
          <w:lang w:eastAsia="lt-LT"/>
        </w:rPr>
        <w:t>Vilnius</w:t>
      </w:r>
    </w:p>
    <w:p w14:paraId="1EAC6A5C" w14:textId="77777777" w:rsidR="00026342" w:rsidRDefault="00026342" w:rsidP="000449A8">
      <w:pPr>
        <w:jc w:val="center"/>
        <w:rPr>
          <w:szCs w:val="24"/>
          <w:lang w:eastAsia="lt-LT"/>
        </w:rPr>
      </w:pPr>
    </w:p>
    <w:p w14:paraId="57790C02" w14:textId="77777777" w:rsidR="00026342" w:rsidRDefault="00026342" w:rsidP="00863D7F">
      <w:pPr>
        <w:ind w:firstLine="720"/>
        <w:jc w:val="both"/>
        <w:rPr>
          <w:szCs w:val="24"/>
          <w:lang w:eastAsia="lt-LT"/>
        </w:rPr>
      </w:pPr>
      <w:r>
        <w:rPr>
          <w:szCs w:val="24"/>
          <w:lang w:eastAsia="lt-LT"/>
        </w:rPr>
        <w:t>Lietuvos Respublikos Vyriausybė</w:t>
      </w:r>
      <w:r>
        <w:rPr>
          <w:spacing w:val="100"/>
          <w:szCs w:val="24"/>
          <w:lang w:eastAsia="lt-LT"/>
        </w:rPr>
        <w:t xml:space="preserve"> </w:t>
      </w:r>
      <w:r w:rsidRPr="00580844">
        <w:rPr>
          <w:spacing w:val="70"/>
          <w:szCs w:val="24"/>
          <w:lang w:eastAsia="lt-LT"/>
        </w:rPr>
        <w:t>nutari</w:t>
      </w:r>
      <w:r>
        <w:rPr>
          <w:szCs w:val="24"/>
          <w:lang w:eastAsia="lt-LT"/>
        </w:rPr>
        <w:t>a:</w:t>
      </w:r>
    </w:p>
    <w:p w14:paraId="59CE9898" w14:textId="7F02B483" w:rsidR="00026342" w:rsidRDefault="00026342" w:rsidP="00863D7F">
      <w:pPr>
        <w:ind w:firstLine="720"/>
        <w:jc w:val="both"/>
        <w:rPr>
          <w:szCs w:val="24"/>
          <w:lang w:eastAsia="lt-LT"/>
        </w:rPr>
      </w:pPr>
      <w:r>
        <w:rPr>
          <w:szCs w:val="24"/>
          <w:lang w:eastAsia="lt-LT"/>
        </w:rPr>
        <w:t xml:space="preserve">1. Pakeisti Lietuvos Respublikos Vyriausybės 2001 m. gegužės 22 d. </w:t>
      </w:r>
      <w:r w:rsidR="00E20679">
        <w:rPr>
          <w:szCs w:val="24"/>
          <w:lang w:eastAsia="lt-LT"/>
        </w:rPr>
        <w:t xml:space="preserve">nutarimą </w:t>
      </w:r>
      <w:r>
        <w:rPr>
          <w:szCs w:val="24"/>
          <w:lang w:eastAsia="lt-LT"/>
        </w:rPr>
        <w:t>Nr.</w:t>
      </w:r>
      <w:r w:rsidR="00047756">
        <w:rPr>
          <w:szCs w:val="24"/>
          <w:lang w:eastAsia="lt-LT"/>
        </w:rPr>
        <w:t> </w:t>
      </w:r>
      <w:r>
        <w:rPr>
          <w:szCs w:val="24"/>
          <w:lang w:eastAsia="lt-LT"/>
        </w:rPr>
        <w:t>594 „Dėl Testamentų registro reorganizavimo ir Testamentų registro nuostatų patvirtinimo“</w:t>
      </w:r>
      <w:bookmarkStart w:id="1" w:name="part_79471b108a7e469686a8e52c762bde5b"/>
      <w:bookmarkEnd w:id="1"/>
      <w:r w:rsidR="000B6D56">
        <w:rPr>
          <w:szCs w:val="24"/>
          <w:lang w:eastAsia="lt-LT"/>
        </w:rPr>
        <w:t xml:space="preserve"> ir jį išdėstyti nauja redakcija (Testamentų registro nuostatai nauja redakcija nedėstomi)</w:t>
      </w:r>
      <w:r>
        <w:rPr>
          <w:szCs w:val="24"/>
          <w:lang w:eastAsia="lt-LT"/>
        </w:rPr>
        <w:t>:</w:t>
      </w:r>
    </w:p>
    <w:p w14:paraId="38BD7E9C" w14:textId="77777777" w:rsidR="000B6D56" w:rsidRPr="00BA75B0" w:rsidRDefault="000B6D56" w:rsidP="000B6D56">
      <w:pPr>
        <w:spacing w:line="252" w:lineRule="auto"/>
        <w:jc w:val="center"/>
        <w:rPr>
          <w:color w:val="000000"/>
          <w:lang w:eastAsia="lt-LT"/>
        </w:rPr>
      </w:pPr>
      <w:r w:rsidRPr="00683E6D">
        <w:rPr>
          <w:color w:val="000000"/>
          <w:lang w:eastAsia="lt-LT"/>
        </w:rPr>
        <w:t>„</w:t>
      </w:r>
      <w:r w:rsidRPr="00BA75B0">
        <w:rPr>
          <w:color w:val="000000"/>
          <w:lang w:eastAsia="lt-LT"/>
        </w:rPr>
        <w:t>LIETUVOS RESPUBLIKOS VYRIAUSYBĖ</w:t>
      </w:r>
    </w:p>
    <w:p w14:paraId="58AEF6C5" w14:textId="77777777" w:rsidR="000B6D56" w:rsidRPr="00BA75B0" w:rsidRDefault="000B6D56" w:rsidP="000B6D56">
      <w:pPr>
        <w:spacing w:line="252" w:lineRule="auto"/>
        <w:jc w:val="center"/>
        <w:rPr>
          <w:color w:val="000000"/>
          <w:lang w:eastAsia="lt-LT"/>
        </w:rPr>
      </w:pPr>
    </w:p>
    <w:p w14:paraId="4B3DC413" w14:textId="77777777" w:rsidR="000B6D56" w:rsidRPr="00BA75B0" w:rsidRDefault="000B6D56" w:rsidP="000B6D56">
      <w:pPr>
        <w:spacing w:line="252" w:lineRule="auto"/>
        <w:jc w:val="center"/>
        <w:rPr>
          <w:color w:val="000000"/>
          <w:lang w:eastAsia="lt-LT"/>
        </w:rPr>
      </w:pPr>
      <w:r w:rsidRPr="00BA75B0">
        <w:rPr>
          <w:color w:val="000000"/>
          <w:lang w:eastAsia="lt-LT"/>
        </w:rPr>
        <w:t>NUTARIMAS</w:t>
      </w:r>
    </w:p>
    <w:p w14:paraId="60AA4415" w14:textId="7ED102DA" w:rsidR="000B6D56" w:rsidRDefault="000B6D56" w:rsidP="003531DE">
      <w:pPr>
        <w:ind w:firstLine="720"/>
        <w:jc w:val="center"/>
        <w:rPr>
          <w:szCs w:val="24"/>
          <w:lang w:eastAsia="lt-LT"/>
        </w:rPr>
      </w:pPr>
      <w:r w:rsidRPr="002B2F80">
        <w:rPr>
          <w:bCs/>
          <w:caps/>
        </w:rPr>
        <w:t xml:space="preserve">DĖL </w:t>
      </w:r>
      <w:r>
        <w:rPr>
          <w:bCs/>
          <w:caps/>
        </w:rPr>
        <w:t>TESTAMENTŲ REGISTRO NU</w:t>
      </w:r>
      <w:r w:rsidR="00A539F0">
        <w:rPr>
          <w:bCs/>
          <w:caps/>
        </w:rPr>
        <w:t>O</w:t>
      </w:r>
      <w:r>
        <w:rPr>
          <w:bCs/>
          <w:caps/>
        </w:rPr>
        <w:t xml:space="preserve">STATŲ </w:t>
      </w:r>
      <w:r w:rsidRPr="002B2F80">
        <w:rPr>
          <w:bCs/>
          <w:caps/>
        </w:rPr>
        <w:t>PATVIRTINIMO</w:t>
      </w:r>
    </w:p>
    <w:p w14:paraId="10123164" w14:textId="5BF2983E" w:rsidR="00863D7F" w:rsidRDefault="00863D7F" w:rsidP="00863D7F">
      <w:pPr>
        <w:tabs>
          <w:tab w:val="center" w:pos="4153"/>
          <w:tab w:val="right" w:pos="8306"/>
        </w:tabs>
        <w:ind w:firstLine="720"/>
        <w:jc w:val="both"/>
        <w:rPr>
          <w:szCs w:val="24"/>
          <w:lang w:eastAsia="lt-LT"/>
        </w:rPr>
      </w:pPr>
    </w:p>
    <w:p w14:paraId="2B52FACB" w14:textId="0DDB88E1" w:rsidR="00863D7F" w:rsidRDefault="00863D7F" w:rsidP="000B6D56">
      <w:pPr>
        <w:ind w:firstLine="720"/>
        <w:jc w:val="both"/>
        <w:rPr>
          <w:lang w:eastAsia="lt-LT"/>
        </w:rPr>
      </w:pPr>
      <w:r>
        <w:rPr>
          <w:lang w:eastAsia="lt-LT"/>
        </w:rPr>
        <w:t>Vadovaudamasi Lietuvos Respublikos civilinio kodekso 5.32 straipsnio</w:t>
      </w:r>
      <w:r>
        <w:rPr>
          <w:b/>
          <w:lang w:eastAsia="lt-LT"/>
        </w:rPr>
        <w:t xml:space="preserve"> </w:t>
      </w:r>
      <w:r>
        <w:rPr>
          <w:lang w:eastAsia="lt-LT"/>
        </w:rPr>
        <w:t>1 dalimi, Lietuvos</w:t>
      </w:r>
      <w:r w:rsidR="00047756">
        <w:rPr>
          <w:lang w:eastAsia="lt-LT"/>
        </w:rPr>
        <w:t> </w:t>
      </w:r>
      <w:r>
        <w:rPr>
          <w:lang w:eastAsia="lt-LT"/>
        </w:rPr>
        <w:t>Respublikos valstybės informacinių išteklių valdymo įstatymo 18 straipsnio 2 dalimi, 20</w:t>
      </w:r>
      <w:r w:rsidR="00047756">
        <w:rPr>
          <w:lang w:eastAsia="lt-LT"/>
        </w:rPr>
        <w:t> </w:t>
      </w:r>
      <w:r>
        <w:rPr>
          <w:lang w:eastAsia="lt-LT"/>
        </w:rPr>
        <w:t xml:space="preserve">straipsnio 1 dalimi ir atsižvelgdama į 2012 m. liepos 4 d. Europos Parlamento ir Tarybos reglamentą (ES) Nr. 650/2012 dėl jurisdikcijos, taikytinos teisės, teismo sprendimų paveldėjimo klausimais pripažinimo ir vykdymo bei autentiškų dokumentų paveldėjimo klausimais priėmimo ir vykdymo bei dėl Europos paveldėjimo pažymėjimo sukūrimo </w:t>
      </w:r>
      <w:r w:rsidRPr="00863D7F">
        <w:rPr>
          <w:strike/>
          <w:lang w:eastAsia="lt-LT"/>
        </w:rPr>
        <w:t>(OL 2012 L 201, p. 107)</w:t>
      </w:r>
      <w:r>
        <w:rPr>
          <w:lang w:eastAsia="lt-LT"/>
        </w:rPr>
        <w:t>, Lietuvos Respublikos Vyriausybė</w:t>
      </w:r>
      <w:r>
        <w:rPr>
          <w:spacing w:val="100"/>
          <w:lang w:eastAsia="lt-LT"/>
        </w:rPr>
        <w:t xml:space="preserve"> </w:t>
      </w:r>
      <w:r w:rsidRPr="00580844">
        <w:rPr>
          <w:spacing w:val="70"/>
          <w:lang w:eastAsia="lt-LT"/>
        </w:rPr>
        <w:t>nutari</w:t>
      </w:r>
      <w:r w:rsidRPr="00047756">
        <w:rPr>
          <w:lang w:eastAsia="lt-LT"/>
        </w:rPr>
        <w:t>a</w:t>
      </w:r>
      <w:r>
        <w:rPr>
          <w:lang w:eastAsia="lt-LT"/>
        </w:rPr>
        <w:t>:</w:t>
      </w:r>
    </w:p>
    <w:p w14:paraId="35951022" w14:textId="77777777" w:rsidR="000B6D56" w:rsidRPr="003531DE" w:rsidRDefault="000B6D56" w:rsidP="003531DE">
      <w:pPr>
        <w:ind w:firstLine="720"/>
        <w:jc w:val="both"/>
        <w:rPr>
          <w:strike/>
          <w:lang w:eastAsia="lt-LT"/>
        </w:rPr>
      </w:pPr>
      <w:r w:rsidRPr="003531DE">
        <w:rPr>
          <w:strike/>
          <w:lang w:eastAsia="lt-LT"/>
        </w:rPr>
        <w:t>1. Reorganizuoti Testamentų registrą keičiant registro tvarkytoją – valstybės įmonę Centrinę hipotekos įstaigą prijungti prie valstybės įmonės Registrų centro, kuriai po reorganizavimo pereina visos reorganizuotos valstybės įmonės Centrinės hipotekos įstaigos teisės ir pareigos, ir nustatyti, kad:</w:t>
      </w:r>
    </w:p>
    <w:p w14:paraId="3298AC2A" w14:textId="77777777" w:rsidR="000B6D56" w:rsidRPr="003531DE" w:rsidRDefault="000B6D56" w:rsidP="003531DE">
      <w:pPr>
        <w:ind w:firstLine="720"/>
        <w:jc w:val="both"/>
        <w:rPr>
          <w:strike/>
          <w:lang w:eastAsia="lt-LT"/>
        </w:rPr>
      </w:pPr>
      <w:r w:rsidRPr="003531DE">
        <w:rPr>
          <w:strike/>
          <w:lang w:eastAsia="lt-LT"/>
        </w:rPr>
        <w:t>1.1. iki Testamentų registro reorganizavimo išduoti dokumentai laikomi galiojančiais, kol pasibaigia jų galiojimo terminas;</w:t>
      </w:r>
    </w:p>
    <w:p w14:paraId="2611897F" w14:textId="77777777" w:rsidR="000B6D56" w:rsidRPr="003531DE" w:rsidRDefault="000B6D56" w:rsidP="003531DE">
      <w:pPr>
        <w:ind w:firstLine="720"/>
        <w:jc w:val="both"/>
        <w:rPr>
          <w:strike/>
          <w:lang w:eastAsia="lt-LT"/>
        </w:rPr>
      </w:pPr>
      <w:r w:rsidRPr="003531DE">
        <w:rPr>
          <w:strike/>
          <w:lang w:eastAsia="lt-LT"/>
        </w:rPr>
        <w:t xml:space="preserve">1.2. iki Testamentų registro reorganizavimo visi jame įregistruoti duomenys laikomi teisingais ir išsamiais, kol jie nenuginčyti įstatymų nustatyta tvarka. </w:t>
      </w:r>
    </w:p>
    <w:p w14:paraId="77ACA724" w14:textId="5C081F58" w:rsidR="000B6D56" w:rsidRPr="00863D7F" w:rsidRDefault="000B6D56" w:rsidP="003608EC">
      <w:pPr>
        <w:ind w:firstLine="720"/>
        <w:jc w:val="both"/>
      </w:pPr>
      <w:r w:rsidRPr="003531DE">
        <w:rPr>
          <w:strike/>
          <w:lang w:eastAsia="lt-LT"/>
        </w:rPr>
        <w:t>2.</w:t>
      </w:r>
      <w:r>
        <w:rPr>
          <w:lang w:eastAsia="lt-LT"/>
        </w:rPr>
        <w:t xml:space="preserve"> Patvirtinti Testamentų registro nuostatus (pridedama).</w:t>
      </w:r>
      <w:r w:rsidR="003608EC">
        <w:rPr>
          <w:lang w:eastAsia="lt-LT"/>
        </w:rPr>
        <w:t>“</w:t>
      </w:r>
    </w:p>
    <w:p w14:paraId="19A024B6" w14:textId="3A1ED29E" w:rsidR="00863D7F" w:rsidRDefault="00863D7F" w:rsidP="000B6D56">
      <w:pPr>
        <w:ind w:firstLine="720"/>
        <w:jc w:val="both"/>
      </w:pPr>
      <w:r>
        <w:rPr>
          <w:szCs w:val="24"/>
          <w:lang w:val="en-US" w:eastAsia="lt-LT"/>
        </w:rPr>
        <w:t xml:space="preserve">2. </w:t>
      </w:r>
      <w:r>
        <w:t>Pakeisti nurodytu nutarimu patvirtintus Testamentų registro nuostatus:</w:t>
      </w:r>
    </w:p>
    <w:p w14:paraId="2F1E8278" w14:textId="4B82B7B0" w:rsidR="00A22B05" w:rsidRDefault="00A22B05" w:rsidP="00A22B05">
      <w:pPr>
        <w:ind w:firstLine="720"/>
        <w:jc w:val="both"/>
      </w:pPr>
      <w:r>
        <w:rPr>
          <w:lang w:val="en-US"/>
        </w:rPr>
        <w:t xml:space="preserve">2.1. </w:t>
      </w:r>
      <w:r w:rsidRPr="00A22B05">
        <w:t>Pakeisti 5 punktą ir</w:t>
      </w:r>
      <w:r>
        <w:t xml:space="preserve"> jį išdėstyti taip:</w:t>
      </w:r>
    </w:p>
    <w:p w14:paraId="01C5301B" w14:textId="1AE097CC" w:rsidR="00A22B05" w:rsidRDefault="00A22B05" w:rsidP="00A22B05">
      <w:pPr>
        <w:ind w:firstLine="720"/>
        <w:jc w:val="both"/>
      </w:pPr>
      <w:r>
        <w:rPr>
          <w:lang w:eastAsia="lt-LT"/>
        </w:rPr>
        <w:t>,,</w:t>
      </w:r>
      <w:r>
        <w:rPr>
          <w:rFonts w:eastAsia="Calibri"/>
          <w:szCs w:val="24"/>
          <w:lang w:eastAsia="lt-LT"/>
        </w:rPr>
        <w:t>5. Pagrindinės Nuostatuose vartojamos sąvokos</w:t>
      </w:r>
      <w:r>
        <w:rPr>
          <w:rFonts w:eastAsia="Calibri"/>
          <w:color w:val="000000"/>
          <w:szCs w:val="24"/>
          <w:lang w:eastAsia="lt-LT"/>
        </w:rPr>
        <w:t xml:space="preserve"> apibrėžtos </w:t>
      </w:r>
      <w:r>
        <w:rPr>
          <w:rFonts w:eastAsia="Calibri"/>
          <w:szCs w:val="24"/>
          <w:lang w:eastAsia="lt-LT"/>
        </w:rPr>
        <w:t>1972 m. gegužės 16 d. Konvencijoje dėl testamentų registravimo sistemos sukūrimo (toliau – Konvencija)</w:t>
      </w:r>
      <w:r>
        <w:rPr>
          <w:rFonts w:eastAsia="Calibri"/>
          <w:color w:val="000000"/>
          <w:szCs w:val="24"/>
          <w:lang w:eastAsia="lt-LT"/>
        </w:rPr>
        <w:t xml:space="preserve">, </w:t>
      </w:r>
      <w:r w:rsidRPr="00A22B05">
        <w:rPr>
          <w:rFonts w:eastAsia="Calibri"/>
          <w:strike/>
          <w:szCs w:val="24"/>
          <w:lang w:eastAsia="lt-LT"/>
        </w:rPr>
        <w:t>Europos Parlamento ir Tarybos 2012 m. liepos 4 d. reglamente (ES) Nr. 650/2012 dėl jurisdikcijos, taikytinos teisės, teismo sprendimų paveldėjimo klausimais pripažinimo ir vykdymo bei autentiškų dokumentų paveldėjimo klausimais priėmimo ir vykdymo bei dėl Europos paveldėjimo pažymėjimo sukūrimo (toliau – Reglamentas)</w:t>
      </w:r>
      <w:r w:rsidRPr="00A22B05">
        <w:t xml:space="preserve"> </w:t>
      </w:r>
      <w:r w:rsidR="00B40F65" w:rsidRPr="00B40F65">
        <w:rPr>
          <w:b/>
        </w:rPr>
        <w:t>Reglamente (ES) </w:t>
      </w:r>
      <w:r w:rsidR="00B40F65" w:rsidRPr="00B40F65">
        <w:rPr>
          <w:b/>
          <w:lang w:val="en-US"/>
        </w:rPr>
        <w:t>650</w:t>
      </w:r>
      <w:r w:rsidR="00B40F65" w:rsidRPr="00B40F65">
        <w:rPr>
          <w:b/>
        </w:rPr>
        <w:t>/2012</w:t>
      </w:r>
      <w:r>
        <w:rPr>
          <w:rFonts w:eastAsia="Calibri"/>
          <w:szCs w:val="24"/>
          <w:lang w:eastAsia="lt-LT"/>
        </w:rPr>
        <w:t xml:space="preserve">, </w:t>
      </w:r>
      <w:r>
        <w:rPr>
          <w:rFonts w:eastAsia="Calibri"/>
          <w:color w:val="000000"/>
          <w:szCs w:val="24"/>
          <w:lang w:eastAsia="lt-LT"/>
        </w:rPr>
        <w:t>Lietuvos Respublikos civiliniame kodekse, Lietuvos Respublikos valstybės informacinių išteklių valdymo įstatyme.</w:t>
      </w:r>
      <w:r>
        <w:rPr>
          <w:lang w:eastAsia="lt-LT"/>
        </w:rPr>
        <w:t>“</w:t>
      </w:r>
      <w:r>
        <w:t xml:space="preserve"> </w:t>
      </w:r>
    </w:p>
    <w:p w14:paraId="48B9C033" w14:textId="70CDAEEE" w:rsidR="00A22B05" w:rsidRDefault="00A22B05" w:rsidP="00A22B05">
      <w:pPr>
        <w:ind w:firstLine="720"/>
        <w:jc w:val="both"/>
      </w:pPr>
      <w:r>
        <w:rPr>
          <w:lang w:val="en-US"/>
        </w:rPr>
        <w:t xml:space="preserve">2.2. </w:t>
      </w:r>
      <w:r w:rsidRPr="00A22B05">
        <w:t>Pakeisti 6 punktą ir</w:t>
      </w:r>
      <w:r>
        <w:t xml:space="preserve"> jį išdėstyti taip:</w:t>
      </w:r>
    </w:p>
    <w:p w14:paraId="3A2392D8" w14:textId="79C0C345" w:rsidR="00A22B05" w:rsidRPr="00A22B05" w:rsidRDefault="00A22B05" w:rsidP="00A22B05">
      <w:pPr>
        <w:ind w:firstLine="720"/>
        <w:jc w:val="both"/>
        <w:rPr>
          <w:szCs w:val="24"/>
          <w:lang w:eastAsia="lt-LT"/>
        </w:rPr>
      </w:pPr>
      <w:r>
        <w:rPr>
          <w:lang w:val="en-US"/>
        </w:rPr>
        <w:t>,</w:t>
      </w:r>
      <w:proofErr w:type="gramStart"/>
      <w:r>
        <w:rPr>
          <w:lang w:val="en-US"/>
        </w:rPr>
        <w:t>,</w:t>
      </w:r>
      <w:r w:rsidR="00DD626E">
        <w:rPr>
          <w:lang w:val="en-US"/>
        </w:rPr>
        <w:t>6</w:t>
      </w:r>
      <w:proofErr w:type="gramEnd"/>
      <w:r w:rsidR="00DD626E">
        <w:rPr>
          <w:lang w:val="en-US"/>
        </w:rPr>
        <w:t xml:space="preserve">. </w:t>
      </w:r>
      <w:r>
        <w:rPr>
          <w:rFonts w:eastAsia="Calibri"/>
          <w:szCs w:val="24"/>
          <w:lang w:eastAsia="lt-LT"/>
        </w:rPr>
        <w:t xml:space="preserve">Registras tvarkomas vadovaujantis Konvencija, </w:t>
      </w:r>
      <w:r w:rsidR="00B40F65">
        <w:rPr>
          <w:b/>
        </w:rPr>
        <w:t>Reglamentu</w:t>
      </w:r>
      <w:r w:rsidR="00B40F65" w:rsidRPr="00B40F65">
        <w:rPr>
          <w:b/>
        </w:rPr>
        <w:t xml:space="preserve"> (ES) </w:t>
      </w:r>
      <w:r w:rsidR="00B40F65" w:rsidRPr="00B40F65">
        <w:rPr>
          <w:b/>
          <w:lang w:val="en-US"/>
        </w:rPr>
        <w:t>650</w:t>
      </w:r>
      <w:r w:rsidR="00B40F65" w:rsidRPr="00B40F65">
        <w:rPr>
          <w:b/>
        </w:rPr>
        <w:t>/2012</w:t>
      </w:r>
      <w:r>
        <w:rPr>
          <w:rFonts w:eastAsia="Calibri"/>
          <w:szCs w:val="24"/>
          <w:lang w:eastAsia="lt-LT"/>
        </w:rPr>
        <w:t xml:space="preserve">, Lietuvos Respublikos civiliniu kodeksu, </w:t>
      </w:r>
      <w:r>
        <w:rPr>
          <w:rFonts w:eastAsia="Calibri"/>
          <w:color w:val="000000"/>
          <w:szCs w:val="24"/>
          <w:lang w:eastAsia="lt-LT"/>
        </w:rPr>
        <w:t xml:space="preserve">Lietuvos Respublikos valstybės informacinių išteklių valdymo įstatymu, </w:t>
      </w:r>
      <w:r>
        <w:rPr>
          <w:rFonts w:eastAsia="Calibri"/>
          <w:szCs w:val="24"/>
          <w:lang w:eastAsia="lt-LT"/>
        </w:rPr>
        <w:t xml:space="preserve">Lietuvos Respublikos asmens duomenų teisinės apsaugos įstatymu, Lietuvos Respublikos </w:t>
      </w:r>
      <w:r>
        <w:rPr>
          <w:rFonts w:eastAsia="Calibri"/>
          <w:szCs w:val="24"/>
          <w:lang w:eastAsia="lt-LT"/>
        </w:rPr>
        <w:lastRenderedPageBreak/>
        <w:t xml:space="preserve">notariato įstatymu, </w:t>
      </w:r>
      <w:r>
        <w:rPr>
          <w:rFonts w:eastAsia="Calibri"/>
          <w:color w:val="000000"/>
          <w:szCs w:val="24"/>
          <w:lang w:eastAsia="lt-LT"/>
        </w:rPr>
        <w:t>Nuostatais ir registro valdytojo ir (ar) registro tvarkytojo patvirtintomis taisyklėmis.</w:t>
      </w:r>
      <w:r>
        <w:t>“</w:t>
      </w:r>
    </w:p>
    <w:p w14:paraId="6A991F82" w14:textId="6FD324A5" w:rsidR="003B1C26" w:rsidRDefault="00A22B05" w:rsidP="00A22B05">
      <w:pPr>
        <w:ind w:firstLine="720"/>
        <w:jc w:val="both"/>
        <w:rPr>
          <w:szCs w:val="24"/>
          <w:lang w:eastAsia="lt-LT"/>
        </w:rPr>
      </w:pPr>
      <w:r>
        <w:rPr>
          <w:szCs w:val="24"/>
          <w:lang w:eastAsia="lt-LT"/>
        </w:rPr>
        <w:t>2.3</w:t>
      </w:r>
      <w:r w:rsidR="003B1C26">
        <w:rPr>
          <w:szCs w:val="24"/>
          <w:lang w:eastAsia="lt-LT"/>
        </w:rPr>
        <w:t>. Pripažinti netekusiu galios 13.4 papunktį.</w:t>
      </w:r>
    </w:p>
    <w:p w14:paraId="598CA264" w14:textId="77777777" w:rsidR="00863D7F" w:rsidRDefault="003B1C26" w:rsidP="00863D7F">
      <w:pPr>
        <w:ind w:firstLine="720"/>
        <w:jc w:val="both"/>
        <w:rPr>
          <w:strike/>
          <w:szCs w:val="24"/>
          <w:lang w:eastAsia="lt-LT"/>
        </w:rPr>
      </w:pPr>
      <w:r w:rsidRPr="00C22009">
        <w:rPr>
          <w:strike/>
          <w:szCs w:val="24"/>
          <w:lang w:eastAsia="lt-LT"/>
        </w:rPr>
        <w:t>13.4. teisę nustatyti registre atliktų paieškų išklot</w:t>
      </w:r>
      <w:r w:rsidRPr="00EF2ED5">
        <w:rPr>
          <w:strike/>
          <w:szCs w:val="24"/>
          <w:lang w:eastAsia="lt-LT"/>
        </w:rPr>
        <w:t>i</w:t>
      </w:r>
      <w:r w:rsidRPr="00C22009">
        <w:rPr>
          <w:strike/>
          <w:szCs w:val="24"/>
          <w:lang w:eastAsia="lt-LT"/>
        </w:rPr>
        <w:t>nės, suvestinės apie asmenis, kurie domėjosi registre tvarkomais asmens duomenimis, atlyginimo dydžius.</w:t>
      </w:r>
    </w:p>
    <w:p w14:paraId="205E2C0C" w14:textId="1231CBAD" w:rsidR="00026342" w:rsidRPr="00863D7F" w:rsidRDefault="00A22B05" w:rsidP="00863D7F">
      <w:pPr>
        <w:ind w:firstLine="720"/>
        <w:jc w:val="both"/>
        <w:rPr>
          <w:strike/>
          <w:szCs w:val="24"/>
          <w:lang w:eastAsia="lt-LT"/>
        </w:rPr>
      </w:pPr>
      <w:r>
        <w:rPr>
          <w:szCs w:val="24"/>
          <w:lang w:eastAsia="lt-LT"/>
        </w:rPr>
        <w:t>2.4</w:t>
      </w:r>
      <w:r w:rsidR="00863D7F" w:rsidRPr="00863D7F">
        <w:rPr>
          <w:szCs w:val="24"/>
          <w:lang w:eastAsia="lt-LT"/>
        </w:rPr>
        <w:t>.</w:t>
      </w:r>
      <w:r w:rsidR="003B1C26" w:rsidRPr="00863D7F">
        <w:rPr>
          <w:szCs w:val="24"/>
          <w:lang w:eastAsia="lt-LT"/>
        </w:rPr>
        <w:t xml:space="preserve"> </w:t>
      </w:r>
      <w:r w:rsidR="00026342">
        <w:rPr>
          <w:lang w:eastAsia="lt-LT"/>
        </w:rPr>
        <w:t>Papildyti 48</w:t>
      </w:r>
      <w:r w:rsidR="00026342" w:rsidRPr="00863D7F">
        <w:rPr>
          <w:vertAlign w:val="superscript"/>
          <w:lang w:eastAsia="lt-LT"/>
        </w:rPr>
        <w:t>1</w:t>
      </w:r>
      <w:r w:rsidR="00026342">
        <w:rPr>
          <w:lang w:eastAsia="lt-LT"/>
        </w:rPr>
        <w:t xml:space="preserve"> punktu:</w:t>
      </w:r>
    </w:p>
    <w:p w14:paraId="18A36992" w14:textId="4B55E026" w:rsidR="00F052F8" w:rsidRDefault="00026342" w:rsidP="000449A8">
      <w:pPr>
        <w:tabs>
          <w:tab w:val="left" w:pos="709"/>
        </w:tabs>
        <w:ind w:firstLine="720"/>
        <w:jc w:val="both"/>
      </w:pPr>
      <w:r w:rsidRPr="00EF2ED5">
        <w:rPr>
          <w:szCs w:val="24"/>
          <w:lang w:eastAsia="lt-LT"/>
        </w:rPr>
        <w:t>„</w:t>
      </w:r>
      <w:r w:rsidRPr="00EF2ED5">
        <w:rPr>
          <w:b/>
          <w:szCs w:val="24"/>
          <w:lang w:eastAsia="lt-LT"/>
        </w:rPr>
        <w:t>48</w:t>
      </w:r>
      <w:r w:rsidRPr="00EF2ED5">
        <w:rPr>
          <w:b/>
          <w:szCs w:val="24"/>
          <w:vertAlign w:val="superscript"/>
          <w:lang w:eastAsia="lt-LT"/>
        </w:rPr>
        <w:t>1</w:t>
      </w:r>
      <w:r w:rsidRPr="00EF2ED5">
        <w:rPr>
          <w:b/>
          <w:lang w:eastAsia="lt-LT"/>
        </w:rPr>
        <w:t xml:space="preserve">. Už </w:t>
      </w:r>
      <w:r w:rsidRPr="00EF2ED5">
        <w:rPr>
          <w:rFonts w:eastAsia="Calibri"/>
          <w:b/>
          <w:szCs w:val="24"/>
          <w:lang w:eastAsia="lt-LT"/>
        </w:rPr>
        <w:t xml:space="preserve">testamento įregistravimą (išregistravimą), pareiškimo dėl palikimo priėmimo padavimo ne palikimo atsiradimo vietos notarui fakto, pareiškimo dėl palikimo atsisakymo padavimo ne palikimo atsiradimo vietos notarui fakto, palikimo priėmimo fakto ir palikimo atsisakymo fakto </w:t>
      </w:r>
      <w:r w:rsidRPr="00EF2ED5">
        <w:rPr>
          <w:b/>
          <w:lang w:eastAsia="lt-LT"/>
        </w:rPr>
        <w:t>įregistravimą, duomenų keitimo, žymos</w:t>
      </w:r>
      <w:r w:rsidR="00D86A82" w:rsidRPr="00EF2ED5">
        <w:rPr>
          <w:b/>
          <w:lang w:eastAsia="lt-LT"/>
        </w:rPr>
        <w:t xml:space="preserve"> </w:t>
      </w:r>
      <w:r w:rsidR="00D86A82" w:rsidRPr="00EF2ED5">
        <w:rPr>
          <w:b/>
          <w:szCs w:val="24"/>
          <w:lang w:eastAsia="lt-LT"/>
        </w:rPr>
        <w:t xml:space="preserve">apie paveldėjimo bylos išsiuntimą kitam notarui, </w:t>
      </w:r>
      <w:r w:rsidR="00D86A82" w:rsidRPr="00EF2ED5">
        <w:rPr>
          <w:rFonts w:eastAsia="MS Mincho"/>
          <w:b/>
          <w:szCs w:val="24"/>
          <w:lang w:eastAsia="lt-LT"/>
        </w:rPr>
        <w:t>papildomo paveldėjimo teisės liudijimo išdavimą</w:t>
      </w:r>
      <w:r w:rsidR="00D86A82" w:rsidRPr="00EF2ED5">
        <w:rPr>
          <w:b/>
          <w:lang w:eastAsia="lt-LT"/>
        </w:rPr>
        <w:t xml:space="preserve">, </w:t>
      </w:r>
      <w:r w:rsidR="00D86A82" w:rsidRPr="00EF2ED5">
        <w:rPr>
          <w:b/>
          <w:szCs w:val="24"/>
          <w:lang w:eastAsia="lt-LT"/>
        </w:rPr>
        <w:t>paveldėjimo teisių perleidimą</w:t>
      </w:r>
      <w:r w:rsidR="00D86A82" w:rsidRPr="00EF2ED5">
        <w:rPr>
          <w:b/>
          <w:lang w:eastAsia="lt-LT"/>
        </w:rPr>
        <w:t xml:space="preserve">, </w:t>
      </w:r>
      <w:r w:rsidR="00047756">
        <w:rPr>
          <w:b/>
          <w:lang w:eastAsia="lt-LT"/>
        </w:rPr>
        <w:t xml:space="preserve">taip pat </w:t>
      </w:r>
      <w:r w:rsidR="00D86A82" w:rsidRPr="00EF2ED5">
        <w:rPr>
          <w:rFonts w:eastAsia="Calibri"/>
          <w:b/>
          <w:szCs w:val="24"/>
          <w:lang w:eastAsia="lt-LT"/>
        </w:rPr>
        <w:t>apie Europos paveldėjimo pažymėjimo išdavimo faktą</w:t>
      </w:r>
      <w:r w:rsidR="00D86A82" w:rsidRPr="00EF2ED5">
        <w:rPr>
          <w:rFonts w:eastAsia="Calibri"/>
          <w:szCs w:val="24"/>
          <w:lang w:eastAsia="lt-LT"/>
        </w:rPr>
        <w:t xml:space="preserve"> </w:t>
      </w:r>
      <w:r w:rsidRPr="00EF2ED5">
        <w:rPr>
          <w:b/>
          <w:lang w:eastAsia="lt-LT"/>
        </w:rPr>
        <w:t xml:space="preserve">įrašymą registre mokamas Lietuvos Respublikos Vyriausybės nustatyto dydžio atlyginimas. </w:t>
      </w:r>
      <w:r w:rsidRPr="00EF2ED5">
        <w:rPr>
          <w:b/>
          <w:szCs w:val="24"/>
          <w:lang w:eastAsia="lt-LT"/>
        </w:rPr>
        <w:t xml:space="preserve">Atlyginimo mokėjimo tvarką nustato registro tvarkytojas. </w:t>
      </w:r>
      <w:r w:rsidRPr="00EF2ED5">
        <w:rPr>
          <w:b/>
        </w:rPr>
        <w:t>Neatlygintinai šiame punkte nurodyti objektai registre registruojami Lietuvos Respublikos valstybės informacinių išteklių valdymo įstatymo nustatytais atvejais.</w:t>
      </w:r>
      <w:r w:rsidRPr="00EF2ED5">
        <w:t>“</w:t>
      </w:r>
    </w:p>
    <w:p w14:paraId="4955ABAF" w14:textId="21EA41F6" w:rsidR="00606087" w:rsidRDefault="00606087" w:rsidP="000449A8">
      <w:pPr>
        <w:tabs>
          <w:tab w:val="left" w:pos="709"/>
        </w:tabs>
        <w:ind w:firstLine="720"/>
        <w:jc w:val="both"/>
      </w:pPr>
      <w:r>
        <w:t>2.5. Pakeisti 68 punktą ir jį išdėstyti taip:</w:t>
      </w:r>
    </w:p>
    <w:p w14:paraId="066E8752" w14:textId="20C8BDCF" w:rsidR="00606087" w:rsidRPr="00EF2ED5" w:rsidRDefault="00606087" w:rsidP="000449A8">
      <w:pPr>
        <w:tabs>
          <w:tab w:val="left" w:pos="709"/>
        </w:tabs>
        <w:ind w:firstLine="720"/>
        <w:jc w:val="both"/>
      </w:pPr>
      <w:r>
        <w:rPr>
          <w:szCs w:val="24"/>
        </w:rPr>
        <w:t xml:space="preserve">„68. </w:t>
      </w:r>
      <w:r>
        <w:rPr>
          <w:rFonts w:eastAsia="Calibri"/>
          <w:szCs w:val="24"/>
          <w:lang w:eastAsia="lt-LT"/>
        </w:rPr>
        <w:t xml:space="preserve">Registro duomenys teikiami teikiant registro išrašus </w:t>
      </w:r>
      <w:r>
        <w:rPr>
          <w:rFonts w:eastAsia="Calibri"/>
          <w:b/>
          <w:szCs w:val="24"/>
          <w:lang w:eastAsia="lt-LT"/>
        </w:rPr>
        <w:t xml:space="preserve">ir </w:t>
      </w:r>
      <w:r w:rsidR="0051260A">
        <w:rPr>
          <w:rFonts w:eastAsia="Calibri"/>
          <w:b/>
          <w:szCs w:val="24"/>
          <w:lang w:eastAsia="lt-LT"/>
        </w:rPr>
        <w:t>užsakomuosius registro duomenų rinkinius</w:t>
      </w:r>
      <w:r>
        <w:rPr>
          <w:rFonts w:eastAsia="Calibri"/>
          <w:szCs w:val="24"/>
          <w:lang w:eastAsia="lt-LT"/>
        </w:rPr>
        <w:t>.</w:t>
      </w:r>
      <w:r w:rsidR="0051260A">
        <w:t>“</w:t>
      </w:r>
    </w:p>
    <w:p w14:paraId="57713595" w14:textId="33ADD246" w:rsidR="00E811F9" w:rsidRDefault="00863D7F" w:rsidP="00CB1BF6">
      <w:pPr>
        <w:tabs>
          <w:tab w:val="left" w:pos="709"/>
        </w:tabs>
        <w:ind w:firstLine="720"/>
        <w:jc w:val="both"/>
        <w:rPr>
          <w:lang w:eastAsia="lt-LT"/>
        </w:rPr>
      </w:pPr>
      <w:r>
        <w:t>2.</w:t>
      </w:r>
      <w:r w:rsidR="0051260A">
        <w:t>6</w:t>
      </w:r>
      <w:r w:rsidR="00E811F9">
        <w:rPr>
          <w:rFonts w:eastAsia="Calibri"/>
          <w:lang w:eastAsia="lt-LT"/>
        </w:rPr>
        <w:t xml:space="preserve">. </w:t>
      </w:r>
      <w:r w:rsidR="00E811F9">
        <w:rPr>
          <w:lang w:eastAsia="lt-LT"/>
        </w:rPr>
        <w:t xml:space="preserve">Pakeisti </w:t>
      </w:r>
      <w:r w:rsidR="00E811F9">
        <w:rPr>
          <w:rFonts w:eastAsia="Calibri"/>
          <w:lang w:eastAsia="lt-LT"/>
        </w:rPr>
        <w:t xml:space="preserve">74 </w:t>
      </w:r>
      <w:r w:rsidR="00E811F9">
        <w:rPr>
          <w:lang w:eastAsia="lt-LT"/>
        </w:rPr>
        <w:t>punktą ir jį išdėstyti taip:</w:t>
      </w:r>
    </w:p>
    <w:p w14:paraId="326242CE" w14:textId="7A68EFE7" w:rsidR="000F455E" w:rsidRPr="00E811F9" w:rsidRDefault="00E811F9" w:rsidP="000F455E">
      <w:pPr>
        <w:suppressAutoHyphens/>
        <w:ind w:firstLine="720"/>
        <w:jc w:val="both"/>
        <w:rPr>
          <w:szCs w:val="24"/>
        </w:rPr>
      </w:pPr>
      <w:r>
        <w:rPr>
          <w:szCs w:val="24"/>
        </w:rPr>
        <w:t>„</w:t>
      </w:r>
      <w:r w:rsidRPr="00E811F9">
        <w:rPr>
          <w:szCs w:val="24"/>
        </w:rPr>
        <w:t xml:space="preserve">74. Pagal registro tvarkytojo ir duomenų gavėjų sudarytas sutartis (daugkartinio teikimo atveju), kuriose nurodytas konkretus, apibrėžtas ir teisėtas registro duomenų naudojimo tikslas, registro duomenų teikimo ir gavimo teisinis pagrindas, sąlygos ir tvarka, teikiamų registro duomenų apimtis, registro duomenys teikiami elektroniniu būdu. Duomenų gavėjas, kuriam duomenys teikiami elektroniniu būdu pagal duomenų teikimo sutartį, norintis gauti registre </w:t>
      </w:r>
      <w:r w:rsidRPr="00C22009">
        <w:rPr>
          <w:strike/>
          <w:szCs w:val="24"/>
        </w:rPr>
        <w:t>atliktų paieškų</w:t>
      </w:r>
      <w:r w:rsidRPr="00E811F9">
        <w:rPr>
          <w:szCs w:val="24"/>
        </w:rPr>
        <w:t xml:space="preserve"> </w:t>
      </w:r>
      <w:r w:rsidR="00C466FE" w:rsidRPr="00C22009">
        <w:rPr>
          <w:b/>
          <w:szCs w:val="24"/>
        </w:rPr>
        <w:t>suteiktų paslaugų</w:t>
      </w:r>
      <w:r w:rsidR="00C466FE">
        <w:rPr>
          <w:szCs w:val="24"/>
        </w:rPr>
        <w:t xml:space="preserve"> </w:t>
      </w:r>
      <w:r w:rsidRPr="00E811F9">
        <w:rPr>
          <w:szCs w:val="24"/>
        </w:rPr>
        <w:t xml:space="preserve">išklotinę, turi pateikti registro tvarkytojui rašytinį prašymą ir sumokėti </w:t>
      </w:r>
      <w:r w:rsidRPr="00E811F9">
        <w:rPr>
          <w:b/>
          <w:szCs w:val="24"/>
        </w:rPr>
        <w:t>Lietuvos Respublikos Vyriausybės</w:t>
      </w:r>
      <w:r>
        <w:rPr>
          <w:szCs w:val="24"/>
        </w:rPr>
        <w:t xml:space="preserve"> </w:t>
      </w:r>
      <w:r w:rsidRPr="00E811F9">
        <w:rPr>
          <w:szCs w:val="24"/>
        </w:rPr>
        <w:t xml:space="preserve">nustatyto dydžio atlyginimą. </w:t>
      </w:r>
      <w:r w:rsidRPr="00E811F9">
        <w:rPr>
          <w:strike/>
          <w:szCs w:val="24"/>
        </w:rPr>
        <w:t>Atlyginimo už registre atliktų paieškų išklotinę dydis viešai skelbiamas registro tvarkytojo interneto svetainėje</w:t>
      </w:r>
      <w:r>
        <w:rPr>
          <w:strike/>
          <w:szCs w:val="24"/>
        </w:rPr>
        <w:t>.</w:t>
      </w:r>
      <w:r>
        <w:rPr>
          <w:szCs w:val="24"/>
        </w:rPr>
        <w:t>“</w:t>
      </w:r>
    </w:p>
    <w:p w14:paraId="27AC39B2" w14:textId="7FEB5B21" w:rsidR="00986DED" w:rsidRDefault="00863D7F" w:rsidP="000449A8">
      <w:pPr>
        <w:ind w:firstLine="720"/>
        <w:jc w:val="both"/>
        <w:rPr>
          <w:lang w:eastAsia="lt-LT"/>
        </w:rPr>
      </w:pPr>
      <w:r>
        <w:t>2.</w:t>
      </w:r>
      <w:r w:rsidR="0051260A">
        <w:t>7</w:t>
      </w:r>
      <w:r w:rsidR="00986DED">
        <w:rPr>
          <w:rFonts w:eastAsia="Calibri"/>
          <w:szCs w:val="24"/>
          <w:lang w:eastAsia="lt-LT"/>
        </w:rPr>
        <w:t xml:space="preserve">. </w:t>
      </w:r>
      <w:r w:rsidR="00986DED">
        <w:rPr>
          <w:lang w:eastAsia="lt-LT"/>
        </w:rPr>
        <w:t xml:space="preserve">Pakeisti </w:t>
      </w:r>
      <w:r w:rsidR="00986DED">
        <w:rPr>
          <w:rFonts w:eastAsia="Calibri"/>
          <w:szCs w:val="24"/>
          <w:lang w:eastAsia="lt-LT"/>
        </w:rPr>
        <w:t>80</w:t>
      </w:r>
      <w:r w:rsidR="00986DED">
        <w:rPr>
          <w:lang w:eastAsia="lt-LT"/>
        </w:rPr>
        <w:t xml:space="preserve"> punktą ir jį išdėstyti taip:</w:t>
      </w:r>
    </w:p>
    <w:p w14:paraId="152E2255" w14:textId="60EF6645" w:rsidR="00986DED" w:rsidRDefault="00986DED" w:rsidP="000449A8">
      <w:pPr>
        <w:ind w:firstLine="720"/>
        <w:jc w:val="both"/>
        <w:rPr>
          <w:lang w:eastAsia="lt-LT"/>
        </w:rPr>
      </w:pPr>
      <w:r>
        <w:rPr>
          <w:lang w:eastAsia="lt-LT"/>
        </w:rPr>
        <w:t>„</w:t>
      </w:r>
      <w:r w:rsidRPr="001A72E9">
        <w:rPr>
          <w:lang w:eastAsia="lt-LT"/>
        </w:rPr>
        <w:t>80. Registro duomenys teikiami atlygintinai. Atlyginim</w:t>
      </w:r>
      <w:r w:rsidRPr="00CA2556">
        <w:rPr>
          <w:lang w:eastAsia="lt-LT"/>
        </w:rPr>
        <w:t>o</w:t>
      </w:r>
      <w:r w:rsidRPr="00CA2556">
        <w:rPr>
          <w:b/>
          <w:lang w:eastAsia="lt-LT"/>
        </w:rPr>
        <w:t xml:space="preserve"> </w:t>
      </w:r>
      <w:r w:rsidRPr="001A72E9">
        <w:rPr>
          <w:lang w:eastAsia="lt-LT"/>
        </w:rPr>
        <w:t xml:space="preserve">už registro duomenų </w:t>
      </w:r>
      <w:r w:rsidRPr="00CA2556">
        <w:rPr>
          <w:strike/>
          <w:lang w:eastAsia="lt-LT"/>
        </w:rPr>
        <w:t>naudojimą</w:t>
      </w:r>
      <w:r w:rsidRPr="001A72E9">
        <w:rPr>
          <w:lang w:eastAsia="lt-LT"/>
        </w:rPr>
        <w:t xml:space="preserve"> </w:t>
      </w:r>
      <w:r w:rsidRPr="00CA2556">
        <w:rPr>
          <w:strike/>
          <w:lang w:eastAsia="lt-LT"/>
        </w:rPr>
        <w:t>ir mokėjimo tvarką</w:t>
      </w:r>
      <w:r w:rsidRPr="001A72E9">
        <w:rPr>
          <w:lang w:eastAsia="lt-LT"/>
        </w:rPr>
        <w:t xml:space="preserve"> </w:t>
      </w:r>
      <w:r w:rsidR="00CA2556" w:rsidRPr="00CA2556">
        <w:rPr>
          <w:b/>
          <w:lang w:eastAsia="lt-LT"/>
        </w:rPr>
        <w:t>teikimą</w:t>
      </w:r>
      <w:r w:rsidR="00CA2556">
        <w:rPr>
          <w:lang w:eastAsia="lt-LT"/>
        </w:rPr>
        <w:t xml:space="preserve"> </w:t>
      </w:r>
      <w:r w:rsidR="00CA2556" w:rsidRPr="00CA2556">
        <w:rPr>
          <w:b/>
          <w:lang w:eastAsia="lt-LT"/>
        </w:rPr>
        <w:t xml:space="preserve">dydžius </w:t>
      </w:r>
      <w:r w:rsidRPr="001A72E9">
        <w:rPr>
          <w:lang w:eastAsia="lt-LT"/>
        </w:rPr>
        <w:t xml:space="preserve">nustato </w:t>
      </w:r>
      <w:r w:rsidRPr="005C48CF">
        <w:rPr>
          <w:lang w:eastAsia="lt-LT"/>
        </w:rPr>
        <w:t>Lietuvos Respublikos</w:t>
      </w:r>
      <w:r w:rsidRPr="001A72E9">
        <w:rPr>
          <w:lang w:eastAsia="lt-LT"/>
        </w:rPr>
        <w:t xml:space="preserve"> Vyriausybė. </w:t>
      </w:r>
      <w:r w:rsidR="00CA2556" w:rsidRPr="00017A8D">
        <w:rPr>
          <w:b/>
          <w:szCs w:val="24"/>
          <w:lang w:eastAsia="lt-LT"/>
        </w:rPr>
        <w:t xml:space="preserve">Atlyginimo mokėjimo tvarką nustato </w:t>
      </w:r>
      <w:r w:rsidR="00240ABD">
        <w:rPr>
          <w:b/>
          <w:szCs w:val="24"/>
          <w:lang w:eastAsia="lt-LT"/>
        </w:rPr>
        <w:t>r</w:t>
      </w:r>
      <w:r w:rsidR="00CA2556" w:rsidRPr="00017A8D">
        <w:rPr>
          <w:b/>
          <w:szCs w:val="24"/>
          <w:lang w:eastAsia="lt-LT"/>
        </w:rPr>
        <w:t>egistro tvarkytojas.</w:t>
      </w:r>
      <w:r w:rsidR="00CA2556">
        <w:rPr>
          <w:b/>
          <w:szCs w:val="24"/>
          <w:lang w:eastAsia="lt-LT"/>
        </w:rPr>
        <w:t xml:space="preserve"> </w:t>
      </w:r>
      <w:r w:rsidRPr="001A72E9">
        <w:rPr>
          <w:lang w:eastAsia="lt-LT"/>
        </w:rPr>
        <w:t xml:space="preserve">Registro tvarkytojas registro duomenis neatlygintinai teikia Lietuvos Respublikos valstybės informacinių išteklių valdymo įstatymo </w:t>
      </w:r>
      <w:r w:rsidRPr="005C48CF">
        <w:rPr>
          <w:strike/>
          <w:lang w:eastAsia="lt-LT"/>
        </w:rPr>
        <w:t>ir kitų Lietuvos Respublikos įstatymų ar Europos Sąjungos teisės aktų</w:t>
      </w:r>
      <w:r w:rsidRPr="001A72E9">
        <w:rPr>
          <w:lang w:eastAsia="lt-LT"/>
        </w:rPr>
        <w:t xml:space="preserve"> nustatytais atvejais</w:t>
      </w:r>
      <w:r w:rsidRPr="006E6D45">
        <w:rPr>
          <w:lang w:eastAsia="lt-LT"/>
        </w:rPr>
        <w:t xml:space="preserve">, </w:t>
      </w:r>
      <w:r w:rsidRPr="005C48CF">
        <w:rPr>
          <w:strike/>
          <w:lang w:eastAsia="lt-LT"/>
        </w:rPr>
        <w:t>taip pat</w:t>
      </w:r>
      <w:r w:rsidRPr="00847D63">
        <w:rPr>
          <w:strike/>
          <w:lang w:eastAsia="lt-LT"/>
        </w:rPr>
        <w:t xml:space="preserve"> Lietuvos notarų rūmams, notarams </w:t>
      </w:r>
      <w:r w:rsidRPr="0004473F">
        <w:rPr>
          <w:strike/>
          <w:lang w:eastAsia="lt-LT"/>
        </w:rPr>
        <w:t xml:space="preserve">ir </w:t>
      </w:r>
      <w:r w:rsidRPr="005C48CF">
        <w:rPr>
          <w:strike/>
          <w:lang w:eastAsia="lt-LT"/>
        </w:rPr>
        <w:t>konsuliniams pareigūnams jų teisės aktų nustatytoms funkcijoms atlikti,</w:t>
      </w:r>
      <w:r w:rsidRPr="006E6D45">
        <w:rPr>
          <w:lang w:eastAsia="lt-LT"/>
        </w:rPr>
        <w:t xml:space="preserve"> o užsienio valstybių nacionalinėms įstaigoms – Konvencijoje nustatytais atvejais</w:t>
      </w:r>
      <w:r w:rsidRPr="001A72E9">
        <w:rPr>
          <w:lang w:eastAsia="lt-LT"/>
        </w:rPr>
        <w:t>.</w:t>
      </w:r>
      <w:r>
        <w:rPr>
          <w:lang w:eastAsia="lt-LT"/>
        </w:rPr>
        <w:t>“</w:t>
      </w:r>
    </w:p>
    <w:p w14:paraId="25E7C0FE" w14:textId="67AF9F05" w:rsidR="00026342" w:rsidRPr="00425240" w:rsidRDefault="003608EC" w:rsidP="003531DE">
      <w:pPr>
        <w:tabs>
          <w:tab w:val="left" w:pos="993"/>
        </w:tabs>
        <w:ind w:left="709"/>
        <w:rPr>
          <w:lang w:eastAsia="lt-LT"/>
        </w:rPr>
      </w:pPr>
      <w:r>
        <w:rPr>
          <w:color w:val="000000"/>
        </w:rPr>
        <w:t xml:space="preserve">3. </w:t>
      </w:r>
      <w:r w:rsidR="00026342" w:rsidRPr="003531DE">
        <w:rPr>
          <w:color w:val="000000"/>
        </w:rPr>
        <w:t>Šis nutarim</w:t>
      </w:r>
      <w:r w:rsidR="006E17C1" w:rsidRPr="003531DE">
        <w:rPr>
          <w:color w:val="000000"/>
        </w:rPr>
        <w:t xml:space="preserve">as įsigalioja 2020 m. spalio </w:t>
      </w:r>
      <w:r w:rsidR="00026342" w:rsidRPr="003531DE">
        <w:rPr>
          <w:color w:val="000000"/>
        </w:rPr>
        <w:t xml:space="preserve">1 d. </w:t>
      </w:r>
    </w:p>
    <w:p w14:paraId="21BAE8FE" w14:textId="7B5539EE" w:rsidR="000449A8" w:rsidRDefault="000449A8" w:rsidP="00580844">
      <w:pPr>
        <w:pStyle w:val="Sraopastraipa"/>
        <w:spacing w:line="276" w:lineRule="auto"/>
        <w:ind w:left="1080"/>
        <w:jc w:val="both"/>
        <w:rPr>
          <w:color w:val="000000"/>
        </w:rPr>
      </w:pPr>
    </w:p>
    <w:p w14:paraId="73102221" w14:textId="77777777" w:rsidR="00DD626E" w:rsidRDefault="00DD626E" w:rsidP="00580844">
      <w:pPr>
        <w:pStyle w:val="Sraopastraipa"/>
        <w:spacing w:line="276" w:lineRule="auto"/>
        <w:ind w:left="1080"/>
        <w:jc w:val="both"/>
        <w:rPr>
          <w:color w:val="000000"/>
        </w:rPr>
      </w:pPr>
    </w:p>
    <w:p w14:paraId="1A891E09" w14:textId="77777777" w:rsidR="00026342" w:rsidRDefault="00026342" w:rsidP="00580844">
      <w:pPr>
        <w:tabs>
          <w:tab w:val="center" w:pos="-7800"/>
          <w:tab w:val="left" w:pos="6237"/>
          <w:tab w:val="right" w:pos="8306"/>
        </w:tabs>
        <w:spacing w:line="276" w:lineRule="auto"/>
        <w:rPr>
          <w:lang w:eastAsia="lt-LT"/>
        </w:rPr>
      </w:pPr>
      <w:r>
        <w:rPr>
          <w:lang w:eastAsia="lt-LT"/>
        </w:rPr>
        <w:t>Ministras Pirmininkas</w:t>
      </w:r>
      <w:r>
        <w:rPr>
          <w:lang w:eastAsia="lt-LT"/>
        </w:rPr>
        <w:tab/>
      </w:r>
    </w:p>
    <w:p w14:paraId="787873F1" w14:textId="77777777" w:rsidR="00026342" w:rsidRDefault="00026342" w:rsidP="00580844">
      <w:pPr>
        <w:tabs>
          <w:tab w:val="center" w:pos="-7800"/>
          <w:tab w:val="left" w:pos="6237"/>
          <w:tab w:val="right" w:pos="8306"/>
        </w:tabs>
        <w:spacing w:line="276" w:lineRule="auto"/>
        <w:rPr>
          <w:lang w:eastAsia="lt-LT"/>
        </w:rPr>
      </w:pPr>
    </w:p>
    <w:p w14:paraId="1B829AC3" w14:textId="77777777" w:rsidR="00813342" w:rsidRDefault="00813342" w:rsidP="00580844">
      <w:pPr>
        <w:spacing w:line="276" w:lineRule="auto"/>
        <w:jc w:val="both"/>
        <w:rPr>
          <w:lang w:eastAsia="lt-LT"/>
        </w:rPr>
      </w:pPr>
    </w:p>
    <w:p w14:paraId="4004E7D3" w14:textId="77777777" w:rsidR="00EB5BDE" w:rsidRPr="00425240" w:rsidRDefault="00026342" w:rsidP="00580844">
      <w:pPr>
        <w:spacing w:line="276" w:lineRule="auto"/>
        <w:jc w:val="both"/>
        <w:rPr>
          <w:szCs w:val="24"/>
          <w:lang w:eastAsia="lt-LT"/>
        </w:rPr>
      </w:pPr>
      <w:r>
        <w:rPr>
          <w:lang w:eastAsia="lt-LT"/>
        </w:rPr>
        <w:t>Teisingumo ministras</w:t>
      </w:r>
    </w:p>
    <w:sectPr w:rsidR="00EB5BDE" w:rsidRPr="00425240" w:rsidSect="00E24B4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369FE" w14:textId="77777777" w:rsidR="005377E2" w:rsidRDefault="005377E2" w:rsidP="00FA1BA0">
      <w:r>
        <w:separator/>
      </w:r>
    </w:p>
  </w:endnote>
  <w:endnote w:type="continuationSeparator" w:id="0">
    <w:p w14:paraId="20B05D23" w14:textId="77777777" w:rsidR="005377E2" w:rsidRDefault="005377E2" w:rsidP="00FA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0DDD8" w14:textId="77777777" w:rsidR="005377E2" w:rsidRDefault="005377E2" w:rsidP="00FA1BA0">
      <w:r>
        <w:separator/>
      </w:r>
    </w:p>
  </w:footnote>
  <w:footnote w:type="continuationSeparator" w:id="0">
    <w:p w14:paraId="0FD2E6DA" w14:textId="77777777" w:rsidR="005377E2" w:rsidRDefault="005377E2" w:rsidP="00FA1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66291"/>
      <w:docPartObj>
        <w:docPartGallery w:val="Page Numbers (Top of Page)"/>
        <w:docPartUnique/>
      </w:docPartObj>
    </w:sdtPr>
    <w:sdtEndPr/>
    <w:sdtContent>
      <w:p w14:paraId="48C352BC" w14:textId="40AE3878" w:rsidR="00FA1BA0" w:rsidRDefault="00FA1BA0">
        <w:pPr>
          <w:pStyle w:val="Antrats"/>
          <w:jc w:val="center"/>
        </w:pPr>
        <w:r>
          <w:fldChar w:fldCharType="begin"/>
        </w:r>
        <w:r>
          <w:instrText>PAGE   \* MERGEFORMAT</w:instrText>
        </w:r>
        <w:r>
          <w:fldChar w:fldCharType="separate"/>
        </w:r>
        <w:r w:rsidR="003531DE">
          <w:rPr>
            <w:noProof/>
          </w:rPr>
          <w:t>2</w:t>
        </w:r>
        <w:r>
          <w:fldChar w:fldCharType="end"/>
        </w:r>
      </w:p>
    </w:sdtContent>
  </w:sdt>
  <w:p w14:paraId="5400DA2D" w14:textId="77777777" w:rsidR="00FA1BA0" w:rsidRDefault="00FA1B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33B3"/>
    <w:multiLevelType w:val="hybridMultilevel"/>
    <w:tmpl w:val="42F2888E"/>
    <w:lvl w:ilvl="0" w:tplc="26AA9E4C">
      <w:start w:val="2"/>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9157B88"/>
    <w:multiLevelType w:val="multilevel"/>
    <w:tmpl w:val="DF7E8B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6E286E"/>
    <w:multiLevelType w:val="multilevel"/>
    <w:tmpl w:val="DC44D6A2"/>
    <w:lvl w:ilvl="0">
      <w:start w:val="1"/>
      <w:numFmt w:val="decimal"/>
      <w:lvlText w:val="%1."/>
      <w:lvlJc w:val="left"/>
      <w:pPr>
        <w:ind w:left="1080" w:hanging="360"/>
      </w:pPr>
    </w:lvl>
    <w:lvl w:ilvl="1">
      <w:start w:val="1"/>
      <w:numFmt w:val="decimal"/>
      <w:isLgl/>
      <w:lvlText w:val="%1.%2."/>
      <w:lvlJc w:val="left"/>
      <w:pPr>
        <w:ind w:left="1080" w:hanging="360"/>
      </w:pPr>
      <w:rPr>
        <w:b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B8"/>
    <w:rsid w:val="00026342"/>
    <w:rsid w:val="000340EC"/>
    <w:rsid w:val="00036DB4"/>
    <w:rsid w:val="0004473F"/>
    <w:rsid w:val="000449A8"/>
    <w:rsid w:val="00047756"/>
    <w:rsid w:val="00086E88"/>
    <w:rsid w:val="000A5ACF"/>
    <w:rsid w:val="000B6D56"/>
    <w:rsid w:val="000D6BAF"/>
    <w:rsid w:val="000F455E"/>
    <w:rsid w:val="00115A6D"/>
    <w:rsid w:val="00121185"/>
    <w:rsid w:val="00164A76"/>
    <w:rsid w:val="00184151"/>
    <w:rsid w:val="001A2E77"/>
    <w:rsid w:val="001A321A"/>
    <w:rsid w:val="001A657E"/>
    <w:rsid w:val="001B21FD"/>
    <w:rsid w:val="001F2043"/>
    <w:rsid w:val="00240ABD"/>
    <w:rsid w:val="00243105"/>
    <w:rsid w:val="00295185"/>
    <w:rsid w:val="002E1138"/>
    <w:rsid w:val="002F1858"/>
    <w:rsid w:val="00346185"/>
    <w:rsid w:val="003531DE"/>
    <w:rsid w:val="003608EC"/>
    <w:rsid w:val="003965B8"/>
    <w:rsid w:val="003B1C26"/>
    <w:rsid w:val="00401F61"/>
    <w:rsid w:val="00405910"/>
    <w:rsid w:val="00425240"/>
    <w:rsid w:val="00441570"/>
    <w:rsid w:val="004512E8"/>
    <w:rsid w:val="00484287"/>
    <w:rsid w:val="004D5D72"/>
    <w:rsid w:val="004E1D16"/>
    <w:rsid w:val="0051260A"/>
    <w:rsid w:val="00513185"/>
    <w:rsid w:val="005377E2"/>
    <w:rsid w:val="00545ED1"/>
    <w:rsid w:val="0057103D"/>
    <w:rsid w:val="00580844"/>
    <w:rsid w:val="005A46C2"/>
    <w:rsid w:val="005C48CF"/>
    <w:rsid w:val="005C4FD3"/>
    <w:rsid w:val="00606087"/>
    <w:rsid w:val="00632AE4"/>
    <w:rsid w:val="0065177B"/>
    <w:rsid w:val="006730B5"/>
    <w:rsid w:val="006B1E96"/>
    <w:rsid w:val="006E17C1"/>
    <w:rsid w:val="00704B9C"/>
    <w:rsid w:val="007C791E"/>
    <w:rsid w:val="007F17F6"/>
    <w:rsid w:val="00813342"/>
    <w:rsid w:val="00846E4A"/>
    <w:rsid w:val="00863D7F"/>
    <w:rsid w:val="008A109A"/>
    <w:rsid w:val="008B4A1E"/>
    <w:rsid w:val="00917657"/>
    <w:rsid w:val="00922278"/>
    <w:rsid w:val="00946205"/>
    <w:rsid w:val="00967E89"/>
    <w:rsid w:val="00986DED"/>
    <w:rsid w:val="009E4966"/>
    <w:rsid w:val="009E7C30"/>
    <w:rsid w:val="009F1A16"/>
    <w:rsid w:val="009F6F74"/>
    <w:rsid w:val="00A22B05"/>
    <w:rsid w:val="00A539F0"/>
    <w:rsid w:val="00A84D20"/>
    <w:rsid w:val="00AD1CC1"/>
    <w:rsid w:val="00B13146"/>
    <w:rsid w:val="00B24D46"/>
    <w:rsid w:val="00B40F65"/>
    <w:rsid w:val="00B43EE5"/>
    <w:rsid w:val="00B623C3"/>
    <w:rsid w:val="00B93C6A"/>
    <w:rsid w:val="00BC132D"/>
    <w:rsid w:val="00BE10D0"/>
    <w:rsid w:val="00C16480"/>
    <w:rsid w:val="00C22009"/>
    <w:rsid w:val="00C23364"/>
    <w:rsid w:val="00C30B23"/>
    <w:rsid w:val="00C466FE"/>
    <w:rsid w:val="00C61D63"/>
    <w:rsid w:val="00C64052"/>
    <w:rsid w:val="00CA16C1"/>
    <w:rsid w:val="00CA2556"/>
    <w:rsid w:val="00CB1BF6"/>
    <w:rsid w:val="00CB29CE"/>
    <w:rsid w:val="00CE3836"/>
    <w:rsid w:val="00D145CE"/>
    <w:rsid w:val="00D25675"/>
    <w:rsid w:val="00D43DD2"/>
    <w:rsid w:val="00D86A82"/>
    <w:rsid w:val="00DB47CC"/>
    <w:rsid w:val="00DD626E"/>
    <w:rsid w:val="00E20679"/>
    <w:rsid w:val="00E24B4F"/>
    <w:rsid w:val="00E679A9"/>
    <w:rsid w:val="00E811F9"/>
    <w:rsid w:val="00E815C0"/>
    <w:rsid w:val="00EB5BDE"/>
    <w:rsid w:val="00ED3C6A"/>
    <w:rsid w:val="00EF2ED5"/>
    <w:rsid w:val="00F052F8"/>
    <w:rsid w:val="00F368B8"/>
    <w:rsid w:val="00FA1BA0"/>
    <w:rsid w:val="00FD4CCE"/>
    <w:rsid w:val="00FE6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B169"/>
  <w15:chartTrackingRefBased/>
  <w15:docId w15:val="{5864780C-6747-4568-B19A-6C756E5C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3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26342"/>
    <w:pPr>
      <w:ind w:left="720"/>
      <w:contextualSpacing/>
    </w:pPr>
  </w:style>
  <w:style w:type="paragraph" w:styleId="Debesliotekstas">
    <w:name w:val="Balloon Text"/>
    <w:basedOn w:val="prastasis"/>
    <w:link w:val="DebesliotekstasDiagrama"/>
    <w:uiPriority w:val="99"/>
    <w:semiHidden/>
    <w:unhideWhenUsed/>
    <w:rsid w:val="005C4F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4FD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13185"/>
    <w:rPr>
      <w:sz w:val="16"/>
      <w:szCs w:val="16"/>
    </w:rPr>
  </w:style>
  <w:style w:type="paragraph" w:styleId="Komentarotekstas">
    <w:name w:val="annotation text"/>
    <w:basedOn w:val="prastasis"/>
    <w:link w:val="KomentarotekstasDiagrama"/>
    <w:uiPriority w:val="99"/>
    <w:semiHidden/>
    <w:unhideWhenUsed/>
    <w:rsid w:val="00513185"/>
    <w:rPr>
      <w:sz w:val="20"/>
    </w:rPr>
  </w:style>
  <w:style w:type="character" w:customStyle="1" w:styleId="KomentarotekstasDiagrama">
    <w:name w:val="Komentaro tekstas Diagrama"/>
    <w:basedOn w:val="Numatytasispastraiposriftas"/>
    <w:link w:val="Komentarotekstas"/>
    <w:uiPriority w:val="99"/>
    <w:semiHidden/>
    <w:rsid w:val="0051318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3185"/>
    <w:rPr>
      <w:b/>
      <w:bCs/>
    </w:rPr>
  </w:style>
  <w:style w:type="character" w:customStyle="1" w:styleId="KomentarotemaDiagrama">
    <w:name w:val="Komentaro tema Diagrama"/>
    <w:basedOn w:val="KomentarotekstasDiagrama"/>
    <w:link w:val="Komentarotema"/>
    <w:uiPriority w:val="99"/>
    <w:semiHidden/>
    <w:rsid w:val="00513185"/>
    <w:rPr>
      <w:rFonts w:ascii="Times New Roman" w:eastAsia="Times New Roman" w:hAnsi="Times New Roman" w:cs="Times New Roman"/>
      <w:b/>
      <w:bCs/>
      <w:sz w:val="20"/>
      <w:szCs w:val="20"/>
    </w:rPr>
  </w:style>
  <w:style w:type="paragraph" w:styleId="Pataisymai">
    <w:name w:val="Revision"/>
    <w:hidden/>
    <w:uiPriority w:val="99"/>
    <w:semiHidden/>
    <w:rsid w:val="00AD1CC1"/>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8A109A"/>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A1BA0"/>
    <w:pPr>
      <w:tabs>
        <w:tab w:val="center" w:pos="4819"/>
        <w:tab w:val="right" w:pos="9638"/>
      </w:tabs>
    </w:pPr>
  </w:style>
  <w:style w:type="character" w:customStyle="1" w:styleId="AntratsDiagrama">
    <w:name w:val="Antraštės Diagrama"/>
    <w:basedOn w:val="Numatytasispastraiposriftas"/>
    <w:link w:val="Antrats"/>
    <w:uiPriority w:val="99"/>
    <w:rsid w:val="00FA1BA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A1BA0"/>
    <w:pPr>
      <w:tabs>
        <w:tab w:val="center" w:pos="4819"/>
        <w:tab w:val="right" w:pos="9638"/>
      </w:tabs>
    </w:pPr>
  </w:style>
  <w:style w:type="character" w:customStyle="1" w:styleId="PoratDiagrama">
    <w:name w:val="Poraštė Diagrama"/>
    <w:basedOn w:val="Numatytasispastraiposriftas"/>
    <w:link w:val="Porat"/>
    <w:uiPriority w:val="99"/>
    <w:rsid w:val="00FA1B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4966">
      <w:bodyDiv w:val="1"/>
      <w:marLeft w:val="0"/>
      <w:marRight w:val="0"/>
      <w:marTop w:val="0"/>
      <w:marBottom w:val="0"/>
      <w:divBdr>
        <w:top w:val="none" w:sz="0" w:space="0" w:color="auto"/>
        <w:left w:val="none" w:sz="0" w:space="0" w:color="auto"/>
        <w:bottom w:val="none" w:sz="0" w:space="0" w:color="auto"/>
        <w:right w:val="none" w:sz="0" w:space="0" w:color="auto"/>
      </w:divBdr>
    </w:div>
    <w:div w:id="9835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552A-062B-45AD-92EB-E17A7685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3721</Words>
  <Characters>2121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2020-07-07T08:24:00Z</dcterms:created>
  <dc:creator>Vaida Šležienė</dc:creator>
  <cp:lastModifiedBy>Jurgita Urbaitė</cp:lastModifiedBy>
  <dcterms:modified xsi:type="dcterms:W3CDTF">2020-07-07T08:24:00Z</dcterms:modified>
  <cp:revision>2</cp:revision>
</cp:coreProperties>
</file>