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3d88ad9908346bd8456bccfef21fa0d"/>
        <w:lock w:val="sdtLocked"/>
        <w:richText/>
      </w:sdtPr>
      <w:sdtContent>
        <w:p>
          <w:pPr>
            <w:spacing w:line="360" w:lineRule="atLeast"/>
            <w:jc w:val="right"/>
            <w:rPr>
              <w:b/>
              <w:szCs w:val="24"/>
            </w:rPr>
          </w:pPr>
          <w:r>
            <w:rPr>
              <w:b/>
              <w:szCs w:val="24"/>
            </w:rPr>
            <w:t>Projektas</w:t>
          </w:r>
        </w:p>
        <w:p>
          <w:pPr>
            <w:spacing w:line="360" w:lineRule="atLeast"/>
            <w:ind w:firstLine="55"/>
            <w:jc w:val="center"/>
            <w:rPr>
              <w:sz w:val="22"/>
            </w:rPr>
          </w:pPr>
        </w:p>
        <w:p>
          <w:pPr>
            <w:jc w:val="center"/>
            <w:rPr>
              <w:b/>
              <w:sz w:val="22"/>
            </w:rPr>
          </w:pPr>
          <w:r>
            <w:rPr>
              <w:b/>
              <w:szCs w:val="24"/>
            </w:rPr>
            <w:t>LIETUVOS RESPUBLIKOS VYRIAUSYBĖ</w:t>
          </w:r>
        </w:p>
        <w:p>
          <w:pPr>
            <w:jc w:val="center"/>
            <w:rPr>
              <w:b/>
              <w:sz w:val="22"/>
            </w:rPr>
          </w:pPr>
        </w:p>
        <w:p>
          <w:pPr>
            <w:jc w:val="center"/>
            <w:rPr>
              <w:b/>
              <w:szCs w:val="24"/>
            </w:rPr>
          </w:pPr>
          <w:r>
            <w:rPr>
              <w:b/>
              <w:szCs w:val="24"/>
            </w:rPr>
            <w:t>NUTARIMAS</w:t>
          </w:r>
        </w:p>
        <w:p>
          <w:pPr>
            <w:ind w:right="282" w:firstLine="426"/>
            <w:jc w:val="center"/>
            <w:rPr>
              <w:b/>
            </w:rPr>
          </w:pPr>
          <w:r>
            <w:rPr>
              <w:b/>
            </w:rPr>
            <w:t>DĖL LIETUVOS RESPUBLIKOS BAUDŽIAMOJO PROCESO KODEKSO 94, 342, 362, 364, 365</w:t>
          </w:r>
          <w:r>
            <w:rPr>
              <w:b/>
              <w:vertAlign w:val="superscript"/>
            </w:rPr>
            <w:t>5</w:t>
          </w:r>
          <w:r>
            <w:rPr>
              <w:b/>
            </w:rPr>
            <w:t xml:space="preserve"> STRAIPSNIŲ IR PRIEDO PAKEITIMO IR 17</w:t>
          </w:r>
          <w:r>
            <w:rPr>
              <w:b/>
              <w:vertAlign w:val="superscript"/>
            </w:rPr>
            <w:t>3</w:t>
          </w:r>
          <w:r>
            <w:rPr>
              <w:b/>
            </w:rPr>
            <w:t>, 365</w:t>
          </w:r>
          <w:r>
            <w:rPr>
              <w:b/>
              <w:vertAlign w:val="superscript"/>
            </w:rPr>
            <w:t>3</w:t>
          </w:r>
          <w:r>
            <w:rPr>
              <w:b/>
            </w:rPr>
            <w:t>, 365</w:t>
          </w:r>
          <w:r>
            <w:rPr>
              <w:b/>
              <w:vertAlign w:val="superscript"/>
            </w:rPr>
            <w:t>4</w:t>
          </w:r>
          <w:r>
            <w:rPr>
              <w:b/>
            </w:rPr>
            <w:t xml:space="preserve"> STRAIPSNIŲ PRIPAŽINIMO NETEKUSIAIS GALIOS ĮSTATYMO PROJEKTO IR LIETUVOS RESPUBLIKOS ĮSTATYMO „DĖL EUROPOS SĄJUNGOS VALSTYBIŲ NARIŲ SPRENDIMŲ BAUDŽIAMOSIOSE BYLOSE TARPUSAVIO PRIPAŽINIMO IR VYKDYMO“ NR. XII-1322 1, 2, 72 STRAIPSNIŲ, XIV SKYRIAUS IR PRIEDO PAKEITIMO IR ĮSTATYMO PAPILDYMO NAUJAIS XIV, XV, XVI, XVII SKYRIAIS BEI 86 STRAIPSNIO PRIPAŽINIMO NETEKUSIU GALIOS ĮSTATYMO PROJEKTO PATEIKIMO LIETUVOS RESPUBLIKOS SEIMUI</w:t>
          </w:r>
        </w:p>
        <w:p>
          <w:pPr>
            <w:jc w:val="center"/>
            <w:rPr>
              <w:b/>
            </w:rPr>
          </w:pPr>
        </w:p>
        <w:p>
          <w:pPr>
            <w:jc w:val="center"/>
            <w:rPr>
              <w:szCs w:val="24"/>
            </w:rPr>
          </w:pPr>
          <w:r>
            <w:rPr>
              <w:szCs w:val="24"/>
            </w:rPr>
            <w:t>2020 m.</w:t>
            <w:tab/>
            <w:tab/>
            <w:t xml:space="preserve">d. Nr. </w:t>
          </w:r>
        </w:p>
        <w:p>
          <w:pPr>
            <w:jc w:val="center"/>
            <w:rPr>
              <w:szCs w:val="24"/>
            </w:rPr>
          </w:pPr>
          <w:r>
            <w:rPr>
              <w:szCs w:val="24"/>
            </w:rPr>
            <w:t>Vilnius</w:t>
          </w:r>
        </w:p>
        <w:p>
          <w:pPr>
            <w:rPr>
              <w:sz w:val="8"/>
              <w:szCs w:val="8"/>
            </w:rPr>
          </w:pPr>
        </w:p>
        <w:sdt>
          <w:sdtPr>
            <w:alias w:val="preambule"/>
            <w:tag w:val="part_c2e1a428538b4b34b8587a77f2274dbd"/>
            <w:lock w:val="sdtLocked"/>
            <w:richText/>
          </w:sdtPr>
          <w:sdtContent>
            <w:p>
              <w:pPr>
                <w:spacing w:line="360" w:lineRule="atLeast"/>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p>
          </w:sdtContent>
        </w:sdt>
        <w:sdt>
          <w:sdtPr>
            <w:alias w:val="1 p."/>
            <w:tag w:val="part_56f2c53fe9a740d2bf130f91356fa8d4"/>
            <w:lock w:val="sdtLocked"/>
            <w:richText/>
          </w:sdtPr>
          <w:sdtContent>
            <w:p>
              <w:pPr>
                <w:spacing w:line="360" w:lineRule="atLeast"/>
                <w:ind w:firstLine="720"/>
                <w:jc w:val="both"/>
                <w:rPr>
                  <w:szCs w:val="24"/>
                  <w:lang w:eastAsia="lt-LT"/>
                </w:rPr>
              </w:pPr>
              <w:sdt>
                <w:sdtPr>
                  <w:alias w:val="Numeris"/>
                  <w:tag w:val="nr_56f2c53fe9a740d2bf130f91356fa8d4"/>
                  <w:lock w:val="sdtLocked"/>
                  <w:richText/>
                </w:sdtPr>
                <w:sdtContent>
                  <w:r>
                    <w:rPr>
                      <w:szCs w:val="24"/>
                      <w:lang w:eastAsia="lt-LT"/>
                    </w:rPr>
                    <w:t>1</w:t>
                  </w:r>
                </w:sdtContent>
              </w:sdt>
              <w:r>
                <w:rPr>
                  <w:szCs w:val="24"/>
                  <w:lang w:eastAsia="lt-LT"/>
                </w:rPr>
                <w:t xml:space="preserve">. Pritarti </w:t>
              </w:r>
              <w:r>
                <w:rPr>
                  <w:szCs w:val="24"/>
                </w:rPr>
                <w:t>Lietuvos Respublikos baudžiamojo proceso kodekso 94, 342, 362, 364, 365</w:t>
              </w:r>
              <w:r>
                <w:rPr>
                  <w:szCs w:val="24"/>
                  <w:vertAlign w:val="superscript"/>
                </w:rPr>
                <w:t>5</w:t>
              </w:r>
              <w:r>
                <w:rPr>
                  <w:szCs w:val="24"/>
                </w:rPr>
                <w:t> straipsnių ir priedo pakeitimo ir 17</w:t>
              </w:r>
              <w:r>
                <w:rPr>
                  <w:szCs w:val="24"/>
                  <w:vertAlign w:val="superscript"/>
                </w:rPr>
                <w:t>3</w:t>
              </w:r>
              <w:r>
                <w:rPr>
                  <w:szCs w:val="24"/>
                </w:rPr>
                <w:t>, 365</w:t>
              </w:r>
              <w:r>
                <w:rPr>
                  <w:szCs w:val="24"/>
                  <w:vertAlign w:val="superscript"/>
                </w:rPr>
                <w:t>3</w:t>
              </w:r>
              <w:r>
                <w:rPr>
                  <w:szCs w:val="24"/>
                </w:rPr>
                <w:t>, 365</w:t>
              </w:r>
              <w:r>
                <w:rPr>
                  <w:szCs w:val="24"/>
                  <w:vertAlign w:val="superscript"/>
                </w:rPr>
                <w:t>4</w:t>
              </w:r>
              <w:r>
                <w:rPr>
                  <w:szCs w:val="24"/>
                </w:rPr>
                <w:t xml:space="preserve"> straipsnių pripažinimo netekusiais galios įstatymo projektui ir Lietuvos Respublikos įstatymo „Dėl Europos Sąjungos valstybių narių sprendimų baudžiamosiose bylose tarpusavio pripažinimo ir vykdymo“  Nr. XII-1322 1, 2 ir 72 straipsnių, XIV skyriaus ir priedo pakeitimo ir Įstatymo papildymo naujais XIV, XV, XVI, XVII skyriais bei 86 straipsnio pripažinimo netekusiu galios įstatymo projektui </w:t>
              </w:r>
              <w:r>
                <w:rPr>
                  <w:szCs w:val="24"/>
                  <w:lang w:eastAsia="lt-LT"/>
                </w:rPr>
                <w:t>ir pateikti juos Lietuvos Respublikos Seimui.</w:t>
              </w:r>
            </w:p>
          </w:sdtContent>
        </w:sdt>
        <w:sdt>
          <w:sdtPr>
            <w:alias w:val="2 p."/>
            <w:tag w:val="part_a510aad410f14905beba7f345e0c5406"/>
            <w:lock w:val="sdtLocked"/>
            <w:richText/>
          </w:sdtPr>
          <w:sdtContent>
            <w:p>
              <w:pPr>
                <w:spacing w:line="360" w:lineRule="atLeast"/>
                <w:ind w:firstLine="720"/>
                <w:jc w:val="both"/>
                <w:rPr>
                  <w:rFonts w:ascii="TimesLT" w:hAnsi="TimesLT"/>
                </w:rPr>
              </w:pPr>
              <w:sdt>
                <w:sdtPr>
                  <w:alias w:val="Numeris"/>
                  <w:tag w:val="nr_a510aad410f14905beba7f345e0c5406"/>
                  <w:lock w:val="sdtLocked"/>
                  <w:richText/>
                </w:sdtPr>
                <w:sdtContent>
                  <w:r>
                    <w:rPr>
                      <w:szCs w:val="24"/>
                      <w:lang w:eastAsia="lt-LT"/>
                    </w:rPr>
                    <w:t>2</w:t>
                  </w:r>
                </w:sdtContent>
              </w:sdt>
              <w:r>
                <w:rPr>
                  <w:szCs w:val="24"/>
                  <w:lang w:eastAsia="lt-LT"/>
                </w:rPr>
                <w:t>. Įgalioti teisingumo ministrą Elviną Jankevičių, o jam negalint dalyvauti – teisingumo viceministrą Ernestą Jurkonį atstovauti Lietuvos Respublikos Vyriausybei, svarstant nurodytus įstatymų projektus Lietuvos Respublikos Seime.</w:t>
              </w:r>
            </w:p>
            <w:p>
              <w:pPr>
                <w:ind w:firstLine="720"/>
                <w:jc w:val="both"/>
                <w:rPr>
                  <w:szCs w:val="24"/>
                  <w:lang w:eastAsia="lt-LT"/>
                </w:rPr>
              </w:pPr>
            </w:p>
            <w:p>
              <w:pPr>
                <w:ind w:firstLine="720"/>
                <w:jc w:val="both"/>
                <w:rPr>
                  <w:szCs w:val="24"/>
                  <w:lang w:eastAsia="lt-LT"/>
                </w:rPr>
              </w:pPr>
            </w:p>
          </w:sdtContent>
        </w:sdt>
        <w:sdt>
          <w:sdtPr>
            <w:alias w:val="signatura"/>
            <w:tag w:val="part_d885ead39ce449ebb0634fb4ca7ba4c8"/>
            <w:lock w:val="sdtLocked"/>
            <w:richText/>
          </w:sdtPr>
          <w:sdtContent>
            <w:p>
              <w:pPr>
                <w:jc w:val="both"/>
                <w:rPr>
                  <w:szCs w:val="24"/>
                  <w:lang w:eastAsia="lt-LT"/>
                </w:rPr>
              </w:pPr>
              <w:r>
                <w:rPr>
                  <w:szCs w:val="24"/>
                  <w:lang w:eastAsia="lt-LT"/>
                </w:rPr>
                <w:t xml:space="preserve">Ministras Pirmininkas                                                                      </w:t>
              </w:r>
            </w:p>
            <w:p>
              <w:pPr>
                <w:rPr>
                  <w:szCs w:val="24"/>
                  <w:lang w:eastAsia="lt-LT"/>
                </w:rPr>
              </w:pPr>
            </w:p>
            <w:p>
              <w:pPr>
                <w:rPr>
                  <w:szCs w:val="24"/>
                  <w:lang w:eastAsia="lt-LT"/>
                </w:rPr>
              </w:pPr>
            </w:p>
            <w:p>
              <w:pPr>
                <w:rPr>
                  <w:szCs w:val="24"/>
                  <w:lang w:eastAsia="lt-LT"/>
                </w:rPr>
              </w:pPr>
              <w:r>
                <w:rPr>
                  <w:szCs w:val="24"/>
                  <w:lang w:eastAsia="lt-LT"/>
                </w:rPr>
                <w:t xml:space="preserve">Teisingumo ministras                                                               </w:t>
              </w:r>
            </w:p>
            <w:p/>
            <w:p/>
            <w:p/>
            <w:p/>
            <w:p/>
            <w:p/>
            <w:p/>
            <w:p/>
            <w:p/>
          </w:sdtContent>
        </w:sdt>
      </w:sdtContent>
    </w:sdt>
    <w:sectPr>
      <w:footerReference w:type="even" r:id="rId8"/>
      <w:footerReference w:type="default" r:id="rId9"/>
      <w:type w:val="continuous"/>
      <w:pgSz w:w="12240" w:h="15840"/>
      <w:pgMar w:top="1134" w:right="1134" w:bottom="1134" w:left="1701" w:header="709" w:footer="709" w:gutter="0"/>
      <w:cols w:space="12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pPr>
      <w:rPr>
        <w:rFonts w:ascii="TimesLT" w:hAnsi="TimesLT"/>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rPr>
        <w:rFonts w:ascii="TimesLT" w:hAnsi="TimesLT"/>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198159313">
      <w:bodyDiv w:val="1"/>
      <w:marLeft w:val="225"/>
      <w:marRight w:val="225"/>
      <w:marTop w:val="0"/>
      <w:marBottom w:val="0"/>
      <w:divBdr>
        <w:top w:val="none" w:sz="0" w:space="0" w:color="auto"/>
        <w:left w:val="none" w:sz="0" w:space="0" w:color="auto"/>
        <w:bottom w:val="none" w:sz="0" w:space="0" w:color="auto"/>
        <w:right w:val="none" w:sz="0" w:space="0" w:color="auto"/>
      </w:divBdr>
      <w:divsChild>
        <w:div w:id="441924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arts xmlns="http://lrs.lt/TAIS/DocParts">
  <Part Type="pagrindine" DocPartId="f01a4501ca92402fa60daca25cacb49e" PartId="e3d88ad9908346bd8456bccfef21fa0d">
    <Part Type="preambule" DocPartId="d94c8f230b954559a3e5fb434a72bd81" PartId="c2e1a428538b4b34b8587a77f2274dbd"/>
    <Part Type="punktas" Nr="1" Abbr="1 p." DocPartId="d9423120522a4f1099728d9cf4ccc845" PartId="56f2c53fe9a740d2bf130f91356fa8d4"/>
    <Part Type="punktas" Nr="2" Abbr="2 p." DocPartId="c4a371989f63481f8c796efc203dbbde" PartId="a510aad410f14905beba7f345e0c5406"/>
    <Part Type="signatura" DocPartId="e9f96e0cfa0e40a99f1c2e39a8b61220" PartId="d885ead39ce449ebb0634fb4ca7ba4c8"/>
  </Part>
</Parts>
</file>

<file path=customXml/itemProps1.xml><?xml version="1.0" encoding="utf-8"?>
<ds:datastoreItem xmlns:ds="http://schemas.openxmlformats.org/officeDocument/2006/customXml" ds:itemID="{7BBA1218-1D28-401C-9361-3E21D99822D8}">
  <ds:schemaRefs>
    <ds:schemaRef ds:uri="http://schemas.openxmlformats.org/officeDocument/2006/bibliography"/>
  </ds:schemaRefs>
</ds:datastoreItem>
</file>

<file path=customXml/itemProps2.xml><?xml version="1.0" encoding="utf-8"?>
<ds:datastoreItem xmlns:ds="http://schemas.openxmlformats.org/officeDocument/2006/customXml" ds:itemID="{BEB13442-A177-416A-AC66-71C4D1457A0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1456</Characters>
  <Application>Microsoft Office Word</Application>
  <DocSecurity>4</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 Seimas</Company>
  <LinksUpToDate>false</LinksUpToDate>
  <CharactersWithSpaces>1655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2020-05-15T09:17:00Z</dcterms:created>
  <dc:creator>Giedre</dc:creator>
  <cp:lastModifiedBy>Asseco</cp:lastModifiedBy>
  <cp:lastPrinted>2006-01-19T13:10:00Z</cp:lastPrinted>
  <dcterms:modified xsi:type="dcterms:W3CDTF">2020-05-15T09:17:00Z</dcterms:modified>
  <cp:revision>2</cp:revision>
  <dc:title> </dc:title>
</cp:coreProperties>
</file>