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1B9F1" w14:textId="77777777" w:rsidR="00D40C52" w:rsidRPr="009907BD" w:rsidRDefault="00231A1C" w:rsidP="00D40C52">
      <w:pPr>
        <w:jc w:val="center"/>
        <w:rPr>
          <w:b/>
        </w:rPr>
      </w:pPr>
      <w:r w:rsidRPr="009907BD">
        <w:rPr>
          <w:b/>
        </w:rPr>
        <w:t xml:space="preserve">DIREKTYVOS 2013/32/ES IR </w:t>
      </w:r>
      <w:r w:rsidR="00D40C52" w:rsidRPr="009907BD">
        <w:rPr>
          <w:b/>
        </w:rPr>
        <w:t>LIETUVOS RESPUBLIKOS ĮSTATYMO „DĖL UŽSIENIEČIŲ TEISINĖS PADĖTIES“ NR. IX-2206 PAKEITIMO ĮSTATYMO PROJEKTO ATITIKTIES LENTELĖ</w:t>
      </w:r>
    </w:p>
    <w:tbl>
      <w:tblPr>
        <w:tblW w:w="15168" w:type="dxa"/>
        <w:tblInd w:w="-176" w:type="dxa"/>
        <w:tblLayout w:type="fixed"/>
        <w:tblCellMar>
          <w:left w:w="10" w:type="dxa"/>
          <w:right w:w="10" w:type="dxa"/>
        </w:tblCellMar>
        <w:tblLook w:val="0000" w:firstRow="0" w:lastRow="0" w:firstColumn="0" w:lastColumn="0" w:noHBand="0" w:noVBand="0"/>
      </w:tblPr>
      <w:tblGrid>
        <w:gridCol w:w="4739"/>
        <w:gridCol w:w="7198"/>
        <w:gridCol w:w="3231"/>
      </w:tblGrid>
      <w:tr w:rsidR="00874B71" w:rsidRPr="009907BD" w14:paraId="23F15477" w14:textId="77777777" w:rsidTr="00D40C52">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0009" w14:textId="43E11A4C" w:rsidR="00874B71" w:rsidRDefault="00874B71" w:rsidP="0030249C">
            <w:pPr>
              <w:pStyle w:val="Default"/>
              <w:jc w:val="both"/>
              <w:rPr>
                <w:rFonts w:ascii="Times New Roman" w:hAnsi="Times New Roman" w:cs="Times New Roman"/>
                <w:b/>
              </w:rPr>
            </w:pPr>
            <w:r w:rsidRPr="003F2A0D">
              <w:rPr>
                <w:rFonts w:ascii="Times New Roman" w:hAnsi="Times New Roman" w:cs="Times New Roman"/>
                <w:b/>
              </w:rPr>
              <w:t>201</w:t>
            </w:r>
            <w:r w:rsidR="0030249C">
              <w:rPr>
                <w:rFonts w:ascii="Times New Roman" w:hAnsi="Times New Roman" w:cs="Times New Roman"/>
                <w:b/>
              </w:rPr>
              <w:t>3</w:t>
            </w:r>
            <w:r w:rsidRPr="003F2A0D">
              <w:rPr>
                <w:rFonts w:ascii="Times New Roman" w:hAnsi="Times New Roman" w:cs="Times New Roman"/>
                <w:b/>
              </w:rPr>
              <w:t xml:space="preserve"> m. </w:t>
            </w:r>
            <w:r w:rsidR="0030249C">
              <w:rPr>
                <w:rFonts w:ascii="Times New Roman" w:hAnsi="Times New Roman" w:cs="Times New Roman"/>
                <w:b/>
              </w:rPr>
              <w:t>birželio 26</w:t>
            </w:r>
            <w:r w:rsidRPr="003F2A0D">
              <w:rPr>
                <w:rFonts w:ascii="Times New Roman" w:hAnsi="Times New Roman" w:cs="Times New Roman"/>
                <w:b/>
                <w:bCs/>
              </w:rPr>
              <w:t xml:space="preserve"> d. </w:t>
            </w:r>
            <w:r w:rsidRPr="003F2A0D">
              <w:rPr>
                <w:rFonts w:ascii="Times New Roman" w:hAnsi="Times New Roman" w:cs="Times New Roman"/>
                <w:b/>
              </w:rPr>
              <w:t>Europos Parl</w:t>
            </w:r>
            <w:r w:rsidR="0030249C">
              <w:rPr>
                <w:rFonts w:ascii="Times New Roman" w:hAnsi="Times New Roman" w:cs="Times New Roman"/>
                <w:b/>
              </w:rPr>
              <w:t>amento ir Tarybos direktyva 2013</w:t>
            </w:r>
            <w:r w:rsidRPr="003F2A0D">
              <w:rPr>
                <w:rFonts w:ascii="Times New Roman" w:hAnsi="Times New Roman" w:cs="Times New Roman"/>
                <w:b/>
              </w:rPr>
              <w:t>/</w:t>
            </w:r>
            <w:r w:rsidR="0030249C">
              <w:rPr>
                <w:rFonts w:ascii="Times New Roman" w:hAnsi="Times New Roman" w:cs="Times New Roman"/>
                <w:b/>
              </w:rPr>
              <w:t>32</w:t>
            </w:r>
            <w:r w:rsidRPr="003F2A0D">
              <w:rPr>
                <w:rFonts w:ascii="Times New Roman" w:hAnsi="Times New Roman" w:cs="Times New Roman"/>
                <w:b/>
              </w:rPr>
              <w:t>/ES dėl</w:t>
            </w:r>
            <w:r w:rsidR="0030249C">
              <w:rPr>
                <w:rFonts w:ascii="Times New Roman" w:hAnsi="Times New Roman" w:cs="Times New Roman"/>
                <w:b/>
              </w:rPr>
              <w:t xml:space="preserve"> tarptautinės apsaugos suteikimo ir panaikinimo bendros tvarkos (nauja redakcija)</w:t>
            </w:r>
          </w:p>
          <w:p w14:paraId="3E891690" w14:textId="77777777" w:rsidR="0030249C" w:rsidRPr="003F2A0D" w:rsidRDefault="0030249C" w:rsidP="0030249C">
            <w:pPr>
              <w:pStyle w:val="Default"/>
              <w:jc w:val="both"/>
              <w:rPr>
                <w:rFonts w:ascii="Times New Roman" w:hAnsi="Times New Roman" w:cs="Times New Roman"/>
                <w:i/>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5C1E" w14:textId="2DBAB3F2" w:rsidR="00874B71" w:rsidRPr="009907BD" w:rsidRDefault="00874B71" w:rsidP="00792237">
            <w:pPr>
              <w:spacing w:before="0" w:after="0"/>
              <w:jc w:val="both"/>
              <w:rPr>
                <w:b/>
              </w:rPr>
            </w:pPr>
            <w:r w:rsidRPr="009907BD">
              <w:rPr>
                <w:b/>
              </w:rPr>
              <w:t>Lietuvos Respublikos įstatymo „Dėl užsieniečių teisinės padėties“ Nr.</w:t>
            </w:r>
            <w:r w:rsidR="003A39B0">
              <w:rPr>
                <w:b/>
              </w:rPr>
              <w:t> </w:t>
            </w:r>
            <w:r w:rsidRPr="009907BD">
              <w:rPr>
                <w:b/>
              </w:rPr>
              <w:t>IX-2206 pakeitimo įstatymo projektas (toliau – Įstatymo projektas)</w:t>
            </w:r>
          </w:p>
          <w:p w14:paraId="4961C184" w14:textId="77777777" w:rsidR="00A40F38" w:rsidRDefault="00A40F38" w:rsidP="00792237">
            <w:pPr>
              <w:spacing w:before="0" w:after="0"/>
              <w:jc w:val="both"/>
              <w:rPr>
                <w:b/>
              </w:rPr>
            </w:pPr>
          </w:p>
          <w:p w14:paraId="4649BDE5" w14:textId="77777777" w:rsidR="00A40F38" w:rsidRDefault="00A40F38" w:rsidP="00792237">
            <w:pPr>
              <w:spacing w:before="0" w:after="0"/>
              <w:jc w:val="both"/>
              <w:rPr>
                <w:b/>
              </w:rPr>
            </w:pPr>
            <w:r w:rsidRPr="009907BD">
              <w:rPr>
                <w:b/>
              </w:rPr>
              <w:t>Lietuvos Respublikos įstatym</w:t>
            </w:r>
            <w:r>
              <w:rPr>
                <w:b/>
              </w:rPr>
              <w:t>as</w:t>
            </w:r>
            <w:r w:rsidRPr="009907BD">
              <w:rPr>
                <w:b/>
              </w:rPr>
              <w:t xml:space="preserve"> „Dėl užsieniečių teisinės padėties“</w:t>
            </w:r>
          </w:p>
          <w:p w14:paraId="1606C4F9" w14:textId="77777777" w:rsidR="00A40F38" w:rsidRDefault="00A40F38" w:rsidP="00792237">
            <w:pPr>
              <w:spacing w:before="0" w:after="0"/>
              <w:jc w:val="both"/>
              <w:rPr>
                <w:b/>
              </w:rPr>
            </w:pPr>
          </w:p>
          <w:p w14:paraId="1CBF4293" w14:textId="77777777" w:rsidR="003A77AF" w:rsidRDefault="003A77AF" w:rsidP="00792237">
            <w:pPr>
              <w:spacing w:before="0" w:after="0"/>
              <w:jc w:val="both"/>
              <w:rPr>
                <w:b/>
              </w:rPr>
            </w:pPr>
            <w:r>
              <w:rPr>
                <w:b/>
              </w:rPr>
              <w:t>Lietuvos Respublikos valstybės ir tarnybos paslapčių įstatymas;</w:t>
            </w:r>
          </w:p>
          <w:p w14:paraId="7069CB21" w14:textId="77777777" w:rsidR="003A77AF" w:rsidRDefault="003A77AF" w:rsidP="00792237">
            <w:pPr>
              <w:spacing w:before="0" w:after="0"/>
              <w:jc w:val="both"/>
              <w:rPr>
                <w:b/>
              </w:rPr>
            </w:pPr>
          </w:p>
          <w:p w14:paraId="25A2A701" w14:textId="77777777" w:rsidR="003A77AF" w:rsidRPr="009907BD" w:rsidRDefault="003A77AF" w:rsidP="00792237">
            <w:pPr>
              <w:spacing w:before="0" w:after="0"/>
              <w:jc w:val="both"/>
              <w:rPr>
                <w:b/>
              </w:rPr>
            </w:pPr>
            <w:r>
              <w:rPr>
                <w:b/>
              </w:rPr>
              <w:t>Lietuvos Respublikos asmens duomenų teisinės apsaugos įstatymas.</w:t>
            </w:r>
          </w:p>
          <w:p w14:paraId="6BED8822" w14:textId="77777777" w:rsidR="00874B71" w:rsidRPr="009907BD" w:rsidRDefault="00874B71" w:rsidP="00792237">
            <w:pPr>
              <w:spacing w:before="0" w:after="0"/>
              <w:jc w:val="both"/>
              <w:rPr>
                <w:color w:val="00000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C7817" w14:textId="77777777" w:rsidR="00874B71" w:rsidRPr="009907BD" w:rsidRDefault="00874B71" w:rsidP="00792237">
            <w:pPr>
              <w:suppressAutoHyphens w:val="0"/>
              <w:autoSpaceDN/>
              <w:spacing w:beforeAutospacing="1" w:after="0"/>
              <w:jc w:val="both"/>
              <w:textAlignment w:val="auto"/>
              <w:rPr>
                <w:b/>
              </w:rPr>
            </w:pPr>
            <w:r w:rsidRPr="009907BD">
              <w:rPr>
                <w:b/>
                <w:bCs/>
              </w:rPr>
              <w:t>Direktyvos perkėlimo ir įgyvendinimo lygis</w:t>
            </w:r>
          </w:p>
          <w:p w14:paraId="31E7C806" w14:textId="77777777" w:rsidR="00874B71" w:rsidRPr="009907BD" w:rsidRDefault="00874B71" w:rsidP="00792237">
            <w:pPr>
              <w:spacing w:before="0"/>
              <w:rPr>
                <w:color w:val="000000"/>
              </w:rPr>
            </w:pPr>
          </w:p>
        </w:tc>
      </w:tr>
      <w:tr w:rsidR="00D40C52" w:rsidRPr="009907BD" w14:paraId="4069F511" w14:textId="77777777" w:rsidTr="00D40C52">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1B3D" w14:textId="77777777" w:rsidR="00D40C52" w:rsidRPr="009907BD" w:rsidRDefault="00D40C52" w:rsidP="00D40C52">
            <w:pPr>
              <w:pStyle w:val="ti-art"/>
              <w:spacing w:before="0" w:after="0"/>
              <w:jc w:val="center"/>
              <w:rPr>
                <w:i/>
                <w:iCs/>
                <w:color w:val="000000"/>
              </w:rPr>
            </w:pPr>
            <w:r w:rsidRPr="009907BD">
              <w:rPr>
                <w:i/>
                <w:iCs/>
                <w:color w:val="000000"/>
              </w:rPr>
              <w:t>48 straipsnis</w:t>
            </w:r>
          </w:p>
          <w:p w14:paraId="0F1BF457" w14:textId="77777777" w:rsidR="00D40C52" w:rsidRPr="009907BD" w:rsidRDefault="00D40C52" w:rsidP="00D40C52">
            <w:pPr>
              <w:pStyle w:val="sti-art"/>
              <w:spacing w:before="0" w:after="0"/>
              <w:jc w:val="center"/>
              <w:rPr>
                <w:b/>
                <w:bCs/>
                <w:color w:val="000000"/>
              </w:rPr>
            </w:pPr>
            <w:r w:rsidRPr="009907BD">
              <w:rPr>
                <w:b/>
                <w:bCs/>
                <w:color w:val="000000"/>
              </w:rPr>
              <w:t>Konfidencialumas</w:t>
            </w:r>
          </w:p>
          <w:p w14:paraId="3E7966C7" w14:textId="77777777" w:rsidR="00D40C52" w:rsidRPr="009907BD" w:rsidRDefault="00D40C52" w:rsidP="00D40C52">
            <w:pPr>
              <w:spacing w:before="0" w:after="0"/>
              <w:jc w:val="both"/>
              <w:rPr>
                <w:color w:val="000000"/>
              </w:rPr>
            </w:pPr>
            <w:r w:rsidRPr="009907BD">
              <w:rPr>
                <w:color w:val="000000"/>
              </w:rPr>
              <w:t>Valstybės narės užtikrina, kad šią direktyvą įgyvendinančios institucijos laikytųsi konfidencialumo principo, kaip apibrėžta nacionalinės teisės aktuose, dėl bet kokios vykstant darbui gautos informacijos.</w:t>
            </w:r>
          </w:p>
          <w:p w14:paraId="5268AA79" w14:textId="77777777" w:rsidR="00D40C52" w:rsidRPr="003F2A0D" w:rsidRDefault="00D40C52" w:rsidP="00792237">
            <w:pPr>
              <w:pStyle w:val="Default"/>
              <w:jc w:val="both"/>
              <w:rPr>
                <w:rFonts w:ascii="Times New Roman" w:hAnsi="Times New Roman" w:cs="Times New Roman"/>
                <w:b/>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B70E" w14:textId="77777777" w:rsidR="00A40F38" w:rsidRPr="00A40F38" w:rsidRDefault="00A40F38" w:rsidP="00A40F38">
            <w:pPr>
              <w:pStyle w:val="Betarp"/>
              <w:jc w:val="both"/>
              <w:rPr>
                <w:b/>
              </w:rPr>
            </w:pPr>
            <w:r w:rsidRPr="00A40F38">
              <w:rPr>
                <w:b/>
              </w:rPr>
              <w:t>Įstatymo projekto 31 straipsnis.</w:t>
            </w:r>
          </w:p>
          <w:p w14:paraId="5D5B586B" w14:textId="77777777" w:rsidR="00A40F38" w:rsidRPr="00A40F38" w:rsidRDefault="00A40F38" w:rsidP="00A40F38">
            <w:pPr>
              <w:pStyle w:val="Betarp"/>
              <w:jc w:val="both"/>
              <w:rPr>
                <w:b/>
              </w:rPr>
            </w:pPr>
            <w:r w:rsidRPr="00A40F38">
              <w:rPr>
                <w:b/>
              </w:rPr>
              <w:t>„31 straipsnis 68 straipsnio pakeitimas</w:t>
            </w:r>
          </w:p>
          <w:p w14:paraId="145BF3E4" w14:textId="77777777" w:rsidR="00A40F38" w:rsidRPr="00A40F38" w:rsidRDefault="00A40F38" w:rsidP="00A40F38">
            <w:pPr>
              <w:pStyle w:val="Betarp"/>
              <w:jc w:val="both"/>
              <w:rPr>
                <w:b/>
              </w:rPr>
            </w:pPr>
            <w:r w:rsidRPr="00A40F38">
              <w:rPr>
                <w:b/>
              </w:rPr>
              <w:t>Pakeisti 68 straipsnio 1 dalį ir ją išdėstyti taip:</w:t>
            </w:r>
          </w:p>
          <w:p w14:paraId="26A81E56" w14:textId="77777777" w:rsidR="00A40F38" w:rsidRPr="00A40F38" w:rsidRDefault="00A40F38" w:rsidP="00A40F38">
            <w:pPr>
              <w:pStyle w:val="Betarp"/>
              <w:jc w:val="both"/>
              <w:rPr>
                <w:b/>
              </w:rPr>
            </w:pPr>
            <w:r w:rsidRPr="00A40F38">
              <w:rPr>
                <w:b/>
              </w:rPr>
              <w:t>„1. Informacija, susijusi su prašymo suteikti prieglobstį pateikimu ir nagrinėjimu, gali būti įslaptinama Lietuvos Respublikos valstybės ir tarnybos paslapčių įstatymo nustatyta tvarka.“</w:t>
            </w:r>
          </w:p>
          <w:p w14:paraId="1AA09F0A" w14:textId="77777777" w:rsidR="00A40F38" w:rsidRDefault="00A40F38" w:rsidP="00D40C52">
            <w:pPr>
              <w:spacing w:before="0" w:after="0"/>
              <w:jc w:val="both"/>
              <w:rPr>
                <w:b/>
              </w:rPr>
            </w:pPr>
          </w:p>
          <w:p w14:paraId="1F01F549" w14:textId="0F3E069C" w:rsidR="00D40C52" w:rsidRPr="003A77AF" w:rsidRDefault="00D40C52" w:rsidP="00D40C52">
            <w:pPr>
              <w:spacing w:before="0" w:after="0"/>
              <w:jc w:val="both"/>
              <w:rPr>
                <w:b/>
              </w:rPr>
            </w:pPr>
            <w:r w:rsidRPr="003A77AF">
              <w:rPr>
                <w:b/>
              </w:rPr>
              <w:t>Lietuvos Respublikos įstatymas „Dėl užsieniečių teisinės padėties“ 68</w:t>
            </w:r>
            <w:r w:rsidR="003A39B0">
              <w:rPr>
                <w:b/>
              </w:rPr>
              <w:t> </w:t>
            </w:r>
            <w:r w:rsidRPr="003A77AF">
              <w:rPr>
                <w:b/>
              </w:rPr>
              <w:t>straipsnio 4 dalis:</w:t>
            </w:r>
          </w:p>
          <w:p w14:paraId="292BC345" w14:textId="77777777" w:rsidR="00D40C52" w:rsidRPr="003A77AF" w:rsidRDefault="00D40C52" w:rsidP="00D40C52">
            <w:pPr>
              <w:suppressAutoHyphens w:val="0"/>
              <w:autoSpaceDN/>
              <w:spacing w:before="0" w:after="0"/>
              <w:jc w:val="both"/>
              <w:textAlignment w:val="auto"/>
              <w:rPr>
                <w:b/>
              </w:rPr>
            </w:pPr>
            <w:r w:rsidRPr="003A77AF">
              <w:rPr>
                <w:b/>
              </w:rPr>
              <w:t>68 straipsnis. Darbas su prieglobsčio prašytojais ir informacijos neatskleidimas</w:t>
            </w:r>
          </w:p>
          <w:p w14:paraId="0EEEE810" w14:textId="77777777" w:rsidR="00D40C52" w:rsidRPr="003A77AF" w:rsidRDefault="00D40C52" w:rsidP="00D40C52">
            <w:pPr>
              <w:spacing w:before="0" w:after="0"/>
              <w:jc w:val="both"/>
              <w:rPr>
                <w:b/>
              </w:rPr>
            </w:pPr>
            <w:r w:rsidRPr="003A77AF">
              <w:rPr>
                <w:b/>
              </w:rPr>
              <w:t>4. Kompetentingų Lietuvos Respublikos institucijų ar įstaigų valstybės tarnautojams ir darbuotojams, kurių veikla susijusi su prašymų suteikti prieglobstį nagrinėjimu ir (ar) priėmimo sąlygų užtikrinimu, draudžiama atskleisti informaciją, gautą atliekant savo funkcijas, išskyrus įstatymuose nustatytus atvejus.</w:t>
            </w:r>
          </w:p>
          <w:p w14:paraId="7E4977EA" w14:textId="77777777" w:rsidR="003A77AF" w:rsidRDefault="003A77AF" w:rsidP="00D40C52">
            <w:pPr>
              <w:spacing w:before="0" w:after="0"/>
              <w:jc w:val="both"/>
            </w:pPr>
          </w:p>
          <w:p w14:paraId="638A3E7F" w14:textId="77777777" w:rsidR="003A77AF" w:rsidRPr="003A77AF" w:rsidRDefault="003A77AF" w:rsidP="00D40C52">
            <w:pPr>
              <w:spacing w:before="0" w:after="0"/>
              <w:jc w:val="both"/>
              <w:rPr>
                <w:b/>
              </w:rPr>
            </w:pPr>
            <w:r w:rsidRPr="003A77AF">
              <w:rPr>
                <w:b/>
              </w:rPr>
              <w:t>Lietuvos Respublikos valstybės ir tarnybos paslapčių įstatymo 7 straipsnio 2 dalies 26 punktas</w:t>
            </w:r>
            <w:r>
              <w:rPr>
                <w:b/>
              </w:rPr>
              <w:t xml:space="preserve"> ir 4 dalis</w:t>
            </w:r>
            <w:r w:rsidRPr="003A77AF">
              <w:rPr>
                <w:b/>
              </w:rPr>
              <w:t>:</w:t>
            </w:r>
          </w:p>
          <w:p w14:paraId="498C7CF5" w14:textId="77777777" w:rsidR="003A77AF" w:rsidRPr="003A77AF" w:rsidRDefault="003A77AF" w:rsidP="00D40C52">
            <w:pPr>
              <w:spacing w:before="0" w:after="0"/>
              <w:jc w:val="both"/>
              <w:rPr>
                <w:b/>
              </w:rPr>
            </w:pPr>
            <w:r w:rsidRPr="003A77AF">
              <w:rPr>
                <w:b/>
              </w:rPr>
              <w:t>7 straipsnis. Įslaptinamos informacijos kategorijų sąrašas</w:t>
            </w:r>
          </w:p>
          <w:p w14:paraId="2DA28F48" w14:textId="77777777" w:rsidR="003A77AF" w:rsidRPr="003A77AF" w:rsidRDefault="003A77AF" w:rsidP="00D40C52">
            <w:pPr>
              <w:spacing w:before="0" w:after="0"/>
              <w:jc w:val="both"/>
              <w:rPr>
                <w:b/>
              </w:rPr>
            </w:pPr>
            <w:r w:rsidRPr="003A77AF">
              <w:rPr>
                <w:b/>
              </w:rPr>
              <w:t xml:space="preserve">2. </w:t>
            </w:r>
            <w:r>
              <w:rPr>
                <w:b/>
              </w:rPr>
              <w:t>T</w:t>
            </w:r>
            <w:r w:rsidRPr="003A77AF">
              <w:rPr>
                <w:b/>
              </w:rPr>
              <w:t>arnybos paslaptį gali sudaryti:</w:t>
            </w:r>
          </w:p>
          <w:p w14:paraId="505F938C" w14:textId="77777777" w:rsidR="003A77AF" w:rsidRPr="003A77AF" w:rsidRDefault="003A77AF" w:rsidP="00D40C52">
            <w:pPr>
              <w:spacing w:before="0" w:after="0"/>
              <w:jc w:val="both"/>
              <w:rPr>
                <w:b/>
                <w:color w:val="000000"/>
              </w:rPr>
            </w:pPr>
            <w:r w:rsidRPr="003A77AF">
              <w:rPr>
                <w:b/>
              </w:rPr>
              <w:lastRenderedPageBreak/>
              <w:t xml:space="preserve">26) </w:t>
            </w:r>
            <w:r w:rsidRPr="003A77AF">
              <w:rPr>
                <w:b/>
                <w:color w:val="000000"/>
              </w:rPr>
              <w:t>informacija, susijusi su prašymo suteikti prieglobstį pateikimu ir nagrinėjimu;</w:t>
            </w:r>
          </w:p>
          <w:p w14:paraId="7DAC4C41" w14:textId="77777777" w:rsidR="003A77AF" w:rsidRPr="003A77AF" w:rsidRDefault="003A77AF" w:rsidP="00D40C52">
            <w:pPr>
              <w:spacing w:before="0" w:after="0"/>
              <w:jc w:val="both"/>
              <w:rPr>
                <w:b/>
              </w:rPr>
            </w:pPr>
            <w:r w:rsidRPr="003A77AF">
              <w:rPr>
                <w:b/>
                <w:color w:val="000000"/>
              </w:rPr>
              <w:t>4. Paslapčių subjektai, vadovaudamiesi įslaptinamos informacijos kategorijų sąrašu, sudaro detalius įslaptinamos informacijos, susijusios su jų veikla, sąrašus. Detaliuose įslaptinamos informacijos sąrašuose turi būti numatytos įslaptinamos informacijos slaptumo žymos, tokios informacijos įslaptinimo terminai arba iš</w:t>
            </w:r>
            <w:bookmarkStart w:id="0" w:name="_GoBack"/>
            <w:bookmarkEnd w:id="0"/>
            <w:r w:rsidRPr="003A77AF">
              <w:rPr>
                <w:b/>
                <w:color w:val="000000"/>
              </w:rPr>
              <w:t>slaptinimo sąlygos. Detalius įslaptinamos informacijos sąrašus, pritarus Paslapčių apsaugos koordinavimo komisijos pirmininkui, tvirtina ir keičia paslapčių subjektų vadovai.</w:t>
            </w:r>
          </w:p>
          <w:p w14:paraId="55F6571E" w14:textId="77777777" w:rsidR="00D40C52" w:rsidRDefault="00D40C52" w:rsidP="00D40C52">
            <w:pPr>
              <w:spacing w:before="0" w:after="0"/>
              <w:jc w:val="both"/>
            </w:pPr>
          </w:p>
          <w:p w14:paraId="6678FD54" w14:textId="77777777" w:rsidR="00D40C52" w:rsidRPr="00A91264" w:rsidRDefault="00D40C52" w:rsidP="00A91264">
            <w:pPr>
              <w:spacing w:before="0" w:after="0"/>
              <w:jc w:val="both"/>
              <w:rPr>
                <w:b/>
              </w:rPr>
            </w:pPr>
            <w:r w:rsidRPr="00A91264">
              <w:rPr>
                <w:b/>
              </w:rPr>
              <w:t>Lietuvos Respublikos asmens duomenų teisinės apsaugos įstatymas: 1 straipsnio 1 dalis; 30 straipsnio 1 dalis:</w:t>
            </w:r>
          </w:p>
          <w:p w14:paraId="4A9B5AC7" w14:textId="77777777" w:rsidR="00D40C52" w:rsidRPr="00A91264" w:rsidRDefault="00D40C52" w:rsidP="00A91264">
            <w:pPr>
              <w:spacing w:before="0" w:after="0"/>
              <w:jc w:val="both"/>
              <w:rPr>
                <w:b/>
              </w:rPr>
            </w:pPr>
            <w:r w:rsidRPr="00A91264">
              <w:rPr>
                <w:b/>
              </w:rPr>
              <w:t xml:space="preserve">1 straipsnis. Įstatymo tikslas, paskirtis ir taikymo sritis </w:t>
            </w:r>
          </w:p>
          <w:p w14:paraId="44F66746" w14:textId="77777777" w:rsidR="00D40C52" w:rsidRPr="00A91264" w:rsidRDefault="00D40C52" w:rsidP="00A91264">
            <w:pPr>
              <w:spacing w:before="0" w:after="0"/>
              <w:jc w:val="both"/>
              <w:rPr>
                <w:b/>
              </w:rPr>
            </w:pPr>
            <w:r w:rsidRPr="00A91264">
              <w:rPr>
                <w:b/>
              </w:rPr>
              <w:t>1. Šio įstatymo tikslas – ginti žmogaus privataus gyvenimo neliečiamumo teisę tvarkant asmens duomenis.</w:t>
            </w:r>
          </w:p>
          <w:p w14:paraId="3BE4C03F" w14:textId="77777777" w:rsidR="00D40C52" w:rsidRPr="00A91264" w:rsidRDefault="00D40C52" w:rsidP="00A91264">
            <w:pPr>
              <w:suppressAutoHyphens w:val="0"/>
              <w:autoSpaceDN/>
              <w:spacing w:before="0" w:after="0"/>
              <w:jc w:val="both"/>
              <w:textAlignment w:val="auto"/>
              <w:rPr>
                <w:b/>
              </w:rPr>
            </w:pPr>
            <w:r w:rsidRPr="00A91264">
              <w:rPr>
                <w:b/>
              </w:rPr>
              <w:t>30 straipsnis. Duomenų saugumas</w:t>
            </w:r>
          </w:p>
          <w:p w14:paraId="51B0063B" w14:textId="77777777" w:rsidR="00D40C52" w:rsidRPr="00A91264" w:rsidRDefault="00A91264" w:rsidP="00A91264">
            <w:pPr>
              <w:spacing w:before="0" w:after="0"/>
              <w:jc w:val="both"/>
              <w:rPr>
                <w:b/>
                <w:bCs/>
              </w:rPr>
            </w:pPr>
            <w:bookmarkStart w:id="1" w:name="part_501dd502259a4c2691ab0d3afc990f64"/>
            <w:bookmarkEnd w:id="1"/>
            <w:r w:rsidRPr="00A91264">
              <w:rPr>
                <w:b/>
              </w:rPr>
              <w:t xml:space="preserve">1. </w:t>
            </w:r>
            <w:r w:rsidR="00D40C52" w:rsidRPr="00A91264">
              <w:rPr>
                <w:b/>
              </w:rPr>
              <w:t xml:space="preserve">Duomenų valdytojas ir duomenų tvarkytojas privalo įgyvendinti tinkamas organizacines ir technines priemones, skirtas apsaugoti asmens duomenims nuo atsitiktinio ar neteisėto sunaikinimo, pakeitimo, atskleidimo, taip pat nuo bet kokio kito neteisėto tvarkymo. Minėtos priemonės turi užtikrinti tokį saugumo lygį, kuris atitiktų saugotinų asmens duomenų pobūdį ir jų tvarkymo keliamą riziką, </w:t>
            </w:r>
            <w:r w:rsidR="00D40C52" w:rsidRPr="00A91264">
              <w:rPr>
                <w:b/>
                <w:bCs/>
              </w:rPr>
              <w:t>&lt;...&gt;.</w:t>
            </w:r>
          </w:p>
          <w:p w14:paraId="68EBDB00" w14:textId="77777777" w:rsidR="00D40C52" w:rsidRPr="009907BD" w:rsidRDefault="00D40C52" w:rsidP="00792237">
            <w:pPr>
              <w:spacing w:before="0" w:after="0"/>
              <w:jc w:val="both"/>
              <w:rPr>
                <w:b/>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7979" w14:textId="77777777" w:rsidR="00D40C52" w:rsidRPr="009907BD" w:rsidRDefault="000123A1" w:rsidP="00792237">
            <w:pPr>
              <w:suppressAutoHyphens w:val="0"/>
              <w:autoSpaceDN/>
              <w:spacing w:beforeAutospacing="1" w:after="0"/>
              <w:jc w:val="both"/>
              <w:textAlignment w:val="auto"/>
              <w:rPr>
                <w:b/>
                <w:bCs/>
              </w:rPr>
            </w:pPr>
            <w:r>
              <w:rPr>
                <w:color w:val="000000"/>
              </w:rPr>
              <w:lastRenderedPageBreak/>
              <w:t>Visiškas</w:t>
            </w:r>
          </w:p>
        </w:tc>
      </w:tr>
    </w:tbl>
    <w:p w14:paraId="3BEB6C69" w14:textId="77777777" w:rsidR="003E7B45" w:rsidRDefault="00557197"/>
    <w:sectPr w:rsidR="003E7B45" w:rsidSect="00231A1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7962"/>
    <w:multiLevelType w:val="hybridMultilevel"/>
    <w:tmpl w:val="62A23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1C"/>
    <w:rsid w:val="000123A1"/>
    <w:rsid w:val="00231A1C"/>
    <w:rsid w:val="0030249C"/>
    <w:rsid w:val="003A39B0"/>
    <w:rsid w:val="003A77AF"/>
    <w:rsid w:val="004232FE"/>
    <w:rsid w:val="00443101"/>
    <w:rsid w:val="00470D59"/>
    <w:rsid w:val="00545ECD"/>
    <w:rsid w:val="00557197"/>
    <w:rsid w:val="006151B4"/>
    <w:rsid w:val="006C1A4A"/>
    <w:rsid w:val="00762E2D"/>
    <w:rsid w:val="00874B71"/>
    <w:rsid w:val="008A1D97"/>
    <w:rsid w:val="009F6F84"/>
    <w:rsid w:val="00A40F38"/>
    <w:rsid w:val="00A91264"/>
    <w:rsid w:val="00B5550D"/>
    <w:rsid w:val="00B86C12"/>
    <w:rsid w:val="00BA7335"/>
    <w:rsid w:val="00BC7A79"/>
    <w:rsid w:val="00CB5498"/>
    <w:rsid w:val="00CC09F5"/>
    <w:rsid w:val="00D40C52"/>
    <w:rsid w:val="00DE4312"/>
    <w:rsid w:val="00E757AA"/>
    <w:rsid w:val="00ED3983"/>
    <w:rsid w:val="00FB7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150D"/>
  <w15:chartTrackingRefBased/>
  <w15:docId w15:val="{FCFEF1C6-B66B-4218-8225-D8D3E799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31A1C"/>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tinkleliolentelviesi">
    <w:name w:val="Grid Table 1 Light"/>
    <w:basedOn w:val="prastojilentel"/>
    <w:uiPriority w:val="46"/>
    <w:rsid w:val="00ED3983"/>
    <w:pPr>
      <w:spacing w:after="0" w:line="240" w:lineRule="auto"/>
    </w:pPr>
    <w:tblPr>
      <w:tblStyleRowBandSize w:val="1"/>
      <w:tblStyleColBandSize w:val="1"/>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art">
    <w:name w:val="ti-art"/>
    <w:basedOn w:val="prastasis"/>
    <w:rsid w:val="00231A1C"/>
  </w:style>
  <w:style w:type="paragraph" w:customStyle="1" w:styleId="sti-art">
    <w:name w:val="sti-art"/>
    <w:basedOn w:val="prastasis"/>
    <w:rsid w:val="00231A1C"/>
  </w:style>
  <w:style w:type="paragraph" w:styleId="Betarp">
    <w:name w:val="No Spacing"/>
    <w:uiPriority w:val="1"/>
    <w:qFormat/>
    <w:rsid w:val="00231A1C"/>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customStyle="1" w:styleId="statymonr">
    <w:name w:val="statymonr"/>
    <w:basedOn w:val="Numatytasispastraiposriftas"/>
    <w:rsid w:val="00231A1C"/>
  </w:style>
  <w:style w:type="character" w:customStyle="1" w:styleId="typewriter0">
    <w:name w:val="typewriter0"/>
    <w:basedOn w:val="Numatytasispastraiposriftas"/>
    <w:rsid w:val="00231A1C"/>
  </w:style>
  <w:style w:type="paragraph" w:styleId="Sraopastraipa">
    <w:name w:val="List Paragraph"/>
    <w:basedOn w:val="prastasis"/>
    <w:uiPriority w:val="34"/>
    <w:qFormat/>
    <w:rsid w:val="00CB5498"/>
    <w:pPr>
      <w:ind w:left="720"/>
      <w:contextualSpacing/>
    </w:pPr>
  </w:style>
  <w:style w:type="paragraph" w:customStyle="1" w:styleId="Default">
    <w:name w:val="Default"/>
    <w:rsid w:val="00874B71"/>
    <w:pPr>
      <w:autoSpaceDE w:val="0"/>
      <w:autoSpaceDN w:val="0"/>
      <w:adjustRightInd w:val="0"/>
      <w:spacing w:after="0" w:line="240" w:lineRule="auto"/>
    </w:pPr>
    <w:rPr>
      <w:rFonts w:ascii="EUAlbertina" w:hAnsi="EUAlbertina" w:cs="EUAlbertina"/>
      <w:color w:val="000000"/>
      <w:sz w:val="24"/>
      <w:szCs w:val="24"/>
    </w:rPr>
  </w:style>
  <w:style w:type="character" w:styleId="Komentaronuoroda">
    <w:name w:val="annotation reference"/>
    <w:basedOn w:val="Numatytasispastraiposriftas"/>
    <w:uiPriority w:val="99"/>
    <w:semiHidden/>
    <w:unhideWhenUsed/>
    <w:rsid w:val="00FB784E"/>
    <w:rPr>
      <w:sz w:val="16"/>
      <w:szCs w:val="16"/>
    </w:rPr>
  </w:style>
  <w:style w:type="paragraph" w:styleId="Komentarotekstas">
    <w:name w:val="annotation text"/>
    <w:basedOn w:val="prastasis"/>
    <w:link w:val="KomentarotekstasDiagrama"/>
    <w:uiPriority w:val="99"/>
    <w:semiHidden/>
    <w:unhideWhenUsed/>
    <w:rsid w:val="00FB784E"/>
    <w:rPr>
      <w:sz w:val="20"/>
      <w:szCs w:val="20"/>
    </w:rPr>
  </w:style>
  <w:style w:type="character" w:customStyle="1" w:styleId="KomentarotekstasDiagrama">
    <w:name w:val="Komentaro tekstas Diagrama"/>
    <w:basedOn w:val="Numatytasispastraiposriftas"/>
    <w:link w:val="Komentarotekstas"/>
    <w:uiPriority w:val="99"/>
    <w:semiHidden/>
    <w:rsid w:val="00FB78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784E"/>
    <w:rPr>
      <w:b/>
      <w:bCs/>
    </w:rPr>
  </w:style>
  <w:style w:type="character" w:customStyle="1" w:styleId="KomentarotemaDiagrama">
    <w:name w:val="Komentaro tema Diagrama"/>
    <w:basedOn w:val="KomentarotekstasDiagrama"/>
    <w:link w:val="Komentarotema"/>
    <w:uiPriority w:val="99"/>
    <w:semiHidden/>
    <w:rsid w:val="00FB784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B784E"/>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784E"/>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431346">
      <w:bodyDiv w:val="1"/>
      <w:marLeft w:val="0"/>
      <w:marRight w:val="0"/>
      <w:marTop w:val="0"/>
      <w:marBottom w:val="0"/>
      <w:divBdr>
        <w:top w:val="none" w:sz="0" w:space="0" w:color="auto"/>
        <w:left w:val="none" w:sz="0" w:space="0" w:color="auto"/>
        <w:bottom w:val="none" w:sz="0" w:space="0" w:color="auto"/>
        <w:right w:val="none" w:sz="0" w:space="0" w:color="auto"/>
      </w:divBdr>
      <w:divsChild>
        <w:div w:id="1441215576">
          <w:marLeft w:val="0"/>
          <w:marRight w:val="0"/>
          <w:marTop w:val="0"/>
          <w:marBottom w:val="0"/>
          <w:divBdr>
            <w:top w:val="none" w:sz="0" w:space="0" w:color="auto"/>
            <w:left w:val="none" w:sz="0" w:space="0" w:color="auto"/>
            <w:bottom w:val="none" w:sz="0" w:space="0" w:color="auto"/>
            <w:right w:val="none" w:sz="0" w:space="0" w:color="auto"/>
          </w:divBdr>
        </w:div>
      </w:divsChild>
    </w:div>
    <w:div w:id="1066221064">
      <w:bodyDiv w:val="1"/>
      <w:marLeft w:val="0"/>
      <w:marRight w:val="0"/>
      <w:marTop w:val="0"/>
      <w:marBottom w:val="0"/>
      <w:divBdr>
        <w:top w:val="none" w:sz="0" w:space="0" w:color="auto"/>
        <w:left w:val="none" w:sz="0" w:space="0" w:color="auto"/>
        <w:bottom w:val="none" w:sz="0" w:space="0" w:color="auto"/>
        <w:right w:val="none" w:sz="0" w:space="0" w:color="auto"/>
      </w:divBdr>
      <w:divsChild>
        <w:div w:id="649134082">
          <w:marLeft w:val="0"/>
          <w:marRight w:val="0"/>
          <w:marTop w:val="0"/>
          <w:marBottom w:val="0"/>
          <w:divBdr>
            <w:top w:val="none" w:sz="0" w:space="0" w:color="auto"/>
            <w:left w:val="none" w:sz="0" w:space="0" w:color="auto"/>
            <w:bottom w:val="none" w:sz="0" w:space="0" w:color="auto"/>
            <w:right w:val="none" w:sz="0" w:space="0" w:color="auto"/>
          </w:divBdr>
        </w:div>
        <w:div w:id="1740403802">
          <w:marLeft w:val="0"/>
          <w:marRight w:val="0"/>
          <w:marTop w:val="0"/>
          <w:marBottom w:val="0"/>
          <w:divBdr>
            <w:top w:val="none" w:sz="0" w:space="0" w:color="auto"/>
            <w:left w:val="none" w:sz="0" w:space="0" w:color="auto"/>
            <w:bottom w:val="none" w:sz="0" w:space="0" w:color="auto"/>
            <w:right w:val="none" w:sz="0" w:space="0" w:color="auto"/>
          </w:divBdr>
        </w:div>
        <w:div w:id="1005090135">
          <w:marLeft w:val="0"/>
          <w:marRight w:val="0"/>
          <w:marTop w:val="0"/>
          <w:marBottom w:val="0"/>
          <w:divBdr>
            <w:top w:val="none" w:sz="0" w:space="0" w:color="auto"/>
            <w:left w:val="none" w:sz="0" w:space="0" w:color="auto"/>
            <w:bottom w:val="none" w:sz="0" w:space="0" w:color="auto"/>
            <w:right w:val="none" w:sz="0" w:space="0" w:color="auto"/>
          </w:divBdr>
        </w:div>
        <w:div w:id="691153633">
          <w:marLeft w:val="0"/>
          <w:marRight w:val="0"/>
          <w:marTop w:val="0"/>
          <w:marBottom w:val="0"/>
          <w:divBdr>
            <w:top w:val="none" w:sz="0" w:space="0" w:color="auto"/>
            <w:left w:val="none" w:sz="0" w:space="0" w:color="auto"/>
            <w:bottom w:val="none" w:sz="0" w:space="0" w:color="auto"/>
            <w:right w:val="none" w:sz="0" w:space="0" w:color="auto"/>
          </w:divBdr>
        </w:div>
        <w:div w:id="33411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2054</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2018-04-17T10:07:00Z</dcterms:created>
  <dc:creator>Jolanta Verbuvienė</dc:creator>
  <cp:lastModifiedBy>Dainius Cicėnas</cp:lastModifiedBy>
  <dcterms:modified xsi:type="dcterms:W3CDTF">2018-07-10T11:19:00Z</dcterms:modified>
  <cp:revision>8</cp:revision>
</cp:coreProperties>
</file>