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682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B804EB4" wp14:editId="24581B4C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6825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1B4059" w:rsidRPr="00F86825" w:rsidRDefault="001B4059" w:rsidP="001B4059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>Biudžetinė įstaiga, J. Tumo-Vaižganto g. 2, LT-01511 Vilnius, tel.: (8 5) 236 2444, (8 5) 236 2400,</w:t>
      </w:r>
    </w:p>
    <w:p w:rsidR="001B4059" w:rsidRPr="00F86825" w:rsidRDefault="001B4059" w:rsidP="001B4059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 xml:space="preserve">faks. (8 5) 231 3090, el. p. </w:t>
      </w:r>
      <w:hyperlink r:id="rId8" w:history="1">
        <w:r w:rsidRPr="00F86825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F86825">
        <w:rPr>
          <w:rFonts w:ascii="Times New Roman" w:hAnsi="Times New Roman" w:cs="Times New Roman"/>
          <w:sz w:val="18"/>
          <w:szCs w:val="18"/>
        </w:rPr>
        <w:t xml:space="preserve">, </w:t>
      </w:r>
      <w:hyperlink r:id="rId9" w:history="1">
        <w:r w:rsidRPr="00F86825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:rsidR="001B4059" w:rsidRPr="00F86825" w:rsidRDefault="001B4059" w:rsidP="001B4059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092"/>
        <w:gridCol w:w="26"/>
      </w:tblGrid>
      <w:tr w:rsidR="001B4059" w:rsidRPr="00F86825" w:rsidTr="00171B3A">
        <w:trPr>
          <w:gridAfter w:val="1"/>
          <w:wAfter w:w="26" w:type="dxa"/>
          <w:trHeight w:val="270"/>
        </w:trPr>
        <w:tc>
          <w:tcPr>
            <w:tcW w:w="9582" w:type="dxa"/>
            <w:gridSpan w:val="2"/>
            <w:tcBorders>
              <w:bottom w:val="nil"/>
            </w:tcBorders>
          </w:tcPr>
          <w:p w:rsidR="001B4059" w:rsidRPr="00F86825" w:rsidRDefault="001B4059" w:rsidP="00570AFC">
            <w:pPr>
              <w:pStyle w:val="Porat"/>
              <w:jc w:val="center"/>
              <w:rPr>
                <w:sz w:val="24"/>
                <w:szCs w:val="24"/>
              </w:rPr>
            </w:pPr>
          </w:p>
        </w:tc>
      </w:tr>
      <w:tr w:rsidR="00171B3A" w:rsidTr="00171B3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171B3A" w:rsidRDefault="00171B3A" w:rsidP="00171B3A">
            <w:pPr>
              <w:tabs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 xml:space="preserve">Lietuvos Respublikos socialinės apsaugos ir darbo </w:t>
            </w:r>
          </w:p>
          <w:p w:rsidR="00171B3A" w:rsidRDefault="00171B3A" w:rsidP="00171B3A">
            <w:pPr>
              <w:tabs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ministerijai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3A" w:rsidRDefault="00171B3A" w:rsidP="00171B3A">
            <w:pPr>
              <w:tabs>
                <w:tab w:val="left" w:pos="1985"/>
                <w:tab w:val="left" w:pos="2977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szCs w:val="24"/>
              </w:rPr>
              <w:t>2020-09</w:t>
            </w:r>
            <w:r w:rsidRPr="00F86825">
              <w:rPr>
                <w:sz w:val="24"/>
                <w:szCs w:val="24"/>
              </w:rPr>
              <w:t>-</w:t>
            </w:r>
            <w:r w:rsidRPr="00F86825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1" w:name="Text3"/>
            <w:r w:rsidRPr="00F86825">
              <w:rPr>
                <w:sz w:val="24"/>
                <w:szCs w:val="24"/>
              </w:rPr>
              <w:instrText xml:space="preserve"> FORMTEXT </w:instrText>
            </w:r>
            <w:r w:rsidRPr="00F86825">
              <w:rPr>
                <w:sz w:val="24"/>
                <w:szCs w:val="24"/>
              </w:rPr>
            </w:r>
            <w:r w:rsidRPr="00F86825">
              <w:rPr>
                <w:sz w:val="24"/>
                <w:szCs w:val="24"/>
              </w:rPr>
              <w:fldChar w:fldCharType="separate"/>
            </w:r>
            <w:r w:rsidRPr="00F86825">
              <w:rPr>
                <w:noProof/>
                <w:sz w:val="24"/>
                <w:szCs w:val="24"/>
              </w:rPr>
              <w:t> </w:t>
            </w:r>
            <w:r w:rsidRPr="00F86825">
              <w:rPr>
                <w:noProof/>
                <w:sz w:val="24"/>
                <w:szCs w:val="24"/>
              </w:rPr>
              <w:t> </w:t>
            </w:r>
            <w:r w:rsidRPr="00F86825"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</w:rPr>
              <w:t xml:space="preserve"> </w:t>
            </w:r>
            <w:r w:rsidRPr="00F86825">
              <w:rPr>
                <w:sz w:val="24"/>
              </w:rPr>
              <w:t xml:space="preserve">Nr. </w:t>
            </w:r>
            <w:r w:rsidRPr="00F8682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umento numeris"/>
                  <w:textInput>
                    <w:format w:val="Didžiosios raidės"/>
                  </w:textInput>
                </w:ffData>
              </w:fldChar>
            </w:r>
            <w:r w:rsidRPr="00F86825">
              <w:rPr>
                <w:sz w:val="24"/>
              </w:rPr>
              <w:instrText xml:space="preserve"> FORMTEXT </w:instrText>
            </w:r>
            <w:r w:rsidRPr="00F86825">
              <w:rPr>
                <w:sz w:val="24"/>
              </w:rPr>
            </w:r>
            <w:r w:rsidRPr="00F86825">
              <w:rPr>
                <w:sz w:val="24"/>
              </w:rPr>
              <w:fldChar w:fldCharType="separate"/>
            </w:r>
            <w:r w:rsidRPr="00F86825">
              <w:rPr>
                <w:noProof/>
                <w:sz w:val="24"/>
              </w:rPr>
              <w:t> </w:t>
            </w:r>
            <w:r w:rsidRPr="00F86825">
              <w:rPr>
                <w:noProof/>
                <w:sz w:val="24"/>
              </w:rPr>
              <w:t> </w:t>
            </w:r>
            <w:r w:rsidRPr="00F86825">
              <w:rPr>
                <w:noProof/>
                <w:sz w:val="24"/>
              </w:rPr>
              <w:t> </w:t>
            </w:r>
            <w:r w:rsidRPr="00F86825">
              <w:rPr>
                <w:noProof/>
                <w:sz w:val="24"/>
              </w:rPr>
              <w:t> </w:t>
            </w:r>
            <w:r w:rsidRPr="00F86825">
              <w:rPr>
                <w:noProof/>
                <w:sz w:val="24"/>
              </w:rPr>
              <w:t> </w:t>
            </w:r>
            <w:r w:rsidRPr="00F86825">
              <w:rPr>
                <w:sz w:val="24"/>
              </w:rPr>
              <w:fldChar w:fldCharType="end"/>
            </w:r>
            <w:r>
              <w:rPr>
                <w:sz w:val="24"/>
                <w:szCs w:val="24"/>
              </w:rPr>
              <w:tab/>
              <w:t xml:space="preserve">       </w:t>
            </w:r>
          </w:p>
          <w:p w:rsidR="00171B3A" w:rsidRDefault="00171B3A" w:rsidP="00171B3A">
            <w:pPr>
              <w:tabs>
                <w:tab w:val="left" w:pos="1985"/>
                <w:tab w:val="left" w:pos="2977"/>
              </w:tabs>
              <w:rPr>
                <w:sz w:val="24"/>
              </w:rPr>
            </w:pPr>
            <w:r w:rsidRPr="00F86825">
              <w:rPr>
                <w:sz w:val="24"/>
                <w:szCs w:val="24"/>
              </w:rPr>
              <w:t xml:space="preserve">Į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</w:rPr>
              <w:t>-09-</w:t>
            </w:r>
            <w:r>
              <w:rPr>
                <w:sz w:val="24"/>
                <w:lang w:val="en-US"/>
              </w:rPr>
              <w:t>08</w:t>
            </w:r>
            <w:r>
              <w:rPr>
                <w:sz w:val="24"/>
              </w:rPr>
              <w:t xml:space="preserve"> Nr. </w:t>
            </w:r>
            <w:r w:rsidRPr="00171B3A">
              <w:rPr>
                <w:sz w:val="24"/>
              </w:rPr>
              <w:t>(23.1E-55)STAP-671</w:t>
            </w:r>
          </w:p>
        </w:tc>
      </w:tr>
    </w:tbl>
    <w:p w:rsidR="00171B3A" w:rsidRDefault="00171B3A" w:rsidP="001B4059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71B3A" w:rsidRDefault="00171B3A" w:rsidP="001B4059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71B3A" w:rsidRDefault="00171B3A" w:rsidP="00171B3A">
      <w:pPr>
        <w:pStyle w:val="Antrats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171B3A" w:rsidRDefault="00171B3A" w:rsidP="00171B3A">
      <w:pPr>
        <w:pStyle w:val="Antrats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1B4059" w:rsidRPr="00413380" w:rsidRDefault="001B4059" w:rsidP="00171B3A">
      <w:pPr>
        <w:pStyle w:val="Antrats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413380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DĖL </w:t>
      </w:r>
      <w:r w:rsidR="00171B3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LIETUVOS RESPUBLIKOS VYRIAUSYBĖS </w:t>
      </w:r>
      <w:r w:rsidR="006351BF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NUTARIMŲ </w:t>
      </w:r>
      <w:r w:rsidR="00171B3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PROJEKTŲ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DERINIMO</w:t>
      </w:r>
    </w:p>
    <w:p w:rsidR="001B4059" w:rsidRPr="00413380" w:rsidRDefault="001B4059" w:rsidP="00171B3A">
      <w:pPr>
        <w:tabs>
          <w:tab w:val="left" w:pos="283"/>
          <w:tab w:val="left" w:pos="1985"/>
          <w:tab w:val="left" w:pos="2977"/>
        </w:tabs>
        <w:spacing w:after="0" w:line="240" w:lineRule="auto"/>
        <w:ind w:firstLine="630"/>
        <w:rPr>
          <w:rFonts w:ascii="Times New Roman" w:hAnsi="Times New Roman" w:cs="Times New Roman"/>
          <w:b/>
          <w:sz w:val="24"/>
          <w:szCs w:val="24"/>
        </w:rPr>
      </w:pPr>
    </w:p>
    <w:p w:rsidR="001B4059" w:rsidRPr="00413380" w:rsidRDefault="001B4059" w:rsidP="00171B3A">
      <w:pPr>
        <w:tabs>
          <w:tab w:val="left" w:pos="283"/>
          <w:tab w:val="left" w:pos="1985"/>
          <w:tab w:val="left" w:pos="2977"/>
        </w:tabs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</w:p>
    <w:p w:rsidR="0043458E" w:rsidRDefault="00490CBB" w:rsidP="00171B3A">
      <w:pPr>
        <w:tabs>
          <w:tab w:val="left" w:pos="709"/>
        </w:tabs>
        <w:spacing w:after="0"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užsienio reikalų</w:t>
      </w:r>
      <w:r w:rsidRPr="00490CBB">
        <w:rPr>
          <w:rFonts w:ascii="Times New Roman" w:hAnsi="Times New Roman" w:cs="Times New Roman"/>
          <w:sz w:val="24"/>
          <w:szCs w:val="24"/>
        </w:rPr>
        <w:t xml:space="preserve"> ministerija, pagal kompetenciją išnagrinėju</w:t>
      </w:r>
      <w:r w:rsidR="00E21F0F">
        <w:rPr>
          <w:rFonts w:ascii="Times New Roman" w:hAnsi="Times New Roman" w:cs="Times New Roman"/>
          <w:sz w:val="24"/>
          <w:szCs w:val="24"/>
        </w:rPr>
        <w:t xml:space="preserve">si Lietuvos Respublikos </w:t>
      </w:r>
      <w:r w:rsidR="00171B3A">
        <w:rPr>
          <w:rFonts w:ascii="Times New Roman" w:hAnsi="Times New Roman" w:cs="Times New Roman"/>
          <w:sz w:val="24"/>
          <w:szCs w:val="24"/>
        </w:rPr>
        <w:t>socialinės apsaugos ir darbo</w:t>
      </w:r>
      <w:r w:rsidR="00DC54E1">
        <w:rPr>
          <w:rFonts w:ascii="Times New Roman" w:hAnsi="Times New Roman" w:cs="Times New Roman"/>
          <w:sz w:val="24"/>
          <w:szCs w:val="24"/>
        </w:rPr>
        <w:t xml:space="preserve"> ministerijos 2020</w:t>
      </w:r>
      <w:r w:rsidR="00484120">
        <w:rPr>
          <w:rFonts w:ascii="Times New Roman" w:hAnsi="Times New Roman" w:cs="Times New Roman"/>
          <w:sz w:val="24"/>
          <w:szCs w:val="24"/>
        </w:rPr>
        <w:t xml:space="preserve"> m. </w:t>
      </w:r>
      <w:r w:rsidR="00171B3A">
        <w:rPr>
          <w:rFonts w:ascii="Times New Roman" w:hAnsi="Times New Roman" w:cs="Times New Roman"/>
          <w:sz w:val="24"/>
          <w:szCs w:val="24"/>
        </w:rPr>
        <w:t>rugsėjo 08</w:t>
      </w:r>
      <w:r w:rsidRPr="00490CBB">
        <w:rPr>
          <w:rFonts w:ascii="Times New Roman" w:hAnsi="Times New Roman" w:cs="Times New Roman"/>
          <w:sz w:val="24"/>
          <w:szCs w:val="24"/>
        </w:rPr>
        <w:t xml:space="preserve"> d. ra</w:t>
      </w:r>
      <w:r w:rsidR="00E21F0F">
        <w:rPr>
          <w:rFonts w:ascii="Times New Roman" w:hAnsi="Times New Roman" w:cs="Times New Roman"/>
          <w:sz w:val="24"/>
          <w:szCs w:val="24"/>
        </w:rPr>
        <w:t xml:space="preserve">štu Nr. </w:t>
      </w:r>
      <w:r w:rsidR="00171B3A" w:rsidRPr="00171B3A">
        <w:rPr>
          <w:rFonts w:ascii="Times New Roman" w:hAnsi="Times New Roman" w:cs="Times New Roman"/>
          <w:sz w:val="24"/>
          <w:szCs w:val="24"/>
        </w:rPr>
        <w:t xml:space="preserve">(23.1E-55)STAP-671 </w:t>
      </w:r>
      <w:r w:rsidR="00171B3A">
        <w:rPr>
          <w:rFonts w:ascii="Times New Roman" w:hAnsi="Times New Roman" w:cs="Times New Roman"/>
          <w:sz w:val="24"/>
          <w:szCs w:val="24"/>
        </w:rPr>
        <w:t>pateiktus</w:t>
      </w:r>
      <w:r w:rsidRPr="00490CBB">
        <w:rPr>
          <w:rFonts w:ascii="Times New Roman" w:hAnsi="Times New Roman" w:cs="Times New Roman"/>
          <w:sz w:val="24"/>
          <w:szCs w:val="24"/>
        </w:rPr>
        <w:t xml:space="preserve"> </w:t>
      </w:r>
      <w:r w:rsidR="00E21F0F">
        <w:rPr>
          <w:rFonts w:ascii="Times New Roman" w:hAnsi="Times New Roman" w:cs="Times New Roman"/>
          <w:sz w:val="24"/>
          <w:szCs w:val="24"/>
        </w:rPr>
        <w:t xml:space="preserve">derinti </w:t>
      </w:r>
      <w:r w:rsidR="00171B3A" w:rsidRPr="00171B3A">
        <w:rPr>
          <w:rFonts w:ascii="Times New Roman" w:hAnsi="Times New Roman" w:cs="Times New Roman"/>
          <w:sz w:val="24"/>
          <w:szCs w:val="24"/>
        </w:rPr>
        <w:t>Lietuvos Respublikos Vyriausybės nutarimo  „Dėl Lietuvos Respublikos Vyriausybės 2001 m. sausio 25 d. nutarimo Nr. 86 „Dėl Ligos ir motinystės socialinio draudimo išmokų nuostatų p</w:t>
      </w:r>
      <w:r w:rsidR="00171B3A">
        <w:rPr>
          <w:rFonts w:ascii="Times New Roman" w:hAnsi="Times New Roman" w:cs="Times New Roman"/>
          <w:sz w:val="24"/>
          <w:szCs w:val="24"/>
        </w:rPr>
        <w:t xml:space="preserve">atvirtinimo“ pakeitimo“ ir </w:t>
      </w:r>
      <w:r w:rsidR="00171B3A" w:rsidRPr="00171B3A">
        <w:rPr>
          <w:rFonts w:ascii="Times New Roman" w:hAnsi="Times New Roman" w:cs="Times New Roman"/>
          <w:sz w:val="24"/>
          <w:szCs w:val="24"/>
        </w:rPr>
        <w:t>Lietuvos Respublikos Vyriausybės nutarimo „Dėl Lietuvos Respublikos Vyriausybės 2004 m. gruodžio 24 d. nutarimo Nr. 1656 „Dėl Nedarbo socialinio draudimo išmokų nuostatų ir dalinio darbo išmokų nuostatų p</w:t>
      </w:r>
      <w:r w:rsidR="00171B3A">
        <w:rPr>
          <w:rFonts w:ascii="Times New Roman" w:hAnsi="Times New Roman" w:cs="Times New Roman"/>
          <w:sz w:val="24"/>
          <w:szCs w:val="24"/>
        </w:rPr>
        <w:t>atvirtinimo“ pakeitimo“ projektus</w:t>
      </w:r>
      <w:r w:rsidR="00171B3A" w:rsidRPr="00171B3A">
        <w:rPr>
          <w:rFonts w:ascii="Times New Roman" w:hAnsi="Times New Roman" w:cs="Times New Roman"/>
          <w:sz w:val="24"/>
          <w:szCs w:val="24"/>
        </w:rPr>
        <w:t xml:space="preserve"> (toliau kartu – Nutarimų projektai)</w:t>
      </w:r>
      <w:r w:rsidR="00E21F0F">
        <w:rPr>
          <w:rFonts w:ascii="Times New Roman" w:hAnsi="Times New Roman" w:cs="Times New Roman"/>
          <w:sz w:val="24"/>
          <w:szCs w:val="24"/>
        </w:rPr>
        <w:t xml:space="preserve">, informuoja, kad dėl </w:t>
      </w:r>
      <w:r w:rsidR="00171B3A">
        <w:rPr>
          <w:rFonts w:ascii="Times New Roman" w:hAnsi="Times New Roman" w:cs="Times New Roman"/>
          <w:sz w:val="24"/>
          <w:szCs w:val="24"/>
        </w:rPr>
        <w:t>Nutarimų projektų</w:t>
      </w:r>
      <w:r w:rsidRPr="00490CBB">
        <w:rPr>
          <w:rFonts w:ascii="Times New Roman" w:hAnsi="Times New Roman" w:cs="Times New Roman"/>
          <w:sz w:val="24"/>
          <w:szCs w:val="24"/>
        </w:rPr>
        <w:t xml:space="preserve"> pastabų ir pasiūlymų neturi.</w:t>
      </w:r>
    </w:p>
    <w:p w:rsidR="001B4059" w:rsidRDefault="001B4059" w:rsidP="00171B3A">
      <w:pPr>
        <w:tabs>
          <w:tab w:val="left" w:pos="283"/>
          <w:tab w:val="left" w:pos="1985"/>
          <w:tab w:val="left" w:pos="2977"/>
        </w:tabs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</w:p>
    <w:p w:rsidR="00E21F0F" w:rsidRDefault="00E21F0F" w:rsidP="00171B3A">
      <w:pPr>
        <w:tabs>
          <w:tab w:val="left" w:pos="283"/>
          <w:tab w:val="left" w:pos="1985"/>
          <w:tab w:val="left" w:pos="2977"/>
        </w:tabs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</w:p>
    <w:p w:rsidR="00E21F0F" w:rsidRDefault="00E21F0F" w:rsidP="00171B3A">
      <w:pPr>
        <w:tabs>
          <w:tab w:val="left" w:pos="283"/>
          <w:tab w:val="left" w:pos="1985"/>
          <w:tab w:val="left" w:pos="2977"/>
        </w:tabs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</w:p>
    <w:p w:rsidR="00E21F0F" w:rsidRPr="00413380" w:rsidRDefault="00E21F0F" w:rsidP="00171B3A">
      <w:pPr>
        <w:tabs>
          <w:tab w:val="left" w:pos="283"/>
          <w:tab w:val="left" w:pos="1985"/>
          <w:tab w:val="left" w:pos="2977"/>
        </w:tabs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1B4059" w:rsidRPr="00413380" w:rsidTr="00570AFC">
        <w:trPr>
          <w:cantSplit/>
          <w:trHeight w:val="367"/>
        </w:trPr>
        <w:tc>
          <w:tcPr>
            <w:tcW w:w="4796" w:type="dxa"/>
          </w:tcPr>
          <w:p w:rsidR="001B4059" w:rsidRPr="00413380" w:rsidRDefault="00171B3A" w:rsidP="00171B3A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Ministerijos kanclerė</w:t>
            </w:r>
          </w:p>
        </w:tc>
        <w:tc>
          <w:tcPr>
            <w:tcW w:w="1317" w:type="dxa"/>
          </w:tcPr>
          <w:p w:rsidR="001B4059" w:rsidRPr="00413380" w:rsidRDefault="001B4059" w:rsidP="00171B3A">
            <w:pPr>
              <w:keepNext/>
              <w:tabs>
                <w:tab w:val="left" w:pos="7777"/>
              </w:tabs>
              <w:ind w:firstLine="630"/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</w:pP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instrText xml:space="preserve"> FORMTEXT </w:instrText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separate"/>
            </w:r>
            <w:r w:rsidRPr="00413380">
              <w:rPr>
                <w:rFonts w:ascii="Times New Roman" w:hAnsi="Times New Roman" w:cs="Times New Roman"/>
                <w:noProof/>
                <w:vanish/>
                <w:color w:val="0000FF"/>
                <w:sz w:val="24"/>
                <w:szCs w:val="24"/>
              </w:rPr>
              <w:t>Parašo vieta</w:t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485" w:type="dxa"/>
          </w:tcPr>
          <w:p w:rsidR="001B4059" w:rsidRPr="00413380" w:rsidRDefault="00171B3A" w:rsidP="00171B3A">
            <w:pPr>
              <w:keepNext/>
              <w:tabs>
                <w:tab w:val="left" w:pos="7777"/>
              </w:tabs>
              <w:ind w:firstLine="6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Jovita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Neliupšienė</w:t>
            </w:r>
            <w:proofErr w:type="spellEnd"/>
          </w:p>
        </w:tc>
      </w:tr>
    </w:tbl>
    <w:p w:rsidR="001B4059" w:rsidRPr="00F86825" w:rsidRDefault="001B4059" w:rsidP="0043458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sectPr w:rsidR="001B4059" w:rsidRPr="00F86825" w:rsidSect="00AE5E62">
      <w:footerReference w:type="default" r:id="rId10"/>
      <w:pgSz w:w="11906" w:h="16838"/>
      <w:pgMar w:top="1134" w:right="566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56" w:rsidRDefault="000D5656" w:rsidP="0043458E">
      <w:pPr>
        <w:spacing w:after="0" w:line="240" w:lineRule="auto"/>
      </w:pPr>
      <w:r>
        <w:separator/>
      </w:r>
    </w:p>
  </w:endnote>
  <w:endnote w:type="continuationSeparator" w:id="0">
    <w:p w:rsidR="000D5656" w:rsidRDefault="000D5656" w:rsidP="0043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8E" w:rsidRDefault="0043458E" w:rsidP="0043458E">
    <w:pPr>
      <w:pStyle w:val="Porat"/>
    </w:pPr>
    <w:r>
      <w:rPr>
        <w:rFonts w:ascii="Times New Roman" w:hAnsi="Times New Roman" w:cs="Times New Roman"/>
        <w:sz w:val="24"/>
        <w:szCs w:val="24"/>
      </w:rPr>
      <w:t>Paulius Grigonis</w:t>
    </w:r>
    <w:r w:rsidRPr="00DA497E">
      <w:rPr>
        <w:rFonts w:ascii="Times New Roman" w:hAnsi="Times New Roman" w:cs="Times New Roman"/>
        <w:sz w:val="24"/>
        <w:szCs w:val="24"/>
      </w:rPr>
      <w:t xml:space="preserve">, tel. </w:t>
    </w:r>
    <w:r>
      <w:rPr>
        <w:rFonts w:ascii="Times New Roman" w:hAnsi="Times New Roman" w:cs="Times New Roman"/>
        <w:sz w:val="24"/>
        <w:szCs w:val="24"/>
      </w:rPr>
      <w:t>+370 706 5 2893</w:t>
    </w:r>
    <w:r w:rsidRPr="00DA497E">
      <w:rPr>
        <w:rFonts w:ascii="Times New Roman" w:hAnsi="Times New Roman" w:cs="Times New Roman"/>
        <w:sz w:val="24"/>
        <w:szCs w:val="24"/>
      </w:rPr>
      <w:t xml:space="preserve">, el. p. </w:t>
    </w:r>
    <w:r>
      <w:rPr>
        <w:rFonts w:ascii="Times New Roman" w:hAnsi="Times New Roman" w:cs="Times New Roman"/>
        <w:sz w:val="24"/>
        <w:szCs w:val="24"/>
      </w:rPr>
      <w:t>paulius.grigonis</w:t>
    </w:r>
    <w:r w:rsidRPr="00DA497E">
      <w:rPr>
        <w:rFonts w:ascii="Times New Roman" w:hAnsi="Times New Roman" w:cs="Times New Roman"/>
        <w:sz w:val="24"/>
        <w:szCs w:val="24"/>
      </w:rPr>
      <w:t>@urm.lt</w:t>
    </w:r>
  </w:p>
  <w:p w:rsidR="0043458E" w:rsidRDefault="0043458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56" w:rsidRDefault="000D5656" w:rsidP="0043458E">
      <w:pPr>
        <w:spacing w:after="0" w:line="240" w:lineRule="auto"/>
      </w:pPr>
      <w:r>
        <w:separator/>
      </w:r>
    </w:p>
  </w:footnote>
  <w:footnote w:type="continuationSeparator" w:id="0">
    <w:p w:rsidR="000D5656" w:rsidRDefault="000D5656" w:rsidP="00434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59"/>
    <w:rsid w:val="000D5656"/>
    <w:rsid w:val="00171B3A"/>
    <w:rsid w:val="001B4059"/>
    <w:rsid w:val="001D15EE"/>
    <w:rsid w:val="003214E9"/>
    <w:rsid w:val="0043458E"/>
    <w:rsid w:val="00484120"/>
    <w:rsid w:val="00490CBB"/>
    <w:rsid w:val="005C3440"/>
    <w:rsid w:val="006351BF"/>
    <w:rsid w:val="007075A3"/>
    <w:rsid w:val="00792F3A"/>
    <w:rsid w:val="007B5246"/>
    <w:rsid w:val="007E0235"/>
    <w:rsid w:val="008F5E68"/>
    <w:rsid w:val="00927114"/>
    <w:rsid w:val="00977398"/>
    <w:rsid w:val="009C396B"/>
    <w:rsid w:val="00A45887"/>
    <w:rsid w:val="00A60AA7"/>
    <w:rsid w:val="00CA5C47"/>
    <w:rsid w:val="00D80658"/>
    <w:rsid w:val="00DC54E1"/>
    <w:rsid w:val="00DE2FA8"/>
    <w:rsid w:val="00E21F0F"/>
    <w:rsid w:val="00F0074C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4059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1B4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1B4059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B4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4059"/>
    <w:rPr>
      <w:lang w:val="lt-LT"/>
    </w:rPr>
  </w:style>
  <w:style w:type="character" w:styleId="Hipersaitas">
    <w:name w:val="Hyperlink"/>
    <w:rsid w:val="001B4059"/>
    <w:rPr>
      <w:color w:val="0000FF"/>
      <w:u w:val="single"/>
    </w:rPr>
  </w:style>
  <w:style w:type="table" w:styleId="Lentelstinklelis">
    <w:name w:val="Table Grid"/>
    <w:basedOn w:val="prastojilentel"/>
    <w:rsid w:val="001B4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5246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4059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1B4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1B4059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B4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4059"/>
    <w:rPr>
      <w:lang w:val="lt-LT"/>
    </w:rPr>
  </w:style>
  <w:style w:type="character" w:styleId="Hipersaitas">
    <w:name w:val="Hyperlink"/>
    <w:rsid w:val="001B4059"/>
    <w:rPr>
      <w:color w:val="0000FF"/>
      <w:u w:val="single"/>
    </w:rPr>
  </w:style>
  <w:style w:type="table" w:styleId="Lentelstinklelis">
    <w:name w:val="Table Grid"/>
    <w:basedOn w:val="prastojilentel"/>
    <w:rsid w:val="001B4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5246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2020-09-25T12:20:00Z</dcterms:created>
  <dc:creator>Jolanta Samuolytė</dc:creator>
  <cp:lastModifiedBy>Indrė Lankelienė</cp:lastModifiedBy>
  <dcterms:modified xsi:type="dcterms:W3CDTF">2020-09-25T12:20:00Z</dcterms:modified>
  <cp:revision>2</cp:revision>
</cp:coreProperties>
</file>