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9C" w:rsidRDefault="00E02D86" w:rsidP="00821E9C">
      <w:pPr>
        <w:pStyle w:val="Pagrindinistekstas"/>
        <w:spacing w:after="0"/>
        <w:jc w:val="center"/>
        <w:rPr>
          <w:b/>
          <w:bCs/>
        </w:rPr>
      </w:pPr>
      <w:r>
        <w:rPr>
          <w:b/>
          <w:bCs/>
        </w:rPr>
        <w:t xml:space="preserve">KOMISIJOS DELEGUOTOJO REGLAMENTO (ES) 2017/2361 </w:t>
      </w:r>
      <w:r w:rsidR="00E4691D" w:rsidRPr="00535A62">
        <w:rPr>
          <w:b/>
          <w:bCs/>
        </w:rPr>
        <w:t xml:space="preserve">IR </w:t>
      </w:r>
      <w:r>
        <w:rPr>
          <w:b/>
          <w:bCs/>
        </w:rPr>
        <w:t>LIETUVOS RESPUBLIKOS INDĖLIŲ IR ĮSIPAREIGOJIMŲ INVESTUOTOJAMS DRAUDIMO ĮSTATYMO NR. IX-975</w:t>
      </w:r>
      <w:r w:rsidR="00DD46DF">
        <w:rPr>
          <w:b/>
          <w:bCs/>
        </w:rPr>
        <w:t xml:space="preserve"> </w:t>
      </w:r>
      <w:r w:rsidR="00DD46DF" w:rsidRPr="00E144E2">
        <w:rPr>
          <w:b/>
          <w:caps/>
        </w:rPr>
        <w:t xml:space="preserve">2, 3, 6, 7, 8, 10, 11, 12, </w:t>
      </w:r>
      <w:r w:rsidR="0062553B">
        <w:rPr>
          <w:b/>
          <w:caps/>
        </w:rPr>
        <w:t xml:space="preserve">13, </w:t>
      </w:r>
      <w:r w:rsidR="00DD46DF" w:rsidRPr="00E144E2">
        <w:rPr>
          <w:b/>
          <w:caps/>
        </w:rPr>
        <w:t>14, 15, 16, 18, 19, 20, 23, 26, 28, 32, 33, 35, 40, 41, 42, 46 STRAIPSNIŲ, ŠEŠTOJO SKIRSNIO PAVADINIMO IR PRIEDO PAKEITIMO</w:t>
      </w:r>
      <w:r w:rsidR="00DD46DF">
        <w:rPr>
          <w:b/>
          <w:caps/>
        </w:rPr>
        <w:t xml:space="preserve"> IR</w:t>
      </w:r>
      <w:r w:rsidR="00DD46DF" w:rsidRPr="00E144E2">
        <w:rPr>
          <w:b/>
          <w:caps/>
        </w:rPr>
        <w:t xml:space="preserve"> 5</w:t>
      </w:r>
      <w:r w:rsidR="00DD46DF">
        <w:rPr>
          <w:b/>
          <w:caps/>
        </w:rPr>
        <w:t>,</w:t>
      </w:r>
      <w:r w:rsidR="00DD46DF" w:rsidRPr="00E144E2">
        <w:rPr>
          <w:b/>
          <w:caps/>
        </w:rPr>
        <w:t xml:space="preserve"> 47</w:t>
      </w:r>
      <w:r w:rsidR="00DD46DF">
        <w:rPr>
          <w:b/>
          <w:caps/>
        </w:rPr>
        <w:t xml:space="preserve"> STRAIPSNIŲ </w:t>
      </w:r>
      <w:r w:rsidR="00DD46DF" w:rsidRPr="00E144E2">
        <w:rPr>
          <w:b/>
          <w:caps/>
        </w:rPr>
        <w:t xml:space="preserve">PRIPAŽINIMO NETEKUSIAIS GALIOS </w:t>
      </w:r>
      <w:r w:rsidR="00DD46DF" w:rsidRPr="00DD403E">
        <w:rPr>
          <w:rFonts w:eastAsia="Times New Roman"/>
          <w:b/>
          <w:bCs/>
          <w:caps/>
        </w:rPr>
        <w:t>ĮSTATYMO</w:t>
      </w:r>
      <w:r>
        <w:rPr>
          <w:b/>
          <w:bCs/>
        </w:rPr>
        <w:t xml:space="preserve"> PROJEKTO </w:t>
      </w:r>
    </w:p>
    <w:p w:rsidR="00E4691D" w:rsidRPr="00535A62" w:rsidRDefault="00E4691D" w:rsidP="00821E9C">
      <w:pPr>
        <w:pStyle w:val="Pagrindinistekstas"/>
        <w:spacing w:after="0"/>
        <w:jc w:val="center"/>
        <w:rPr>
          <w:b/>
          <w:bCs/>
        </w:rPr>
      </w:pPr>
      <w:r w:rsidRPr="00535A62">
        <w:rPr>
          <w:b/>
          <w:bCs/>
        </w:rPr>
        <w:t>ATITIKTIES LENTELĖ</w:t>
      </w:r>
    </w:p>
    <w:p w:rsidR="00821E9C" w:rsidRDefault="00821E9C" w:rsidP="00821E9C">
      <w:pPr>
        <w:tabs>
          <w:tab w:val="left" w:pos="851"/>
          <w:tab w:val="left" w:pos="9498"/>
          <w:tab w:val="left" w:pos="9639"/>
        </w:tabs>
        <w:jc w:val="center"/>
        <w:rPr>
          <w:b/>
          <w:bCs/>
          <w:cap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4981"/>
        <w:gridCol w:w="7813"/>
        <w:gridCol w:w="2255"/>
      </w:tblGrid>
      <w:tr w:rsidR="00E4691D" w:rsidRPr="00535A62" w:rsidTr="00967742">
        <w:trPr>
          <w:trHeight w:val="114"/>
        </w:trPr>
        <w:tc>
          <w:tcPr>
            <w:tcW w:w="0" w:type="auto"/>
            <w:tcBorders>
              <w:top w:val="single" w:sz="1" w:space="0" w:color="000000"/>
              <w:left w:val="single" w:sz="1" w:space="0" w:color="000000"/>
              <w:bottom w:val="single" w:sz="1" w:space="0" w:color="000000"/>
            </w:tcBorders>
          </w:tcPr>
          <w:p w:rsidR="00E02D86" w:rsidRPr="00B37210" w:rsidRDefault="00E02D86" w:rsidP="00535A62">
            <w:pPr>
              <w:jc w:val="both"/>
              <w:rPr>
                <w:b/>
                <w:sz w:val="22"/>
                <w:szCs w:val="22"/>
              </w:rPr>
            </w:pPr>
            <w:r w:rsidRPr="00B37210">
              <w:rPr>
                <w:b/>
                <w:sz w:val="22"/>
                <w:szCs w:val="22"/>
              </w:rPr>
              <w:t>2017 m. rugsėjo 14 d. Komisijos deleguotasis reglamentas (ES)2017/2361 dėl galutinės įnašų, skirtų Bendros pertvarkymo valdybos administracinėms išlaidoms padengti, sistemos</w:t>
            </w:r>
          </w:p>
          <w:p w:rsidR="00E4691D" w:rsidRPr="00B37210" w:rsidRDefault="00E4691D" w:rsidP="00535A62">
            <w:pPr>
              <w:jc w:val="both"/>
              <w:rPr>
                <w:rFonts w:eastAsia="Times New Roman"/>
                <w:b/>
                <w:bCs/>
                <w:sz w:val="22"/>
                <w:szCs w:val="22"/>
                <w:lang w:eastAsia="ar-SA"/>
              </w:rPr>
            </w:pPr>
          </w:p>
        </w:tc>
        <w:tc>
          <w:tcPr>
            <w:tcW w:w="0" w:type="auto"/>
            <w:tcBorders>
              <w:top w:val="single" w:sz="1" w:space="0" w:color="000000"/>
              <w:left w:val="single" w:sz="1" w:space="0" w:color="000000"/>
              <w:bottom w:val="single" w:sz="1" w:space="0" w:color="000000"/>
            </w:tcBorders>
          </w:tcPr>
          <w:p w:rsidR="00E4691D" w:rsidRPr="00B37210" w:rsidRDefault="00E02D86" w:rsidP="00967742">
            <w:pPr>
              <w:pStyle w:val="Pagrindinistekstas"/>
              <w:spacing w:after="0"/>
              <w:jc w:val="both"/>
              <w:rPr>
                <w:b/>
                <w:sz w:val="22"/>
                <w:szCs w:val="22"/>
              </w:rPr>
            </w:pPr>
            <w:r w:rsidRPr="00B37210">
              <w:rPr>
                <w:b/>
                <w:sz w:val="22"/>
                <w:szCs w:val="22"/>
              </w:rPr>
              <w:t xml:space="preserve">Lietuvos Respublikos indėlių ir įsipareigojimų investuotojams draudimo įstatymo </w:t>
            </w:r>
            <w:r w:rsidR="003B0015" w:rsidRPr="00B37210">
              <w:rPr>
                <w:b/>
                <w:sz w:val="22"/>
                <w:szCs w:val="22"/>
              </w:rPr>
              <w:t>Nr. IX</w:t>
            </w:r>
            <w:r w:rsidR="00955943" w:rsidRPr="00B37210">
              <w:rPr>
                <w:b/>
                <w:sz w:val="22"/>
                <w:szCs w:val="22"/>
              </w:rPr>
              <w:t>-</w:t>
            </w:r>
            <w:r w:rsidR="003B0015" w:rsidRPr="00B37210">
              <w:rPr>
                <w:b/>
                <w:sz w:val="22"/>
                <w:szCs w:val="22"/>
              </w:rPr>
              <w:t xml:space="preserve">975 </w:t>
            </w:r>
            <w:r w:rsidR="00967742" w:rsidRPr="00B37210">
              <w:rPr>
                <w:b/>
                <w:sz w:val="22"/>
                <w:szCs w:val="22"/>
              </w:rPr>
              <w:t xml:space="preserve">2, 3, 6, 7, 8, 10, 11, 12, </w:t>
            </w:r>
            <w:r w:rsidR="0062553B" w:rsidRPr="00B37210">
              <w:rPr>
                <w:b/>
                <w:sz w:val="22"/>
                <w:szCs w:val="22"/>
              </w:rPr>
              <w:t xml:space="preserve">13, </w:t>
            </w:r>
            <w:r w:rsidR="00967742" w:rsidRPr="00B37210">
              <w:rPr>
                <w:b/>
                <w:sz w:val="22"/>
                <w:szCs w:val="22"/>
              </w:rPr>
              <w:t>14, 15, 16, 18, 19, 20, 23, 26, 28, 32, 33, 35, 40, 41, 42, 46 straipsnių, šeštojo skirsnio pavadinimo ir priedo pakeitimo</w:t>
            </w:r>
            <w:r w:rsidR="00347556" w:rsidRPr="00B37210">
              <w:rPr>
                <w:b/>
                <w:sz w:val="22"/>
                <w:szCs w:val="22"/>
              </w:rPr>
              <w:t xml:space="preserve"> ir </w:t>
            </w:r>
            <w:r w:rsidR="00967742" w:rsidRPr="00B37210">
              <w:rPr>
                <w:b/>
                <w:sz w:val="22"/>
                <w:szCs w:val="22"/>
              </w:rPr>
              <w:t>5</w:t>
            </w:r>
            <w:r w:rsidR="00347556" w:rsidRPr="00B37210">
              <w:rPr>
                <w:b/>
                <w:sz w:val="22"/>
                <w:szCs w:val="22"/>
              </w:rPr>
              <w:t>,</w:t>
            </w:r>
            <w:r w:rsidR="00967742" w:rsidRPr="00B37210">
              <w:rPr>
                <w:b/>
                <w:sz w:val="22"/>
                <w:szCs w:val="22"/>
              </w:rPr>
              <w:t xml:space="preserve"> 47 straipsnių pripažinimo netekusiais galios įstatymo projektas </w:t>
            </w:r>
            <w:r w:rsidR="00E2626A" w:rsidRPr="00B37210">
              <w:rPr>
                <w:b/>
                <w:sz w:val="22"/>
                <w:szCs w:val="22"/>
              </w:rPr>
              <w:t xml:space="preserve">(toliau – </w:t>
            </w:r>
            <w:r w:rsidR="00592F45" w:rsidRPr="00B37210">
              <w:rPr>
                <w:b/>
                <w:sz w:val="22"/>
                <w:szCs w:val="22"/>
              </w:rPr>
              <w:t>IIDĮ p</w:t>
            </w:r>
            <w:r w:rsidR="00E2626A" w:rsidRPr="00B37210">
              <w:rPr>
                <w:b/>
                <w:sz w:val="22"/>
                <w:szCs w:val="22"/>
              </w:rPr>
              <w:t>rojektas)</w:t>
            </w:r>
          </w:p>
          <w:p w:rsidR="00E2626A" w:rsidRPr="00B37210" w:rsidRDefault="00E2626A" w:rsidP="009B75E0">
            <w:pPr>
              <w:pStyle w:val="Pagrindinistekstas"/>
              <w:spacing w:after="0"/>
              <w:jc w:val="both"/>
              <w:rPr>
                <w:rFonts w:eastAsia="Times New Roman"/>
                <w:bCs/>
                <w:sz w:val="22"/>
                <w:szCs w:val="22"/>
                <w:lang w:eastAsia="ar-SA"/>
              </w:rPr>
            </w:pPr>
          </w:p>
        </w:tc>
        <w:tc>
          <w:tcPr>
            <w:tcW w:w="0" w:type="auto"/>
            <w:tcBorders>
              <w:top w:val="single" w:sz="1" w:space="0" w:color="000000"/>
              <w:left w:val="single" w:sz="1" w:space="0" w:color="000000"/>
              <w:bottom w:val="single" w:sz="1" w:space="0" w:color="000000"/>
              <w:right w:val="single" w:sz="1" w:space="0" w:color="000000"/>
            </w:tcBorders>
          </w:tcPr>
          <w:p w:rsidR="00E4691D" w:rsidRPr="00535A62" w:rsidRDefault="000C4B5F" w:rsidP="00F2352F">
            <w:pPr>
              <w:pStyle w:val="Pagrindinistekstas"/>
              <w:spacing w:before="60" w:after="40"/>
              <w:jc w:val="both"/>
              <w:rPr>
                <w:b/>
                <w:bCs/>
              </w:rPr>
            </w:pPr>
            <w:r w:rsidRPr="00535A62">
              <w:rPr>
                <w:b/>
              </w:rPr>
              <w:t xml:space="preserve">ES teisės akto </w:t>
            </w:r>
            <w:r w:rsidR="008763F4" w:rsidRPr="00535A62">
              <w:rPr>
                <w:b/>
              </w:rPr>
              <w:t>įgyvendinimo</w:t>
            </w:r>
            <w:r w:rsidR="00E4691D" w:rsidRPr="00535A62">
              <w:rPr>
                <w:b/>
              </w:rPr>
              <w:t xml:space="preserve"> lygis</w:t>
            </w:r>
            <w:r w:rsidR="00311BCF" w:rsidRPr="00535A62">
              <w:rPr>
                <w:b/>
              </w:rPr>
              <w:t xml:space="preserve"> (visiškas, dalinis)</w:t>
            </w:r>
          </w:p>
        </w:tc>
      </w:tr>
      <w:tr w:rsidR="00E4691D" w:rsidRPr="00535A62" w:rsidTr="00967742">
        <w:tc>
          <w:tcPr>
            <w:tcW w:w="0" w:type="auto"/>
            <w:tcBorders>
              <w:left w:val="single" w:sz="1" w:space="0" w:color="000000"/>
              <w:bottom w:val="single" w:sz="1" w:space="0" w:color="000000"/>
            </w:tcBorders>
          </w:tcPr>
          <w:p w:rsidR="003B0015" w:rsidRPr="00B37210" w:rsidRDefault="003B0015" w:rsidP="00D00FD0">
            <w:pPr>
              <w:pStyle w:val="Pagrindinistekstas"/>
              <w:spacing w:after="0"/>
              <w:jc w:val="both"/>
              <w:rPr>
                <w:b/>
                <w:sz w:val="22"/>
                <w:szCs w:val="22"/>
              </w:rPr>
            </w:pPr>
            <w:r w:rsidRPr="00B37210">
              <w:rPr>
                <w:b/>
                <w:color w:val="000000"/>
                <w:sz w:val="22"/>
                <w:szCs w:val="22"/>
              </w:rPr>
              <w:t>9 straipsnis</w:t>
            </w:r>
          </w:p>
          <w:p w:rsidR="003B0015" w:rsidRPr="00B37210" w:rsidRDefault="003B0015" w:rsidP="00D00FD0">
            <w:pPr>
              <w:pStyle w:val="Pagrindinistekstas"/>
              <w:spacing w:after="0"/>
              <w:jc w:val="both"/>
              <w:rPr>
                <w:b/>
                <w:color w:val="000000"/>
                <w:sz w:val="22"/>
                <w:szCs w:val="22"/>
              </w:rPr>
            </w:pPr>
            <w:r w:rsidRPr="00B37210">
              <w:rPr>
                <w:b/>
                <w:color w:val="000000"/>
                <w:sz w:val="22"/>
                <w:szCs w:val="22"/>
              </w:rPr>
              <w:t>Vykdymo užtikrinimas</w:t>
            </w:r>
          </w:p>
          <w:p w:rsidR="009B16C7" w:rsidRPr="00B37210" w:rsidRDefault="00155121" w:rsidP="00DD46DF">
            <w:pPr>
              <w:pStyle w:val="Pagrindinistekstas"/>
              <w:spacing w:after="0"/>
              <w:jc w:val="both"/>
              <w:rPr>
                <w:sz w:val="22"/>
                <w:szCs w:val="22"/>
              </w:rPr>
            </w:pPr>
            <w:r w:rsidRPr="00B37210">
              <w:rPr>
                <w:color w:val="000000"/>
                <w:sz w:val="22"/>
                <w:szCs w:val="22"/>
              </w:rPr>
              <w:t>&lt;..........&gt;</w:t>
            </w:r>
          </w:p>
          <w:p w:rsidR="009B16C7" w:rsidRPr="00B37210" w:rsidRDefault="009B16C7" w:rsidP="009B16C7">
            <w:pPr>
              <w:pStyle w:val="prastasis1"/>
              <w:shd w:val="clear" w:color="auto" w:fill="FFFFFF"/>
              <w:rPr>
                <w:color w:val="000000"/>
                <w:sz w:val="22"/>
                <w:szCs w:val="22"/>
              </w:rPr>
            </w:pPr>
            <w:r w:rsidRPr="00B37210">
              <w:rPr>
                <w:color w:val="000000"/>
                <w:sz w:val="22"/>
                <w:szCs w:val="22"/>
              </w:rPr>
              <w:t>3. Kiekvienos dalyvaujančios valstybės narės vyriausybė paskiria instituciją, kuri tikrina sprendimų dėl atskirų įnašų autentiškumą, ir apie ją praneša Valdybai ir Europos Sąjungos Teisingumo Teismui.</w:t>
            </w:r>
          </w:p>
          <w:p w:rsidR="00E4691D" w:rsidRPr="00B37210" w:rsidRDefault="00155121" w:rsidP="005C3294">
            <w:pPr>
              <w:pStyle w:val="prastasis1"/>
              <w:shd w:val="clear" w:color="auto" w:fill="FFFFFF"/>
              <w:rPr>
                <w:sz w:val="22"/>
                <w:szCs w:val="22"/>
              </w:rPr>
            </w:pPr>
            <w:r w:rsidRPr="00B37210">
              <w:rPr>
                <w:sz w:val="22"/>
                <w:szCs w:val="22"/>
              </w:rPr>
              <w:t>&lt;.......&gt;</w:t>
            </w:r>
          </w:p>
        </w:tc>
        <w:tc>
          <w:tcPr>
            <w:tcW w:w="0" w:type="auto"/>
            <w:tcBorders>
              <w:left w:val="single" w:sz="1" w:space="0" w:color="000000"/>
              <w:bottom w:val="single" w:sz="1" w:space="0" w:color="000000"/>
            </w:tcBorders>
          </w:tcPr>
          <w:p w:rsidR="00E2626A" w:rsidRPr="00B37210" w:rsidRDefault="00967742" w:rsidP="00535A62">
            <w:pPr>
              <w:autoSpaceDE w:val="0"/>
              <w:autoSpaceDN w:val="0"/>
              <w:adjustRightInd w:val="0"/>
              <w:jc w:val="both"/>
              <w:textAlignment w:val="center"/>
              <w:rPr>
                <w:b/>
                <w:sz w:val="22"/>
                <w:szCs w:val="22"/>
              </w:rPr>
            </w:pPr>
            <w:r w:rsidRPr="00B37210">
              <w:rPr>
                <w:b/>
                <w:sz w:val="22"/>
                <w:szCs w:val="22"/>
              </w:rPr>
              <w:t>IIDĮ p</w:t>
            </w:r>
            <w:r w:rsidR="00E2626A" w:rsidRPr="00B37210">
              <w:rPr>
                <w:b/>
                <w:sz w:val="22"/>
                <w:szCs w:val="22"/>
              </w:rPr>
              <w:t>rojektas</w:t>
            </w:r>
          </w:p>
          <w:p w:rsidR="0062553B" w:rsidRPr="00B37210" w:rsidRDefault="0062553B" w:rsidP="0062553B">
            <w:pPr>
              <w:tabs>
                <w:tab w:val="left" w:pos="851"/>
                <w:tab w:val="left" w:pos="8789"/>
                <w:tab w:val="left" w:pos="9498"/>
                <w:tab w:val="left" w:pos="9639"/>
              </w:tabs>
              <w:jc w:val="both"/>
              <w:rPr>
                <w:b/>
                <w:bCs/>
                <w:sz w:val="22"/>
                <w:szCs w:val="22"/>
              </w:rPr>
            </w:pPr>
            <w:r w:rsidRPr="00B37210">
              <w:rPr>
                <w:b/>
                <w:bCs/>
                <w:sz w:val="22"/>
                <w:szCs w:val="22"/>
              </w:rPr>
              <w:t>22 straipsnis. 35 straipsnio pakeitimas</w:t>
            </w:r>
          </w:p>
          <w:p w:rsidR="0062553B" w:rsidRPr="00B37210" w:rsidRDefault="0062553B" w:rsidP="0062553B">
            <w:pPr>
              <w:tabs>
                <w:tab w:val="left" w:pos="851"/>
                <w:tab w:val="left" w:pos="8789"/>
                <w:tab w:val="left" w:pos="9498"/>
                <w:tab w:val="left" w:pos="9639"/>
              </w:tabs>
              <w:jc w:val="both"/>
              <w:rPr>
                <w:sz w:val="22"/>
                <w:szCs w:val="22"/>
              </w:rPr>
            </w:pPr>
            <w:r w:rsidRPr="00B37210">
              <w:rPr>
                <w:sz w:val="22"/>
                <w:szCs w:val="22"/>
              </w:rPr>
              <w:t xml:space="preserve">Pakeisti 35 straipsnio 1 dalį ir ją išdėstyti taip: </w:t>
            </w:r>
          </w:p>
          <w:p w:rsidR="00E4691D" w:rsidRPr="00B37210" w:rsidRDefault="00911F7D" w:rsidP="00911F7D">
            <w:pPr>
              <w:tabs>
                <w:tab w:val="left" w:pos="851"/>
              </w:tabs>
              <w:ind w:firstLine="851"/>
              <w:jc w:val="both"/>
              <w:rPr>
                <w:rFonts w:eastAsia="Times New Roman"/>
                <w:sz w:val="22"/>
                <w:szCs w:val="22"/>
                <w:lang w:eastAsia="ar-SA"/>
              </w:rPr>
            </w:pPr>
            <w:r w:rsidRPr="00911F7D">
              <w:rPr>
                <w:sz w:val="22"/>
                <w:szCs w:val="22"/>
              </w:rPr>
              <w:t xml:space="preserve">„1. Pertvarkymo fondo administravimas finansuojamas iš Pertvarkymo fondo dalyvių mokamų administravimo įmokų. Kiti Lietuvos Respublikos finansinio tvarumo įstatymo 1 straipsnio 2 dalyje išvardyti subjektai moka įmokas Bendros pertvarkymo valdybos administracinėms išlaidoms finansuoti Reglamento (ES) Nr. 806/2014 ir </w:t>
            </w:r>
            <w:r w:rsidRPr="00911F7D">
              <w:rPr>
                <w:strike/>
                <w:sz w:val="22"/>
                <w:szCs w:val="22"/>
              </w:rPr>
              <w:t>jo įgyvendinamųjų teisės aktų</w:t>
            </w:r>
            <w:r w:rsidRPr="00911F7D">
              <w:rPr>
                <w:sz w:val="22"/>
                <w:szCs w:val="22"/>
              </w:rPr>
              <w:t xml:space="preserve"> </w:t>
            </w:r>
            <w:r w:rsidRPr="00911F7D">
              <w:rPr>
                <w:b/>
                <w:bCs/>
                <w:sz w:val="22"/>
                <w:szCs w:val="22"/>
              </w:rPr>
              <w:t xml:space="preserve">Reglamento (ES) Nr. 2017/2361 </w:t>
            </w:r>
            <w:r w:rsidRPr="00911F7D">
              <w:rPr>
                <w:sz w:val="22"/>
                <w:szCs w:val="22"/>
              </w:rPr>
              <w:t>nustatyta tvarka</w:t>
            </w:r>
            <w:r w:rsidRPr="00911F7D">
              <w:rPr>
                <w:b/>
                <w:bCs/>
                <w:sz w:val="22"/>
                <w:szCs w:val="22"/>
              </w:rPr>
              <w:t xml:space="preserve">. Lietuvos banko ir (arba) Bendros pertvarkymo valdybos pateiktus prašymus dėl Bendros pertvarkymo valdybos sprendimų dėl Lietuvos Respublikoje licencijuoto finansų sektoriaus subjekto atskirų mokėtinų sumų (toliau – Bendros pertvarkymo valdybos sprendimas) autentiškumo patikrinimo nagrinėja Lietuvos apeliacinis teismas, </w:t>
            </w:r>
            <w:proofErr w:type="spellStart"/>
            <w:r w:rsidRPr="00911F7D">
              <w:rPr>
                <w:b/>
                <w:bCs/>
                <w:i/>
                <w:iCs/>
                <w:sz w:val="22"/>
                <w:szCs w:val="22"/>
              </w:rPr>
              <w:t>mutatis</w:t>
            </w:r>
            <w:proofErr w:type="spellEnd"/>
            <w:r w:rsidRPr="00911F7D">
              <w:rPr>
                <w:b/>
                <w:bCs/>
                <w:i/>
                <w:iCs/>
                <w:sz w:val="22"/>
                <w:szCs w:val="22"/>
              </w:rPr>
              <w:t xml:space="preserve"> </w:t>
            </w:r>
            <w:proofErr w:type="spellStart"/>
            <w:r w:rsidRPr="00911F7D">
              <w:rPr>
                <w:b/>
                <w:bCs/>
                <w:i/>
                <w:iCs/>
                <w:sz w:val="22"/>
                <w:szCs w:val="22"/>
              </w:rPr>
              <w:t>mutandis</w:t>
            </w:r>
            <w:proofErr w:type="spellEnd"/>
            <w:r w:rsidRPr="00911F7D">
              <w:rPr>
                <w:b/>
                <w:bCs/>
                <w:sz w:val="22"/>
                <w:szCs w:val="22"/>
              </w:rPr>
              <w:t xml:space="preserve"> taikydamas Lietuvos Respublikos civilinį procesą reglamentuojančių Europos Sąjungos ir tarptautinės teisės aktų įgyvendinimo įstatymo 4 straipsnio 4–6 dalių nuostatas tiek, kiek šioje dalyje nenustatyta kitaip. Lietuvos apeliacinis teismas patikrina Bendros pertvarkymo valdybos sprendimo autentiškumą ne vėliau kaip per 20 darbo dienų nuo prašymo gavimo teisme dienos. Lietuvos apeliacinio teismo nutartis, kuria išsprendžiamas Bendros pertvarkymo valdybos sprendimo autentiškumo klausimas, kasacine tvarka neskundžiama. Bendros pertvarkymo valdybos sprendimas ir įsiteisėjusi Lietuvos apeliacinio teismo nutartis, kuria išsprendžiamas Bendros pertvarkymo valdybos sprendimo autentiškumo klausimas, yra vykdomieji dokumentai.</w:t>
            </w:r>
            <w:r w:rsidRPr="00911F7D">
              <w:rPr>
                <w:bCs/>
                <w:sz w:val="22"/>
                <w:szCs w:val="22"/>
              </w:rPr>
              <w:t>“</w:t>
            </w:r>
            <w:bookmarkStart w:id="0" w:name="_GoBack"/>
            <w:bookmarkEnd w:id="0"/>
          </w:p>
        </w:tc>
        <w:tc>
          <w:tcPr>
            <w:tcW w:w="0" w:type="auto"/>
            <w:tcBorders>
              <w:left w:val="single" w:sz="1" w:space="0" w:color="000000"/>
              <w:bottom w:val="single" w:sz="1" w:space="0" w:color="000000"/>
              <w:right w:val="single" w:sz="1" w:space="0" w:color="000000"/>
            </w:tcBorders>
          </w:tcPr>
          <w:p w:rsidR="00E4691D" w:rsidRPr="00535A62" w:rsidRDefault="001A3F35" w:rsidP="00D00FD0">
            <w:pPr>
              <w:pStyle w:val="TableContents"/>
              <w:jc w:val="both"/>
            </w:pPr>
            <w:r w:rsidRPr="00535A62">
              <w:t>V</w:t>
            </w:r>
            <w:r w:rsidR="00E4691D" w:rsidRPr="00535A62">
              <w:t>isiškas</w:t>
            </w:r>
          </w:p>
        </w:tc>
      </w:tr>
    </w:tbl>
    <w:p w:rsidR="00BD4891" w:rsidRPr="00535A62" w:rsidRDefault="00BD4891">
      <w:pPr>
        <w:pStyle w:val="Pagrindinistekstas"/>
        <w:sectPr w:rsidR="00BD4891" w:rsidRPr="00535A62" w:rsidSect="005C3294">
          <w:footnotePr>
            <w:pos w:val="beneathText"/>
          </w:footnotePr>
          <w:type w:val="continuous"/>
          <w:pgSz w:w="16837" w:h="11905" w:orient="landscape"/>
          <w:pgMar w:top="1276" w:right="567" w:bottom="1134" w:left="1134" w:header="567" w:footer="567" w:gutter="0"/>
          <w:cols w:space="1296"/>
        </w:sectPr>
      </w:pPr>
    </w:p>
    <w:p w:rsidR="00AE05B0" w:rsidRDefault="00AE05B0" w:rsidP="00AE05B0">
      <w:pPr>
        <w:tabs>
          <w:tab w:val="center" w:pos="0"/>
          <w:tab w:val="center" w:pos="4153"/>
          <w:tab w:val="left" w:pos="7230"/>
          <w:tab w:val="right" w:pos="8306"/>
        </w:tabs>
        <w:jc w:val="center"/>
      </w:pPr>
      <w:r>
        <w:lastRenderedPageBreak/>
        <w:t>_________________</w:t>
      </w:r>
    </w:p>
    <w:sectPr w:rsidR="00AE05B0" w:rsidSect="007E4235">
      <w:footnotePr>
        <w:pos w:val="beneathText"/>
      </w:footnotePr>
      <w:type w:val="continuous"/>
      <w:pgSz w:w="16837" w:h="11905" w:orient="landscape"/>
      <w:pgMar w:top="1134" w:right="1134" w:bottom="113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7F"/>
    <w:rsid w:val="00022506"/>
    <w:rsid w:val="0009498D"/>
    <w:rsid w:val="000C4B5F"/>
    <w:rsid w:val="000D2569"/>
    <w:rsid w:val="000F767F"/>
    <w:rsid w:val="00155121"/>
    <w:rsid w:val="00195ECD"/>
    <w:rsid w:val="001A0B55"/>
    <w:rsid w:val="001A1617"/>
    <w:rsid w:val="001A3F35"/>
    <w:rsid w:val="00201849"/>
    <w:rsid w:val="002A2AFF"/>
    <w:rsid w:val="00311BCF"/>
    <w:rsid w:val="00347556"/>
    <w:rsid w:val="003565BF"/>
    <w:rsid w:val="003B0015"/>
    <w:rsid w:val="003C427D"/>
    <w:rsid w:val="003D16D7"/>
    <w:rsid w:val="0044066C"/>
    <w:rsid w:val="00492F2A"/>
    <w:rsid w:val="004A2DFB"/>
    <w:rsid w:val="00535A62"/>
    <w:rsid w:val="00592F45"/>
    <w:rsid w:val="005B5BCF"/>
    <w:rsid w:val="005C243C"/>
    <w:rsid w:val="005C3294"/>
    <w:rsid w:val="00611F69"/>
    <w:rsid w:val="0062553B"/>
    <w:rsid w:val="007257E3"/>
    <w:rsid w:val="00780F80"/>
    <w:rsid w:val="00791A77"/>
    <w:rsid w:val="007E4235"/>
    <w:rsid w:val="00821E9C"/>
    <w:rsid w:val="00847867"/>
    <w:rsid w:val="008763F4"/>
    <w:rsid w:val="00911F7D"/>
    <w:rsid w:val="00912DFC"/>
    <w:rsid w:val="00942510"/>
    <w:rsid w:val="00955943"/>
    <w:rsid w:val="00967742"/>
    <w:rsid w:val="00986FB5"/>
    <w:rsid w:val="009B16C7"/>
    <w:rsid w:val="009B75E0"/>
    <w:rsid w:val="009F186A"/>
    <w:rsid w:val="00AB3E02"/>
    <w:rsid w:val="00AD5B59"/>
    <w:rsid w:val="00AE05B0"/>
    <w:rsid w:val="00AF6D1A"/>
    <w:rsid w:val="00B37210"/>
    <w:rsid w:val="00B40C7F"/>
    <w:rsid w:val="00BD4891"/>
    <w:rsid w:val="00C32ABE"/>
    <w:rsid w:val="00C63172"/>
    <w:rsid w:val="00CF2520"/>
    <w:rsid w:val="00D00FD0"/>
    <w:rsid w:val="00D401F7"/>
    <w:rsid w:val="00DD46DF"/>
    <w:rsid w:val="00E02D86"/>
    <w:rsid w:val="00E10425"/>
    <w:rsid w:val="00E2626A"/>
    <w:rsid w:val="00E4691D"/>
    <w:rsid w:val="00EE0C24"/>
    <w:rsid w:val="00F20A13"/>
    <w:rsid w:val="00F2352F"/>
    <w:rsid w:val="00F83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prastasis1">
    <w:name w:val="Įprastasis1"/>
    <w:basedOn w:val="prastasis"/>
    <w:rsid w:val="003B0015"/>
    <w:pPr>
      <w:widowControl/>
      <w:suppressAutoHyphens w:val="0"/>
      <w:spacing w:before="120"/>
      <w:jc w:val="both"/>
    </w:pPr>
    <w:rPr>
      <w:rFonts w:eastAsia="Times New Roman"/>
    </w:rPr>
  </w:style>
  <w:style w:type="character" w:styleId="Komentaronuoroda">
    <w:name w:val="annotation reference"/>
    <w:basedOn w:val="Numatytasispastraiposriftas"/>
    <w:rsid w:val="00155121"/>
    <w:rPr>
      <w:sz w:val="16"/>
      <w:szCs w:val="16"/>
    </w:rPr>
  </w:style>
  <w:style w:type="paragraph" w:styleId="Komentarotekstas">
    <w:name w:val="annotation text"/>
    <w:basedOn w:val="prastasis"/>
    <w:link w:val="KomentarotekstasDiagrama"/>
    <w:rsid w:val="00155121"/>
    <w:rPr>
      <w:sz w:val="20"/>
      <w:szCs w:val="20"/>
    </w:rPr>
  </w:style>
  <w:style w:type="character" w:customStyle="1" w:styleId="KomentarotekstasDiagrama">
    <w:name w:val="Komentaro tekstas Diagrama"/>
    <w:basedOn w:val="Numatytasispastraiposriftas"/>
    <w:link w:val="Komentarotekstas"/>
    <w:rsid w:val="00155121"/>
    <w:rPr>
      <w:rFonts w:eastAsia="Arial Unicode MS"/>
    </w:rPr>
  </w:style>
  <w:style w:type="paragraph" w:styleId="Komentarotema">
    <w:name w:val="annotation subject"/>
    <w:basedOn w:val="Komentarotekstas"/>
    <w:next w:val="Komentarotekstas"/>
    <w:link w:val="KomentarotemaDiagrama"/>
    <w:rsid w:val="00155121"/>
    <w:rPr>
      <w:b/>
      <w:bCs/>
    </w:rPr>
  </w:style>
  <w:style w:type="character" w:customStyle="1" w:styleId="KomentarotemaDiagrama">
    <w:name w:val="Komentaro tema Diagrama"/>
    <w:basedOn w:val="KomentarotekstasDiagrama"/>
    <w:link w:val="Komentarotema"/>
    <w:rsid w:val="00155121"/>
    <w:rPr>
      <w:rFonts w:eastAsia="Arial Unicode MS"/>
      <w:b/>
      <w:bCs/>
    </w:rPr>
  </w:style>
  <w:style w:type="paragraph" w:styleId="Debesliotekstas">
    <w:name w:val="Balloon Text"/>
    <w:basedOn w:val="prastasis"/>
    <w:link w:val="DebesliotekstasDiagrama"/>
    <w:rsid w:val="00155121"/>
    <w:rPr>
      <w:rFonts w:ascii="Tahoma" w:hAnsi="Tahoma" w:cs="Tahoma"/>
      <w:sz w:val="16"/>
      <w:szCs w:val="16"/>
    </w:rPr>
  </w:style>
  <w:style w:type="character" w:customStyle="1" w:styleId="DebesliotekstasDiagrama">
    <w:name w:val="Debesėlio tekstas Diagrama"/>
    <w:basedOn w:val="Numatytasispastraiposriftas"/>
    <w:link w:val="Debesliotekstas"/>
    <w:rsid w:val="00155121"/>
    <w:rPr>
      <w:rFonts w:ascii="Tahoma" w:eastAsia="Arial Unicode MS" w:hAnsi="Tahoma" w:cs="Tahoma"/>
      <w:sz w:val="16"/>
      <w:szCs w:val="16"/>
    </w:rPr>
  </w:style>
  <w:style w:type="paragraph" w:styleId="Porat">
    <w:name w:val="footer"/>
    <w:basedOn w:val="prastasis"/>
    <w:link w:val="PoratDiagrama"/>
    <w:rsid w:val="00EE0C24"/>
    <w:pPr>
      <w:widowControl/>
      <w:tabs>
        <w:tab w:val="center" w:pos="4320"/>
        <w:tab w:val="right" w:pos="8640"/>
      </w:tabs>
      <w:suppressAutoHyphens w:val="0"/>
      <w:spacing w:line="360" w:lineRule="auto"/>
      <w:ind w:firstLine="720"/>
      <w:jc w:val="both"/>
    </w:pPr>
    <w:rPr>
      <w:rFonts w:ascii="TimesLT" w:eastAsia="Times New Roman" w:hAnsi="TimesLT"/>
      <w:szCs w:val="20"/>
      <w:lang w:eastAsia="en-US"/>
    </w:rPr>
  </w:style>
  <w:style w:type="character" w:customStyle="1" w:styleId="PoratDiagrama">
    <w:name w:val="Poraštė Diagrama"/>
    <w:basedOn w:val="Numatytasispastraiposriftas"/>
    <w:link w:val="Porat"/>
    <w:rsid w:val="00EE0C24"/>
    <w:rPr>
      <w:rFonts w:ascii="TimesLT" w:hAnsi="TimesL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prastasis1">
    <w:name w:val="Įprastasis1"/>
    <w:basedOn w:val="prastasis"/>
    <w:rsid w:val="003B0015"/>
    <w:pPr>
      <w:widowControl/>
      <w:suppressAutoHyphens w:val="0"/>
      <w:spacing w:before="120"/>
      <w:jc w:val="both"/>
    </w:pPr>
    <w:rPr>
      <w:rFonts w:eastAsia="Times New Roman"/>
    </w:rPr>
  </w:style>
  <w:style w:type="character" w:styleId="Komentaronuoroda">
    <w:name w:val="annotation reference"/>
    <w:basedOn w:val="Numatytasispastraiposriftas"/>
    <w:rsid w:val="00155121"/>
    <w:rPr>
      <w:sz w:val="16"/>
      <w:szCs w:val="16"/>
    </w:rPr>
  </w:style>
  <w:style w:type="paragraph" w:styleId="Komentarotekstas">
    <w:name w:val="annotation text"/>
    <w:basedOn w:val="prastasis"/>
    <w:link w:val="KomentarotekstasDiagrama"/>
    <w:rsid w:val="00155121"/>
    <w:rPr>
      <w:sz w:val="20"/>
      <w:szCs w:val="20"/>
    </w:rPr>
  </w:style>
  <w:style w:type="character" w:customStyle="1" w:styleId="KomentarotekstasDiagrama">
    <w:name w:val="Komentaro tekstas Diagrama"/>
    <w:basedOn w:val="Numatytasispastraiposriftas"/>
    <w:link w:val="Komentarotekstas"/>
    <w:rsid w:val="00155121"/>
    <w:rPr>
      <w:rFonts w:eastAsia="Arial Unicode MS"/>
    </w:rPr>
  </w:style>
  <w:style w:type="paragraph" w:styleId="Komentarotema">
    <w:name w:val="annotation subject"/>
    <w:basedOn w:val="Komentarotekstas"/>
    <w:next w:val="Komentarotekstas"/>
    <w:link w:val="KomentarotemaDiagrama"/>
    <w:rsid w:val="00155121"/>
    <w:rPr>
      <w:b/>
      <w:bCs/>
    </w:rPr>
  </w:style>
  <w:style w:type="character" w:customStyle="1" w:styleId="KomentarotemaDiagrama">
    <w:name w:val="Komentaro tema Diagrama"/>
    <w:basedOn w:val="KomentarotekstasDiagrama"/>
    <w:link w:val="Komentarotema"/>
    <w:rsid w:val="00155121"/>
    <w:rPr>
      <w:rFonts w:eastAsia="Arial Unicode MS"/>
      <w:b/>
      <w:bCs/>
    </w:rPr>
  </w:style>
  <w:style w:type="paragraph" w:styleId="Debesliotekstas">
    <w:name w:val="Balloon Text"/>
    <w:basedOn w:val="prastasis"/>
    <w:link w:val="DebesliotekstasDiagrama"/>
    <w:rsid w:val="00155121"/>
    <w:rPr>
      <w:rFonts w:ascii="Tahoma" w:hAnsi="Tahoma" w:cs="Tahoma"/>
      <w:sz w:val="16"/>
      <w:szCs w:val="16"/>
    </w:rPr>
  </w:style>
  <w:style w:type="character" w:customStyle="1" w:styleId="DebesliotekstasDiagrama">
    <w:name w:val="Debesėlio tekstas Diagrama"/>
    <w:basedOn w:val="Numatytasispastraiposriftas"/>
    <w:link w:val="Debesliotekstas"/>
    <w:rsid w:val="00155121"/>
    <w:rPr>
      <w:rFonts w:ascii="Tahoma" w:eastAsia="Arial Unicode MS" w:hAnsi="Tahoma" w:cs="Tahoma"/>
      <w:sz w:val="16"/>
      <w:szCs w:val="16"/>
    </w:rPr>
  </w:style>
  <w:style w:type="paragraph" w:styleId="Porat">
    <w:name w:val="footer"/>
    <w:basedOn w:val="prastasis"/>
    <w:link w:val="PoratDiagrama"/>
    <w:rsid w:val="00EE0C24"/>
    <w:pPr>
      <w:widowControl/>
      <w:tabs>
        <w:tab w:val="center" w:pos="4320"/>
        <w:tab w:val="right" w:pos="8640"/>
      </w:tabs>
      <w:suppressAutoHyphens w:val="0"/>
      <w:spacing w:line="360" w:lineRule="auto"/>
      <w:ind w:firstLine="720"/>
      <w:jc w:val="both"/>
    </w:pPr>
    <w:rPr>
      <w:rFonts w:ascii="TimesLT" w:eastAsia="Times New Roman" w:hAnsi="TimesLT"/>
      <w:szCs w:val="20"/>
      <w:lang w:eastAsia="en-US"/>
    </w:rPr>
  </w:style>
  <w:style w:type="character" w:customStyle="1" w:styleId="PoratDiagrama">
    <w:name w:val="Poraštė Diagrama"/>
    <w:basedOn w:val="Numatytasispastraiposriftas"/>
    <w:link w:val="Porat"/>
    <w:rsid w:val="00EE0C24"/>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5876">
      <w:bodyDiv w:val="1"/>
      <w:marLeft w:val="0"/>
      <w:marRight w:val="0"/>
      <w:marTop w:val="0"/>
      <w:marBottom w:val="0"/>
      <w:divBdr>
        <w:top w:val="none" w:sz="0" w:space="0" w:color="auto"/>
        <w:left w:val="none" w:sz="0" w:space="0" w:color="auto"/>
        <w:bottom w:val="none" w:sz="0" w:space="0" w:color="auto"/>
        <w:right w:val="none" w:sz="0" w:space="0" w:color="auto"/>
      </w:divBdr>
      <w:divsChild>
        <w:div w:id="1258367940">
          <w:marLeft w:val="0"/>
          <w:marRight w:val="0"/>
          <w:marTop w:val="0"/>
          <w:marBottom w:val="0"/>
          <w:divBdr>
            <w:top w:val="none" w:sz="0" w:space="0" w:color="auto"/>
            <w:left w:val="none" w:sz="0" w:space="0" w:color="auto"/>
            <w:bottom w:val="none" w:sz="0" w:space="0" w:color="auto"/>
            <w:right w:val="none" w:sz="0" w:space="0" w:color="auto"/>
          </w:divBdr>
          <w:divsChild>
            <w:div w:id="1505514213">
              <w:marLeft w:val="0"/>
              <w:marRight w:val="0"/>
              <w:marTop w:val="0"/>
              <w:marBottom w:val="0"/>
              <w:divBdr>
                <w:top w:val="none" w:sz="0" w:space="0" w:color="auto"/>
                <w:left w:val="none" w:sz="0" w:space="0" w:color="auto"/>
                <w:bottom w:val="none" w:sz="0" w:space="0" w:color="auto"/>
                <w:right w:val="none" w:sz="0" w:space="0" w:color="auto"/>
              </w:divBdr>
              <w:divsChild>
                <w:div w:id="46497026">
                  <w:marLeft w:val="-150"/>
                  <w:marRight w:val="-150"/>
                  <w:marTop w:val="0"/>
                  <w:marBottom w:val="0"/>
                  <w:divBdr>
                    <w:top w:val="none" w:sz="0" w:space="0" w:color="auto"/>
                    <w:left w:val="none" w:sz="0" w:space="0" w:color="auto"/>
                    <w:bottom w:val="none" w:sz="0" w:space="0" w:color="auto"/>
                    <w:right w:val="none" w:sz="0" w:space="0" w:color="auto"/>
                  </w:divBdr>
                  <w:divsChild>
                    <w:div w:id="86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85860">
      <w:bodyDiv w:val="1"/>
      <w:marLeft w:val="0"/>
      <w:marRight w:val="0"/>
      <w:marTop w:val="0"/>
      <w:marBottom w:val="0"/>
      <w:divBdr>
        <w:top w:val="none" w:sz="0" w:space="0" w:color="auto"/>
        <w:left w:val="none" w:sz="0" w:space="0" w:color="auto"/>
        <w:bottom w:val="none" w:sz="0" w:space="0" w:color="auto"/>
        <w:right w:val="none" w:sz="0" w:space="0" w:color="auto"/>
      </w:divBdr>
      <w:divsChild>
        <w:div w:id="1542091319">
          <w:marLeft w:val="0"/>
          <w:marRight w:val="0"/>
          <w:marTop w:val="0"/>
          <w:marBottom w:val="0"/>
          <w:divBdr>
            <w:top w:val="none" w:sz="0" w:space="0" w:color="auto"/>
            <w:left w:val="none" w:sz="0" w:space="0" w:color="auto"/>
            <w:bottom w:val="none" w:sz="0" w:space="0" w:color="auto"/>
            <w:right w:val="none" w:sz="0" w:space="0" w:color="auto"/>
          </w:divBdr>
          <w:divsChild>
            <w:div w:id="175313700">
              <w:marLeft w:val="0"/>
              <w:marRight w:val="0"/>
              <w:marTop w:val="0"/>
              <w:marBottom w:val="0"/>
              <w:divBdr>
                <w:top w:val="none" w:sz="0" w:space="0" w:color="auto"/>
                <w:left w:val="none" w:sz="0" w:space="0" w:color="auto"/>
                <w:bottom w:val="none" w:sz="0" w:space="0" w:color="auto"/>
                <w:right w:val="none" w:sz="0" w:space="0" w:color="auto"/>
              </w:divBdr>
              <w:divsChild>
                <w:div w:id="466633232">
                  <w:marLeft w:val="-150"/>
                  <w:marRight w:val="-150"/>
                  <w:marTop w:val="0"/>
                  <w:marBottom w:val="0"/>
                  <w:divBdr>
                    <w:top w:val="none" w:sz="0" w:space="0" w:color="auto"/>
                    <w:left w:val="none" w:sz="0" w:space="0" w:color="auto"/>
                    <w:bottom w:val="none" w:sz="0" w:space="0" w:color="auto"/>
                    <w:right w:val="none" w:sz="0" w:space="0" w:color="auto"/>
                  </w:divBdr>
                  <w:divsChild>
                    <w:div w:id="21004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1792</Words>
  <Characters>1022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Egidija Adlienė</cp:lastModifiedBy>
  <cp:revision>3</cp:revision>
  <cp:lastPrinted>2020-05-21T11:48:00Z</cp:lastPrinted>
  <dcterms:created xsi:type="dcterms:W3CDTF">2020-09-25T11:53:00Z</dcterms:created>
  <dcterms:modified xsi:type="dcterms:W3CDTF">2020-09-25T11:53:00Z</dcterms:modified>
</cp:coreProperties>
</file>