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70003" w14:textId="123BBD22" w:rsidR="002C7B7D" w:rsidRDefault="002D2D38" w:rsidP="00C75D0C">
      <w:pPr>
        <w:spacing w:before="120" w:after="120" w:line="240" w:lineRule="auto"/>
        <w:jc w:val="center"/>
        <w:rPr>
          <w:rFonts w:ascii="Times New Roman" w:hAnsi="Times New Roman" w:cs="Times New Roman"/>
          <w:b/>
        </w:rPr>
      </w:pPr>
      <w:bookmarkStart w:id="0" w:name="_GoBack"/>
      <w:bookmarkEnd w:id="0"/>
      <w:r w:rsidRPr="002D2D38">
        <w:rPr>
          <w:rFonts w:ascii="Times New Roman" w:hAnsi="Times New Roman" w:cs="Times New Roman"/>
          <w:b/>
        </w:rPr>
        <w:t>2019 m. rugpjūčio 28 d. Ko</w:t>
      </w:r>
      <w:r w:rsidR="0038671A">
        <w:rPr>
          <w:rFonts w:ascii="Times New Roman" w:hAnsi="Times New Roman" w:cs="Times New Roman"/>
          <w:b/>
        </w:rPr>
        <w:t>misijos deleguoto reglamento</w:t>
      </w:r>
      <w:r w:rsidRPr="002D2D38">
        <w:rPr>
          <w:rFonts w:ascii="Times New Roman" w:hAnsi="Times New Roman" w:cs="Times New Roman"/>
          <w:b/>
        </w:rPr>
        <w:t xml:space="preserve"> (ES) 2019/1868 </w:t>
      </w:r>
      <w:r w:rsidR="002C7B7D">
        <w:rPr>
          <w:rFonts w:ascii="Times New Roman" w:hAnsi="Times New Roman" w:cs="Times New Roman"/>
          <w:b/>
        </w:rPr>
        <w:t>ir</w:t>
      </w:r>
      <w:r w:rsidR="00C75D0C">
        <w:rPr>
          <w:rFonts w:ascii="Times New Roman" w:hAnsi="Times New Roman" w:cs="Times New Roman"/>
          <w:b/>
        </w:rPr>
        <w:t xml:space="preserve"> </w:t>
      </w:r>
      <w:r w:rsidRPr="002D2D38">
        <w:rPr>
          <w:rFonts w:ascii="Times New Roman" w:hAnsi="Times New Roman" w:cs="Times New Roman"/>
          <w:b/>
        </w:rPr>
        <w:t xml:space="preserve">Lietuvos Respublikos Vyriausybės nutarimo dėl Lietuvos Respublikos Vyriausybės 2011 m. balandžio 6 d. nutarimo Nr. 409 „Dėl atsakomybės ir funkcijų paskirstymo tarp institucijų, įgyvendinant 2010 m. lapkričio 12 d. Komisijos reglamentą (ES) Nr. 1031/2010 dėl šiltnamio efektą sukeliančių dujų apyvartinių taršos leidimų pardavimo aukcione pagal Europos Parlamento ir Tarybos direktyvą 2003/87/EB, nustatančią šiltnamio efektą sukeliančių dujų emisijos leidimų sistemą Bendrijoje, terminų, administravimo ir kitų </w:t>
      </w:r>
      <w:r>
        <w:rPr>
          <w:rFonts w:ascii="Times New Roman" w:hAnsi="Times New Roman" w:cs="Times New Roman"/>
          <w:b/>
        </w:rPr>
        <w:t>aspektų“ pakeitimo</w:t>
      </w:r>
      <w:r w:rsidR="0038671A">
        <w:rPr>
          <w:rFonts w:ascii="Times New Roman" w:hAnsi="Times New Roman" w:cs="Times New Roman"/>
          <w:b/>
          <w:lang w:val="en-US"/>
        </w:rPr>
        <w:t>”</w:t>
      </w:r>
      <w:r>
        <w:rPr>
          <w:rFonts w:ascii="Times New Roman" w:hAnsi="Times New Roman" w:cs="Times New Roman"/>
          <w:b/>
        </w:rPr>
        <w:t xml:space="preserve"> projekto</w:t>
      </w:r>
    </w:p>
    <w:p w14:paraId="1B314381" w14:textId="77777777" w:rsidR="002E3038" w:rsidRDefault="009E52E8" w:rsidP="00C322C8">
      <w:pPr>
        <w:spacing w:after="0" w:line="240" w:lineRule="auto"/>
        <w:jc w:val="center"/>
        <w:rPr>
          <w:rFonts w:ascii="Times New Roman" w:hAnsi="Times New Roman" w:cs="Times New Roman"/>
          <w:b/>
        </w:rPr>
      </w:pPr>
      <w:r w:rsidRPr="009E52E8">
        <w:rPr>
          <w:rFonts w:ascii="Times New Roman" w:hAnsi="Times New Roman" w:cs="Times New Roman"/>
          <w:b/>
        </w:rPr>
        <w:t>ATITIKTIES LENTELĖ</w:t>
      </w:r>
    </w:p>
    <w:p w14:paraId="4BF76FF9" w14:textId="77777777" w:rsidR="009E52E8" w:rsidRPr="00483E20" w:rsidRDefault="009E52E8" w:rsidP="009E52E8">
      <w:pPr>
        <w:spacing w:after="0" w:line="240" w:lineRule="auto"/>
        <w:jc w:val="center"/>
        <w:rPr>
          <w:rFonts w:ascii="Times New Roman" w:hAnsi="Times New Roman" w:cs="Times New Roman"/>
          <w:b/>
        </w:rPr>
      </w:pPr>
    </w:p>
    <w:tbl>
      <w:tblPr>
        <w:tblStyle w:val="TableGrid"/>
        <w:tblW w:w="15134" w:type="dxa"/>
        <w:tblLayout w:type="fixed"/>
        <w:tblLook w:val="04A0" w:firstRow="1" w:lastRow="0" w:firstColumn="1" w:lastColumn="0" w:noHBand="0" w:noVBand="1"/>
      </w:tblPr>
      <w:tblGrid>
        <w:gridCol w:w="6771"/>
        <w:gridCol w:w="6804"/>
        <w:gridCol w:w="1559"/>
      </w:tblGrid>
      <w:tr w:rsidR="002E3038" w:rsidRPr="00483E20" w14:paraId="2FEFFA3C" w14:textId="77777777" w:rsidTr="00F8304D">
        <w:trPr>
          <w:trHeight w:val="1392"/>
        </w:trPr>
        <w:tc>
          <w:tcPr>
            <w:tcW w:w="6771" w:type="dxa"/>
          </w:tcPr>
          <w:p w14:paraId="19609D64" w14:textId="389D0D7A" w:rsidR="002E3038" w:rsidRPr="00483E20" w:rsidRDefault="002D2D38" w:rsidP="002D2D38">
            <w:pPr>
              <w:spacing w:before="120" w:after="120"/>
              <w:jc w:val="center"/>
              <w:rPr>
                <w:rFonts w:ascii="Times New Roman" w:hAnsi="Times New Roman" w:cs="Times New Roman"/>
                <w:b/>
              </w:rPr>
            </w:pPr>
            <w:r w:rsidRPr="002D2D38">
              <w:rPr>
                <w:rFonts w:ascii="Times New Roman" w:hAnsi="Times New Roman" w:cs="Times New Roman"/>
                <w:b/>
              </w:rPr>
              <w:t>2019 m. rugpjūčio 28 d. Komisijos deleguotasis reglamentas (ES) 2019/1868 kuriuo iš dalies keičiamas Reglamentas (ES) Nr. 1031/2010 siekiant suderinti apyvartinių taršos leidimų aukcionus su 2021–2030 m. ES ATLPS taisyklėmis ir apyvartinių taršos leidimų priskyrimu finansinėms priemonėms pagal Europos Parlamento ir Tarybos direktyvą 2014/65/ES</w:t>
            </w:r>
          </w:p>
        </w:tc>
        <w:tc>
          <w:tcPr>
            <w:tcW w:w="6804" w:type="dxa"/>
          </w:tcPr>
          <w:p w14:paraId="2A82C984" w14:textId="069F7E69" w:rsidR="0070251F" w:rsidRPr="00483E20" w:rsidRDefault="002D2D38" w:rsidP="002E3038">
            <w:pPr>
              <w:jc w:val="center"/>
              <w:rPr>
                <w:rFonts w:ascii="Times New Roman" w:hAnsi="Times New Roman" w:cs="Times New Roman"/>
                <w:b/>
              </w:rPr>
            </w:pPr>
            <w:r w:rsidRPr="002D2D38">
              <w:rPr>
                <w:rFonts w:ascii="Times New Roman" w:hAnsi="Times New Roman" w:cs="Times New Roman"/>
                <w:b/>
              </w:rPr>
              <w:t>Lietuvos Respublikos Vyriausybės nutarimo dėl Lietuvos Respublikos Vyriausybės 2011 m. balandžio 6 d. nutarimo Nr. 409 „Dėl atsakomybės ir funkcijų paskirstymo tarp institucijų, įgyvendinant 2010 m. lapkričio 12 d. Komisijos reglamentą (ES) Nr. 1031/2010 dėl šiltnamio efektą sukeliančių dujų apyvartinių taršos leidimų pardavimo aukcione pagal Europos Parlamento ir Tarybos direktyvą 2003/87/EB, nustatančią šiltnamio efektą sukeliančių dujų emisijos leidimų sistemą Bendrijoje, terminų, administravimo ir kitų aspektų“ pakeitimo projektas (toliau – Nutarimo projektas).</w:t>
            </w:r>
          </w:p>
        </w:tc>
        <w:tc>
          <w:tcPr>
            <w:tcW w:w="1559" w:type="dxa"/>
          </w:tcPr>
          <w:p w14:paraId="76798BAA" w14:textId="41D40080" w:rsidR="002E3038" w:rsidRPr="00483E20" w:rsidRDefault="00263F46" w:rsidP="00D95E64">
            <w:pPr>
              <w:jc w:val="center"/>
              <w:rPr>
                <w:rFonts w:ascii="Times New Roman" w:hAnsi="Times New Roman" w:cs="Times New Roman"/>
                <w:b/>
              </w:rPr>
            </w:pPr>
            <w:r>
              <w:rPr>
                <w:rFonts w:ascii="Times New Roman" w:eastAsia="Times New Roman" w:hAnsi="Times New Roman" w:cs="Times New Roman"/>
                <w:b/>
                <w:bCs/>
                <w:lang w:eastAsia="ar-SA"/>
              </w:rPr>
              <w:t>Reglamento</w:t>
            </w:r>
            <w:r w:rsidR="002E3038" w:rsidRPr="00483E20">
              <w:rPr>
                <w:rFonts w:ascii="Times New Roman" w:eastAsia="Times New Roman" w:hAnsi="Times New Roman" w:cs="Times New Roman"/>
                <w:b/>
                <w:bCs/>
                <w:lang w:eastAsia="ar-SA"/>
              </w:rPr>
              <w:t xml:space="preserve"> perkėlimo lygis (visiškas, dalinis, nėra)</w:t>
            </w:r>
          </w:p>
        </w:tc>
      </w:tr>
      <w:tr w:rsidR="00FA331A" w:rsidRPr="00483E20" w14:paraId="760DE0B8" w14:textId="77777777" w:rsidTr="00F8304D">
        <w:trPr>
          <w:trHeight w:val="330"/>
        </w:trPr>
        <w:tc>
          <w:tcPr>
            <w:tcW w:w="6771" w:type="dxa"/>
          </w:tcPr>
          <w:p w14:paraId="14AF1F9C" w14:textId="29429DC4" w:rsidR="00031EBC" w:rsidRDefault="00031EBC" w:rsidP="002D2D38">
            <w:pPr>
              <w:jc w:val="both"/>
              <w:rPr>
                <w:rFonts w:ascii="Times New Roman" w:hAnsi="Times New Roman" w:cs="Times New Roman"/>
              </w:rPr>
            </w:pPr>
            <w:r>
              <w:rPr>
                <w:rFonts w:ascii="Times New Roman" w:hAnsi="Times New Roman" w:cs="Times New Roman"/>
              </w:rPr>
              <w:t>&lt;...&gt;</w:t>
            </w:r>
          </w:p>
          <w:p w14:paraId="32FAB0D5" w14:textId="77777777" w:rsidR="002D2D38" w:rsidRPr="002D2D38" w:rsidRDefault="002D2D38" w:rsidP="002D2D38">
            <w:pPr>
              <w:jc w:val="both"/>
              <w:rPr>
                <w:rFonts w:ascii="Times New Roman" w:hAnsi="Times New Roman" w:cs="Times New Roman"/>
              </w:rPr>
            </w:pPr>
            <w:r w:rsidRPr="002D2D38">
              <w:rPr>
                <w:rFonts w:ascii="Times New Roman" w:hAnsi="Times New Roman" w:cs="Times New Roman"/>
              </w:rPr>
              <w:t>1 straipsnis</w:t>
            </w:r>
          </w:p>
          <w:p w14:paraId="083BAF76" w14:textId="77777777" w:rsidR="002D2D38" w:rsidRPr="002D2D38" w:rsidRDefault="002D2D38" w:rsidP="002D2D38">
            <w:pPr>
              <w:jc w:val="both"/>
              <w:rPr>
                <w:rFonts w:ascii="Times New Roman" w:hAnsi="Times New Roman" w:cs="Times New Roman"/>
              </w:rPr>
            </w:pPr>
            <w:r w:rsidRPr="002D2D38">
              <w:rPr>
                <w:rFonts w:ascii="Times New Roman" w:hAnsi="Times New Roman" w:cs="Times New Roman"/>
              </w:rPr>
              <w:t>Reglamentas (ES) Nr. 1031/2010 iš dalies keičiamas taip:</w:t>
            </w:r>
          </w:p>
          <w:p w14:paraId="50B25467" w14:textId="4C35A32D" w:rsidR="002D2D38" w:rsidRPr="002D2D38" w:rsidRDefault="002D2D38" w:rsidP="002D2D38">
            <w:pPr>
              <w:jc w:val="both"/>
              <w:rPr>
                <w:rFonts w:ascii="Times New Roman" w:hAnsi="Times New Roman" w:cs="Times New Roman"/>
              </w:rPr>
            </w:pPr>
            <w:r w:rsidRPr="002D2D38">
              <w:rPr>
                <w:rFonts w:ascii="Times New Roman" w:hAnsi="Times New Roman" w:cs="Times New Roman"/>
              </w:rPr>
              <w:t>1)</w:t>
            </w:r>
            <w:r>
              <w:rPr>
                <w:rFonts w:ascii="Times New Roman" w:hAnsi="Times New Roman" w:cs="Times New Roman"/>
              </w:rPr>
              <w:t xml:space="preserve"> </w:t>
            </w:r>
            <w:r w:rsidRPr="002D2D38">
              <w:rPr>
                <w:rFonts w:ascii="Times New Roman" w:hAnsi="Times New Roman" w:cs="Times New Roman"/>
              </w:rPr>
              <w:t>Pavadinimas pakeičiamas taip:</w:t>
            </w:r>
          </w:p>
          <w:p w14:paraId="7BAB3BBF" w14:textId="77777777" w:rsidR="00263F46" w:rsidRDefault="002D2D38" w:rsidP="002D2D38">
            <w:pPr>
              <w:jc w:val="both"/>
              <w:rPr>
                <w:rFonts w:ascii="Times New Roman" w:hAnsi="Times New Roman" w:cs="Times New Roman"/>
              </w:rPr>
            </w:pPr>
            <w:r w:rsidRPr="002D2D38">
              <w:rPr>
                <w:rFonts w:ascii="Times New Roman" w:hAnsi="Times New Roman" w:cs="Times New Roman"/>
              </w:rPr>
              <w:t>„2010 m. lapkričio 12 d. Komisijos reglamentas (ES) Nr. 1031/2010 dėl šiltnamio efektą sukeliančių dujų apyvartinių taršos leidimų pardavimo aukcione pagal Europos Parlamento ir Tarybos direktyvą 2003/87/EB, nustatančią šiltnamio efektą sukeliančių dujų emisijos leidimų sistemą Sąjungoje, terminų, administravimo ir kitų aspektų“.</w:t>
            </w:r>
          </w:p>
          <w:p w14:paraId="18A058C6" w14:textId="26AB5D5D" w:rsidR="00031EBC" w:rsidRPr="009A5582" w:rsidRDefault="00031EBC" w:rsidP="002D2D38">
            <w:pPr>
              <w:jc w:val="both"/>
              <w:rPr>
                <w:rFonts w:ascii="Times New Roman" w:hAnsi="Times New Roman" w:cs="Times New Roman"/>
              </w:rPr>
            </w:pPr>
            <w:r>
              <w:rPr>
                <w:rFonts w:ascii="Times New Roman" w:hAnsi="Times New Roman" w:cs="Times New Roman"/>
              </w:rPr>
              <w:t>&lt;...&gt;</w:t>
            </w:r>
          </w:p>
        </w:tc>
        <w:tc>
          <w:tcPr>
            <w:tcW w:w="6804" w:type="dxa"/>
          </w:tcPr>
          <w:p w14:paraId="7335E709" w14:textId="11AB3105" w:rsidR="00E47ABA" w:rsidRDefault="00E47ABA" w:rsidP="00E47ABA">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Nutarimo projekto 1 punktas:</w:t>
            </w:r>
          </w:p>
          <w:p w14:paraId="7CD5B06A" w14:textId="03D942B8" w:rsidR="002D2D38" w:rsidRPr="002D2D38" w:rsidRDefault="00E47ABA" w:rsidP="00E47ABA">
            <w:pPr>
              <w:ind w:firstLine="567"/>
              <w:contextualSpacing/>
              <w:jc w:val="both"/>
              <w:rPr>
                <w:rFonts w:ascii="Times New Roman" w:hAnsi="Times New Roman" w:cs="Times New Roman"/>
              </w:rPr>
            </w:pPr>
            <w:r>
              <w:rPr>
                <w:rFonts w:ascii="Times New Roman" w:hAnsi="Times New Roman" w:cs="Times New Roman"/>
              </w:rPr>
              <w:t xml:space="preserve">„1. </w:t>
            </w:r>
            <w:r w:rsidR="002D2D38" w:rsidRPr="002D2D38">
              <w:rPr>
                <w:rFonts w:ascii="Times New Roman" w:hAnsi="Times New Roman" w:cs="Times New Roman"/>
              </w:rPr>
              <w:t>Pakeisti Lietuvos Respublikos Vyriausybės 2011 m. balandžio 6 d. nutarimą Nr. 409 „Dėl atsakomybės ir funkcijų paskirstymo tarp institucijų, įgyvendinant 2010 m. lapkričio 12 d. Komisijos reglamentą (ES) Nr. 1031/2010 dėl šiltnamio efektą sukeliančių dujų apyvartinių taršos leidimų pardavimo aukcione pagal Europos Parlamento ir Tarybos direktyvą 2003/87/EB, nustatančią šiltnamio efektą sukeliančių dujų emisijos leidimų sistemą Bendrijoje, terminų, administravimo ir kitų aspektų“</w:t>
            </w:r>
            <w:r w:rsidR="002D2D38" w:rsidRPr="00E47ABA">
              <w:rPr>
                <w:rFonts w:ascii="Times New Roman" w:hAnsi="Times New Roman" w:cs="Times New Roman"/>
              </w:rPr>
              <w:t xml:space="preserve"> ir išdė</w:t>
            </w:r>
            <w:r w:rsidR="002D2D38" w:rsidRPr="002D2D38">
              <w:rPr>
                <w:rFonts w:ascii="Times New Roman" w:hAnsi="Times New Roman" w:cs="Times New Roman"/>
              </w:rPr>
              <w:t>styti jį nauja redakcija:</w:t>
            </w:r>
          </w:p>
          <w:p w14:paraId="2CDDC453" w14:textId="77777777" w:rsidR="002D2D38" w:rsidRPr="002D2D38" w:rsidRDefault="002D2D38" w:rsidP="00E47ABA">
            <w:pPr>
              <w:ind w:left="567"/>
              <w:contextualSpacing/>
              <w:jc w:val="both"/>
              <w:rPr>
                <w:rFonts w:ascii="Times New Roman" w:eastAsia="Times New Roman" w:hAnsi="Times New Roman" w:cs="Times New Roman"/>
                <w:lang w:eastAsia="lt-LT"/>
              </w:rPr>
            </w:pPr>
          </w:p>
          <w:p w14:paraId="52C17AB2" w14:textId="77777777" w:rsidR="002D2D38" w:rsidRPr="002D2D38" w:rsidRDefault="002D2D38" w:rsidP="00E47ABA">
            <w:pPr>
              <w:jc w:val="center"/>
              <w:rPr>
                <w:rFonts w:ascii="Times New Roman" w:eastAsia="Times New Roman" w:hAnsi="Times New Roman" w:cs="Times New Roman"/>
                <w:b/>
                <w:caps/>
                <w:lang w:eastAsia="lt-LT"/>
              </w:rPr>
            </w:pPr>
            <w:r w:rsidRPr="002D2D38">
              <w:rPr>
                <w:rFonts w:ascii="Times New Roman" w:eastAsia="Times New Roman" w:hAnsi="Times New Roman" w:cs="Times New Roman"/>
                <w:lang w:eastAsia="lt-LT"/>
              </w:rPr>
              <w:t>„</w:t>
            </w:r>
            <w:r w:rsidRPr="002D2D38">
              <w:rPr>
                <w:rFonts w:ascii="Times New Roman" w:eastAsia="Times New Roman" w:hAnsi="Times New Roman" w:cs="Times New Roman"/>
                <w:b/>
                <w:caps/>
                <w:lang w:eastAsia="lt-LT"/>
              </w:rPr>
              <w:t>LIETUVOS RESPUBLIKOS VYRIAUSYBĖ</w:t>
            </w:r>
          </w:p>
          <w:p w14:paraId="638CD0A2" w14:textId="77777777" w:rsidR="002D2D38" w:rsidRPr="002D2D38" w:rsidRDefault="002D2D38" w:rsidP="00E47ABA">
            <w:pPr>
              <w:jc w:val="center"/>
              <w:rPr>
                <w:rFonts w:ascii="Times New Roman" w:eastAsia="Times New Roman" w:hAnsi="Times New Roman" w:cs="Times New Roman"/>
                <w:b/>
                <w:caps/>
                <w:lang w:eastAsia="lt-LT"/>
              </w:rPr>
            </w:pPr>
          </w:p>
          <w:p w14:paraId="2C2CCC1E" w14:textId="77777777" w:rsidR="002D2D38" w:rsidRPr="002D2D38" w:rsidRDefault="002D2D38" w:rsidP="00E47ABA">
            <w:pPr>
              <w:jc w:val="center"/>
              <w:rPr>
                <w:rFonts w:ascii="Times New Roman" w:eastAsia="Times New Roman" w:hAnsi="Times New Roman" w:cs="Times New Roman"/>
                <w:b/>
                <w:caps/>
                <w:lang w:eastAsia="lt-LT"/>
              </w:rPr>
            </w:pPr>
            <w:r w:rsidRPr="002D2D38">
              <w:rPr>
                <w:rFonts w:ascii="Times New Roman" w:eastAsia="Times New Roman" w:hAnsi="Times New Roman" w:cs="Times New Roman"/>
                <w:b/>
                <w:caps/>
                <w:lang w:eastAsia="lt-LT"/>
              </w:rPr>
              <w:t>NUTARIMAS</w:t>
            </w:r>
          </w:p>
          <w:p w14:paraId="4D9F58A4" w14:textId="7CB4E91B" w:rsidR="002D2D38" w:rsidRPr="002D2D38" w:rsidRDefault="002D2D38" w:rsidP="00E47ABA">
            <w:pPr>
              <w:jc w:val="center"/>
              <w:rPr>
                <w:rFonts w:ascii="Times New Roman" w:eastAsia="Times New Roman" w:hAnsi="Times New Roman" w:cs="Times New Roman"/>
                <w:b/>
                <w:caps/>
                <w:lang w:eastAsia="lt-LT"/>
              </w:rPr>
            </w:pPr>
            <w:r w:rsidRPr="002D2D38">
              <w:rPr>
                <w:rFonts w:ascii="Times New Roman" w:eastAsia="Times New Roman" w:hAnsi="Times New Roman" w:cs="Times New Roman"/>
                <w:b/>
                <w:caps/>
                <w:lang w:eastAsia="lt-LT"/>
              </w:rPr>
              <w:t>Dėl atsakomybės ir funkcijų paskirstymo tarp institucijų, įgyvendinant 2010 m. lapkričio 12 d. Komisijos reglamentas (ES) Nr. 1031/2010 dėl šiltnamio efektą sukeliančių dujų apyvartinių taršos leidimų pardavimo aukcione pagal Europos Parlamento ir Tarybos direktyvą 2003/87/EB, nustatančią šiltnamio efektą sukeliančių dujų emisijos leidimų sistemą Sąjungoje, terminų, administravimo ir kitų aspektų</w:t>
            </w:r>
            <w:r w:rsidR="00E47ABA">
              <w:rPr>
                <w:rFonts w:ascii="Times New Roman" w:eastAsia="Times New Roman" w:hAnsi="Times New Roman" w:cs="Times New Roman"/>
                <w:b/>
                <w:caps/>
                <w:lang w:eastAsia="lt-LT"/>
              </w:rPr>
              <w:t>“.</w:t>
            </w:r>
          </w:p>
          <w:p w14:paraId="23EDB1A5" w14:textId="537008FD" w:rsidR="00493D26" w:rsidRPr="00082796" w:rsidRDefault="00493D26" w:rsidP="00E47ABA">
            <w:pPr>
              <w:pStyle w:val="ListParagraph"/>
              <w:ind w:left="0"/>
              <w:jc w:val="both"/>
              <w:textAlignment w:val="center"/>
              <w:rPr>
                <w:rFonts w:ascii="Times New Roman" w:hAnsi="Times New Roman" w:cs="Times New Roman"/>
              </w:rPr>
            </w:pPr>
          </w:p>
        </w:tc>
        <w:tc>
          <w:tcPr>
            <w:tcW w:w="1559" w:type="dxa"/>
          </w:tcPr>
          <w:p w14:paraId="4652EAFE" w14:textId="4CA32530" w:rsidR="00FA331A" w:rsidRPr="00483E20" w:rsidRDefault="002D2D38" w:rsidP="00D95E64">
            <w:pPr>
              <w:pStyle w:val="TableContents"/>
              <w:snapToGrid w:val="0"/>
              <w:jc w:val="center"/>
              <w:rPr>
                <w:sz w:val="22"/>
                <w:szCs w:val="22"/>
              </w:rPr>
            </w:pPr>
            <w:r>
              <w:rPr>
                <w:sz w:val="22"/>
                <w:szCs w:val="22"/>
              </w:rPr>
              <w:t>Visiškas</w:t>
            </w:r>
          </w:p>
        </w:tc>
      </w:tr>
      <w:tr w:rsidR="009571F3" w:rsidRPr="00483E20" w14:paraId="7AAC1E40" w14:textId="77777777" w:rsidTr="00F8304D">
        <w:trPr>
          <w:trHeight w:val="330"/>
        </w:trPr>
        <w:tc>
          <w:tcPr>
            <w:tcW w:w="6771" w:type="dxa"/>
          </w:tcPr>
          <w:p w14:paraId="7AA38B55" w14:textId="77777777" w:rsidR="009571F3" w:rsidRDefault="009571F3" w:rsidP="002D2D38">
            <w:pPr>
              <w:jc w:val="both"/>
              <w:rPr>
                <w:rFonts w:ascii="Times New Roman" w:hAnsi="Times New Roman" w:cs="Times New Roman"/>
              </w:rPr>
            </w:pPr>
            <w:r>
              <w:rPr>
                <w:rFonts w:ascii="Times New Roman" w:hAnsi="Times New Roman" w:cs="Times New Roman"/>
              </w:rPr>
              <w:t>&lt;...&gt;</w:t>
            </w:r>
          </w:p>
          <w:p w14:paraId="15FF4A27" w14:textId="6E35AA8B" w:rsidR="009571F3" w:rsidRDefault="009571F3" w:rsidP="002D2D38">
            <w:pPr>
              <w:jc w:val="both"/>
              <w:rPr>
                <w:rFonts w:ascii="Times New Roman" w:hAnsi="Times New Roman" w:cs="Times New Roman"/>
              </w:rPr>
            </w:pPr>
            <w:r>
              <w:rPr>
                <w:rFonts w:ascii="Times New Roman" w:hAnsi="Times New Roman" w:cs="Times New Roman"/>
              </w:rPr>
              <w:lastRenderedPageBreak/>
              <w:t xml:space="preserve">14) </w:t>
            </w:r>
            <w:r w:rsidRPr="009571F3">
              <w:rPr>
                <w:rFonts w:ascii="Times New Roman" w:hAnsi="Times New Roman" w:cs="Times New Roman"/>
              </w:rPr>
              <w:t>18 straipsnis iš dalies keičiamas taip:</w:t>
            </w:r>
          </w:p>
          <w:p w14:paraId="5A52D863" w14:textId="77777777" w:rsidR="009571F3" w:rsidRDefault="009571F3" w:rsidP="002D2D38">
            <w:pPr>
              <w:jc w:val="both"/>
              <w:rPr>
                <w:rFonts w:ascii="Times New Roman" w:hAnsi="Times New Roman" w:cs="Times New Roman"/>
              </w:rPr>
            </w:pPr>
            <w:r>
              <w:rPr>
                <w:rFonts w:ascii="Times New Roman" w:hAnsi="Times New Roman" w:cs="Times New Roman"/>
              </w:rPr>
              <w:t>&lt;...&gt;</w:t>
            </w:r>
          </w:p>
          <w:p w14:paraId="374441BB" w14:textId="7B3C1349" w:rsidR="009571F3" w:rsidRDefault="009571F3" w:rsidP="009571F3">
            <w:pPr>
              <w:jc w:val="both"/>
              <w:rPr>
                <w:rFonts w:ascii="Times New Roman" w:hAnsi="Times New Roman" w:cs="Times New Roman"/>
              </w:rPr>
            </w:pPr>
            <w:r w:rsidRPr="009571F3">
              <w:rPr>
                <w:rFonts w:ascii="Times New Roman" w:hAnsi="Times New Roman" w:cs="Times New Roman"/>
              </w:rPr>
              <w:t>(c)</w:t>
            </w:r>
            <w:r>
              <w:rPr>
                <w:rFonts w:ascii="Times New Roman" w:hAnsi="Times New Roman" w:cs="Times New Roman"/>
              </w:rPr>
              <w:t xml:space="preserve"> </w:t>
            </w:r>
            <w:r w:rsidRPr="009571F3">
              <w:rPr>
                <w:rFonts w:ascii="Times New Roman" w:hAnsi="Times New Roman" w:cs="Times New Roman"/>
              </w:rPr>
              <w:t>3 dalis išbraukiama;</w:t>
            </w:r>
          </w:p>
          <w:p w14:paraId="3E317A20" w14:textId="158958C9" w:rsidR="009571F3" w:rsidRDefault="009571F3" w:rsidP="002D2D38">
            <w:pPr>
              <w:jc w:val="both"/>
              <w:rPr>
                <w:rFonts w:ascii="Times New Roman" w:hAnsi="Times New Roman" w:cs="Times New Roman"/>
              </w:rPr>
            </w:pPr>
            <w:r>
              <w:rPr>
                <w:rFonts w:ascii="Times New Roman" w:hAnsi="Times New Roman" w:cs="Times New Roman"/>
              </w:rPr>
              <w:t>&lt;...&gt;</w:t>
            </w:r>
          </w:p>
        </w:tc>
        <w:tc>
          <w:tcPr>
            <w:tcW w:w="6804" w:type="dxa"/>
          </w:tcPr>
          <w:p w14:paraId="17DAE5A6" w14:textId="27D3FA7F" w:rsidR="00E47ABA" w:rsidRDefault="00E47ABA" w:rsidP="00E47ABA">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Nutarimo projekto 2 punktas:</w:t>
            </w:r>
          </w:p>
          <w:p w14:paraId="0B26E70F" w14:textId="4766E74F" w:rsidR="009571F3" w:rsidRPr="002D2D38" w:rsidRDefault="00E47ABA" w:rsidP="00E47ABA">
            <w:pPr>
              <w:ind w:firstLine="567"/>
              <w:jc w:val="both"/>
              <w:textAlignment w:val="center"/>
              <w:rPr>
                <w:rFonts w:ascii="Times New Roman" w:eastAsia="Times New Roman" w:hAnsi="Times New Roman" w:cs="Times New Roman"/>
                <w:lang w:eastAsia="lt-LT"/>
              </w:rPr>
            </w:pPr>
            <w:r>
              <w:rPr>
                <w:rFonts w:ascii="Times New Roman" w:hAnsi="Times New Roman" w:cs="Times New Roman"/>
              </w:rPr>
              <w:lastRenderedPageBreak/>
              <w:t xml:space="preserve">„2. </w:t>
            </w:r>
            <w:r w:rsidR="009571F3" w:rsidRPr="009571F3">
              <w:rPr>
                <w:rFonts w:ascii="Times New Roman" w:hAnsi="Times New Roman" w:cs="Times New Roman"/>
              </w:rPr>
              <w:t>Pasiūlyti Lietuvos bankui atlikti nacionalinės kompetentingos institucijos funkcijas, susijusias su rinkos finansine priežiūra įgyvendinant Reglamento 18 straipsnio 2 dalį, 36 ir 59 straipsniuose nustatytus reikalavimus.</w:t>
            </w:r>
            <w:r>
              <w:rPr>
                <w:rFonts w:ascii="Times New Roman" w:hAnsi="Times New Roman" w:cs="Times New Roman"/>
              </w:rPr>
              <w:t>“.</w:t>
            </w:r>
          </w:p>
        </w:tc>
        <w:tc>
          <w:tcPr>
            <w:tcW w:w="1559" w:type="dxa"/>
          </w:tcPr>
          <w:p w14:paraId="6E7ADE39" w14:textId="05F24804" w:rsidR="009571F3" w:rsidRDefault="009571F3" w:rsidP="00D95E64">
            <w:pPr>
              <w:pStyle w:val="TableContents"/>
              <w:snapToGrid w:val="0"/>
              <w:jc w:val="center"/>
              <w:rPr>
                <w:sz w:val="22"/>
                <w:szCs w:val="22"/>
              </w:rPr>
            </w:pPr>
            <w:r>
              <w:rPr>
                <w:sz w:val="22"/>
                <w:szCs w:val="22"/>
              </w:rPr>
              <w:lastRenderedPageBreak/>
              <w:t>Visiškas</w:t>
            </w:r>
          </w:p>
        </w:tc>
      </w:tr>
      <w:tr w:rsidR="00FA331A" w:rsidRPr="00483E20" w14:paraId="041AC9B5" w14:textId="77777777" w:rsidTr="00F8304D">
        <w:trPr>
          <w:trHeight w:val="330"/>
        </w:trPr>
        <w:tc>
          <w:tcPr>
            <w:tcW w:w="6771" w:type="dxa"/>
          </w:tcPr>
          <w:p w14:paraId="7DE36BEF" w14:textId="77777777" w:rsidR="00263F46" w:rsidRDefault="00031EBC" w:rsidP="00263F46">
            <w:pPr>
              <w:jc w:val="both"/>
              <w:rPr>
                <w:rFonts w:ascii="Times New Roman" w:hAnsi="Times New Roman" w:cs="Times New Roman"/>
              </w:rPr>
            </w:pPr>
            <w:r>
              <w:rPr>
                <w:rFonts w:ascii="Times New Roman" w:hAnsi="Times New Roman" w:cs="Times New Roman"/>
              </w:rPr>
              <w:lastRenderedPageBreak/>
              <w:t>&lt;...&gt;</w:t>
            </w:r>
          </w:p>
          <w:p w14:paraId="72D1EDD7"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19)</w:t>
            </w:r>
          </w:p>
          <w:p w14:paraId="231E5E01"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24 ir 25 straipsniai pakeičiami taip:</w:t>
            </w:r>
          </w:p>
          <w:p w14:paraId="77292E54"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„24 straipsnis</w:t>
            </w:r>
          </w:p>
          <w:p w14:paraId="03DB7072"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Inovacijų fondo ir Modernizavimo fondo apyvartinių taršos leidimų aukcionai</w:t>
            </w:r>
          </w:p>
          <w:p w14:paraId="7930110D"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 xml:space="preserve">1.   Europos investicijų bankas (EIB) yra apyvartinių taršos leidimų, kurie nuo 2021 m. bus parduodami pagal šio reglamento 26 straipsnio 1 dalį paskirtoje aukciono platformoje remiantis Direktyvos 2003/87/EB 10a straipsnio 8 dalies pirma pastraipa ir 10d straipsnio 4 dalimi, aukciono rengėjas. 22 straipsnio 2 dalis, 22 straipsnio 4 dalis, 23 straipsnio 1 dalis ir 52 straipsnio 1 dalis </w:t>
            </w:r>
            <w:proofErr w:type="spellStart"/>
            <w:r w:rsidRPr="004F43AA">
              <w:rPr>
                <w:rFonts w:ascii="Times New Roman" w:hAnsi="Times New Roman" w:cs="Times New Roman"/>
              </w:rPr>
              <w:t>mutatis</w:t>
            </w:r>
            <w:proofErr w:type="spellEnd"/>
            <w:r w:rsidRPr="004F43AA">
              <w:rPr>
                <w:rFonts w:ascii="Times New Roman" w:hAnsi="Times New Roman" w:cs="Times New Roman"/>
              </w:rPr>
              <w:t xml:space="preserve"> </w:t>
            </w:r>
            <w:proofErr w:type="spellStart"/>
            <w:r w:rsidRPr="004F43AA">
              <w:rPr>
                <w:rFonts w:ascii="Times New Roman" w:hAnsi="Times New Roman" w:cs="Times New Roman"/>
              </w:rPr>
              <w:t>mutandis</w:t>
            </w:r>
            <w:proofErr w:type="spellEnd"/>
            <w:r w:rsidRPr="004F43AA">
              <w:rPr>
                <w:rFonts w:ascii="Times New Roman" w:hAnsi="Times New Roman" w:cs="Times New Roman"/>
              </w:rPr>
              <w:t xml:space="preserve"> taikomos EIB. EIB kaip aukciono rengėjas užtikrina, kad aukciono pajamos, skirtos Direktyvos 2003/87/EB 10a straipsnio 8 dalyje numatytiems tikslams, būtų išmokėtos į Komisijos nurodytą sąskaitą ne vėliau kaip per 15 dienų nuo mėnesio, per kurį buvo gautos aukciono pajamos, pabaigos. Prieš išmokėjimą jis gali atskaityti visus papildomus mokesčius už laikymą ir išmokėjimą pagal Komisijos ir EIB susitarimą, sudarytą pagal Komisijos deleguotojo reglamento (ES) 2019/856 (*) 20 straipsnio 3 dalį.</w:t>
            </w:r>
          </w:p>
          <w:p w14:paraId="79ADCA8D"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2.   Metinis apyvartinių taršos leidimų kiekis pagal 1 dalį parduodamas aukcione kartu su metiniu apyvartinių taršos leidimų kiekiu, kurį valstybės narės, dalyvaujančios 26 straipsnio 1 dalyje numatytoje bendroje veikloje, yra numačiusios parduoti aukcione, ir paskirstomas tolygiai pagal šio reglamento 8 straipsnio 5 dalį.</w:t>
            </w:r>
          </w:p>
          <w:p w14:paraId="1249FD97"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3.   Pagal Direktyvos 2003/87/EB 10a straipsnio 8 dalį apyvartinių taršos leidimų kiekiai iš esmės aukcione parduodami vienodais metiniais kiekiais per dešimties metų laikotarpį, pradedant nuo 2021 m. sausio 1 d.</w:t>
            </w:r>
          </w:p>
          <w:p w14:paraId="3B92468C" w14:textId="77777777" w:rsidR="004F43AA" w:rsidRPr="004F43AA" w:rsidRDefault="004F43AA" w:rsidP="004F43AA">
            <w:pPr>
              <w:jc w:val="both"/>
              <w:rPr>
                <w:rFonts w:ascii="Times New Roman" w:hAnsi="Times New Roman" w:cs="Times New Roman"/>
              </w:rPr>
            </w:pPr>
          </w:p>
          <w:p w14:paraId="75A947A4"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 xml:space="preserve">Komisija peržiūri apyvartinių taršos leidimų, kuriuos reikia parduoti aukcione, paskirstymą po to, kai priimamas sprendimas dėl kiekvieno kvietimo teikti pasiūlymus, kuris vykdomas pagal deleguotuosius aktus, priimtus pagal Direktyvos 2003/87/EB 10a straipsnio 8 dalies ketvirtą pastraipą. Tokia peržiūra atliekama kas dvejus metus, o pirmoji peržiūra – ne vėliau kaip 2022 m. birželio 30 d. Atliekant kiekvieną peržiūrą, ypatingas dėmesys skiriamas būsimiems kvietimams teikti pasiūlymus numatytai paramai, maksimaliai Inovacijų fondo paramos, kuri gali būti skiriama projektų plėtojimo pagalbai remti, sumai, Komisijos numatytai </w:t>
            </w:r>
            <w:r w:rsidRPr="004F43AA">
              <w:rPr>
                <w:rFonts w:ascii="Times New Roman" w:hAnsi="Times New Roman" w:cs="Times New Roman"/>
              </w:rPr>
              <w:lastRenderedPageBreak/>
              <w:t>bendros Inovacijų fondo paramos daliai, skirtai kvietimui teikti pasiūlymus dėl mažų projektų, atrinktiems projektams numatytai paramai, taip pat išmokėjimo ir susigrąžinimo normai.</w:t>
            </w:r>
          </w:p>
          <w:p w14:paraId="7A2E5629" w14:textId="77777777" w:rsidR="004F43AA" w:rsidRPr="004F43AA" w:rsidRDefault="004F43AA" w:rsidP="004F43AA">
            <w:pPr>
              <w:jc w:val="both"/>
              <w:rPr>
                <w:rFonts w:ascii="Times New Roman" w:hAnsi="Times New Roman" w:cs="Times New Roman"/>
              </w:rPr>
            </w:pPr>
          </w:p>
          <w:p w14:paraId="5EAC5F33"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25 straipsnis</w:t>
            </w:r>
          </w:p>
          <w:p w14:paraId="76B42E0E"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Apyvartinių taršos leidimų panaikinimo pagal Direktyvos 2003/87/EB 12 straipsnio 4 dalį tvarka</w:t>
            </w:r>
          </w:p>
          <w:p w14:paraId="3930D633"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1.   Bet kuri valstybė narė, ketinanti panaikinti apyvartinius taršos leidimus, įtrauktus į savo bendrą aukcionuose parduoti skirtų leidimų skaičių, kai jos teritorijoje nutraukiamas elektros energijos gamybos pajėgumų eksploatavimas pagal Direktyvos 2003/87/EB 12 straipsnio 4 dalį, praneša Komisijai apie savo ketinimą ne vėliau kaip iki kalendorinių metų, einančių po eksploatavimo nutraukimo metų, gruodžio 31 d., naudodama šio reglamento I priede pateiktą formą.</w:t>
            </w:r>
          </w:p>
          <w:p w14:paraId="19A28A53"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2.   Apyvartinių taršos leidimų, kurie turi būti panaikinti pagal Direktyvos 2003/87/EB 12 straipsnio 4 dalį, kiekis atimamas iš atitinkamos valstybės narės aukcione parduotino kiekio, nustatyto pagal šio reglamento 10 straipsnį, atlikus bet kokius koregavimus pagal Sprendimą (ES) 2015/1814.</w:t>
            </w:r>
          </w:p>
          <w:p w14:paraId="48E15628" w14:textId="77777777" w:rsidR="004F43AA" w:rsidRPr="004F43AA" w:rsidRDefault="004F43AA" w:rsidP="004F43AA">
            <w:pPr>
              <w:jc w:val="both"/>
              <w:rPr>
                <w:rFonts w:ascii="Times New Roman" w:hAnsi="Times New Roman" w:cs="Times New Roman"/>
              </w:rPr>
            </w:pPr>
            <w:r w:rsidRPr="004F43AA">
              <w:rPr>
                <w:rFonts w:ascii="Times New Roman" w:hAnsi="Times New Roman" w:cs="Times New Roman"/>
              </w:rPr>
              <w:t>3.   Komisija skelbia valstybių narių pateiktą informaciją pagal I priedą, išskyrus to priedo 6 punkte nurodytus pranešimus.</w:t>
            </w:r>
          </w:p>
          <w:p w14:paraId="07B3073D" w14:textId="77777777" w:rsidR="004F43AA" w:rsidRPr="004F43AA" w:rsidRDefault="004F43AA" w:rsidP="004F43AA">
            <w:pPr>
              <w:jc w:val="both"/>
              <w:rPr>
                <w:rFonts w:ascii="Times New Roman" w:hAnsi="Times New Roman" w:cs="Times New Roman"/>
              </w:rPr>
            </w:pPr>
          </w:p>
          <w:p w14:paraId="18B0AA1C" w14:textId="7A29664E" w:rsidR="00031EBC" w:rsidRDefault="004F43AA" w:rsidP="004F43AA">
            <w:pPr>
              <w:jc w:val="both"/>
              <w:rPr>
                <w:rFonts w:ascii="Times New Roman" w:hAnsi="Times New Roman" w:cs="Times New Roman"/>
              </w:rPr>
            </w:pPr>
            <w:r w:rsidRPr="004F43AA">
              <w:rPr>
                <w:rFonts w:ascii="Times New Roman" w:hAnsi="Times New Roman" w:cs="Times New Roman"/>
              </w:rPr>
              <w:t>(*)  2019 m. vasario 26 d. Komisijos deleguotasis reglamentas (ES) 2019/856, kuriuo papildomos Europos Parlamento ir Tarybos direktyvos 2003/87/EB nuostatos dėl Inovacijų fondo veiklos (OL L 140, 2019 5 28, p. 6)."</w:t>
            </w:r>
          </w:p>
          <w:p w14:paraId="0786A117" w14:textId="405E63B8" w:rsidR="00031EBC" w:rsidRPr="00FA331A" w:rsidRDefault="00031EBC" w:rsidP="00263F46">
            <w:pPr>
              <w:jc w:val="both"/>
              <w:rPr>
                <w:rFonts w:ascii="Times New Roman" w:hAnsi="Times New Roman" w:cs="Times New Roman"/>
              </w:rPr>
            </w:pPr>
            <w:r>
              <w:rPr>
                <w:rFonts w:ascii="Times New Roman" w:hAnsi="Times New Roman" w:cs="Times New Roman"/>
              </w:rPr>
              <w:t>&lt;...&gt;</w:t>
            </w:r>
          </w:p>
        </w:tc>
        <w:tc>
          <w:tcPr>
            <w:tcW w:w="6804" w:type="dxa"/>
          </w:tcPr>
          <w:p w14:paraId="3CBC45BA" w14:textId="77777777" w:rsidR="00B1526A" w:rsidRDefault="004F43AA" w:rsidP="00E47ABA">
            <w:pPr>
              <w:ind w:firstLine="567"/>
              <w:jc w:val="both"/>
              <w:textAlignment w:val="center"/>
              <w:rPr>
                <w:rFonts w:ascii="Times New Roman" w:hAnsi="Times New Roman" w:cs="Times New Roman"/>
              </w:rPr>
            </w:pPr>
            <w:r>
              <w:rPr>
                <w:rFonts w:ascii="Times New Roman" w:hAnsi="Times New Roman" w:cs="Times New Roman"/>
              </w:rPr>
              <w:lastRenderedPageBreak/>
              <w:t xml:space="preserve">Iš esmės pasikeitus </w:t>
            </w:r>
            <w:r w:rsidRPr="004F43AA">
              <w:rPr>
                <w:rFonts w:ascii="Times New Roman" w:hAnsi="Times New Roman" w:cs="Times New Roman"/>
              </w:rPr>
              <w:t>2010 m. lapk</w:t>
            </w:r>
            <w:r>
              <w:rPr>
                <w:rFonts w:ascii="Times New Roman" w:hAnsi="Times New Roman" w:cs="Times New Roman"/>
              </w:rPr>
              <w:t>ričio 12 d. Komisijos reglamento</w:t>
            </w:r>
            <w:r w:rsidRPr="004F43AA">
              <w:rPr>
                <w:rFonts w:ascii="Times New Roman" w:hAnsi="Times New Roman" w:cs="Times New Roman"/>
              </w:rPr>
              <w:t xml:space="preserve"> (ES) Nr. 1031/2010</w:t>
            </w:r>
            <w:r>
              <w:rPr>
                <w:rFonts w:ascii="Times New Roman" w:hAnsi="Times New Roman" w:cs="Times New Roman"/>
              </w:rPr>
              <w:t xml:space="preserve"> 24 ir 25 straipsniams nebelieka </w:t>
            </w:r>
            <w:r w:rsidR="00B1526A">
              <w:rPr>
                <w:rFonts w:ascii="Times New Roman" w:hAnsi="Times New Roman" w:cs="Times New Roman"/>
              </w:rPr>
              <w:t xml:space="preserve">anksčiau paskirtų </w:t>
            </w:r>
            <w:r>
              <w:rPr>
                <w:rFonts w:ascii="Times New Roman" w:hAnsi="Times New Roman" w:cs="Times New Roman"/>
              </w:rPr>
              <w:t>funkcijų susijusių su aukciono stebėtojų paskyrimu, todėl Nutarimo projekte yra panaikinamas 1.2.3 punktas</w:t>
            </w:r>
            <w:r w:rsidR="00B1526A">
              <w:rPr>
                <w:rFonts w:ascii="Times New Roman" w:hAnsi="Times New Roman" w:cs="Times New Roman"/>
              </w:rPr>
              <w:t xml:space="preserve"> susijęs su aukciono stebėtojo </w:t>
            </w:r>
            <w:r>
              <w:rPr>
                <w:rFonts w:ascii="Times New Roman" w:hAnsi="Times New Roman" w:cs="Times New Roman"/>
              </w:rPr>
              <w:t>p</w:t>
            </w:r>
            <w:r w:rsidR="00B1526A">
              <w:rPr>
                <w:rFonts w:ascii="Times New Roman" w:hAnsi="Times New Roman" w:cs="Times New Roman"/>
              </w:rPr>
              <w:t>a</w:t>
            </w:r>
            <w:r>
              <w:rPr>
                <w:rFonts w:ascii="Times New Roman" w:hAnsi="Times New Roman" w:cs="Times New Roman"/>
              </w:rPr>
              <w:t>skyrimu</w:t>
            </w:r>
            <w:r w:rsidRPr="004F43AA">
              <w:rPr>
                <w:rFonts w:ascii="Times New Roman" w:hAnsi="Times New Roman" w:cs="Times New Roman"/>
              </w:rPr>
              <w:t xml:space="preserve"> pagal </w:t>
            </w:r>
            <w:r>
              <w:rPr>
                <w:rFonts w:ascii="Times New Roman" w:hAnsi="Times New Roman" w:cs="Times New Roman"/>
              </w:rPr>
              <w:t xml:space="preserve">anksčiau </w:t>
            </w:r>
            <w:r w:rsidRPr="004F43AA">
              <w:rPr>
                <w:rFonts w:ascii="Times New Roman" w:hAnsi="Times New Roman" w:cs="Times New Roman"/>
              </w:rPr>
              <w:t>Reglamento 24 ir 25 straip</w:t>
            </w:r>
            <w:r w:rsidR="00B1526A">
              <w:rPr>
                <w:rFonts w:ascii="Times New Roman" w:hAnsi="Times New Roman" w:cs="Times New Roman"/>
              </w:rPr>
              <w:t xml:space="preserve">sniuose nustatytus reikalavimus. </w:t>
            </w:r>
          </w:p>
          <w:p w14:paraId="6109FA38" w14:textId="77777777" w:rsidR="00B1526A" w:rsidRDefault="00B1526A" w:rsidP="00E47ABA">
            <w:pPr>
              <w:ind w:firstLine="567"/>
              <w:jc w:val="both"/>
              <w:textAlignment w:val="center"/>
              <w:rPr>
                <w:rFonts w:ascii="Times New Roman" w:hAnsi="Times New Roman" w:cs="Times New Roman"/>
              </w:rPr>
            </w:pPr>
            <w:r>
              <w:rPr>
                <w:rFonts w:ascii="Times New Roman" w:hAnsi="Times New Roman" w:cs="Times New Roman"/>
              </w:rPr>
              <w:t>Ankstesnio nutarimo 1.2.4 punktas tampa 1.2.3 punktu:</w:t>
            </w:r>
          </w:p>
          <w:p w14:paraId="7689D904" w14:textId="76A0FBD4" w:rsidR="007F045F" w:rsidRDefault="00B1526A" w:rsidP="00E47ABA">
            <w:pPr>
              <w:ind w:firstLine="567"/>
              <w:jc w:val="both"/>
              <w:textAlignment w:val="center"/>
              <w:rPr>
                <w:rFonts w:ascii="Times New Roman" w:hAnsi="Times New Roman" w:cs="Times New Roman"/>
              </w:rPr>
            </w:pPr>
            <w:r>
              <w:rPr>
                <w:rFonts w:ascii="Times New Roman" w:hAnsi="Times New Roman" w:cs="Times New Roman"/>
              </w:rPr>
              <w:t xml:space="preserve">„1.2.3 </w:t>
            </w:r>
            <w:r w:rsidRPr="00B1526A">
              <w:rPr>
                <w:rFonts w:ascii="Times New Roman" w:hAnsi="Times New Roman" w:cs="Times New Roman"/>
              </w:rPr>
              <w:t>atlikti kitas pagal Reglamento reikalavimus nustatytas su vienos aukciono platformos skyrimu ir jos priežiūra susijusias funkcijas;</w:t>
            </w:r>
            <w:r>
              <w:rPr>
                <w:rFonts w:ascii="Times New Roman" w:hAnsi="Times New Roman" w:cs="Times New Roman"/>
              </w:rPr>
              <w:t xml:space="preserve">“. </w:t>
            </w:r>
          </w:p>
          <w:p w14:paraId="32AFEF9B" w14:textId="77777777" w:rsidR="00B1526A" w:rsidRDefault="00B1526A" w:rsidP="00E47ABA">
            <w:pPr>
              <w:jc w:val="both"/>
              <w:textAlignment w:val="center"/>
              <w:rPr>
                <w:rFonts w:ascii="Times New Roman" w:hAnsi="Times New Roman" w:cs="Times New Roman"/>
              </w:rPr>
            </w:pPr>
          </w:p>
          <w:p w14:paraId="443BBE7B" w14:textId="7C98372E" w:rsidR="00B1526A" w:rsidRPr="00082796" w:rsidRDefault="00B1526A" w:rsidP="00E47ABA">
            <w:pPr>
              <w:jc w:val="both"/>
              <w:textAlignment w:val="center"/>
              <w:rPr>
                <w:rFonts w:ascii="Times New Roman" w:hAnsi="Times New Roman" w:cs="Times New Roman"/>
              </w:rPr>
            </w:pPr>
          </w:p>
        </w:tc>
        <w:tc>
          <w:tcPr>
            <w:tcW w:w="1559" w:type="dxa"/>
          </w:tcPr>
          <w:p w14:paraId="07EF584A" w14:textId="7509958E" w:rsidR="00FA331A" w:rsidRPr="00483E20" w:rsidRDefault="004F43AA" w:rsidP="00FA331A">
            <w:pPr>
              <w:pStyle w:val="TableContents"/>
              <w:snapToGrid w:val="0"/>
              <w:jc w:val="center"/>
              <w:rPr>
                <w:sz w:val="22"/>
                <w:szCs w:val="22"/>
              </w:rPr>
            </w:pPr>
            <w:r>
              <w:rPr>
                <w:sz w:val="22"/>
                <w:szCs w:val="22"/>
              </w:rPr>
              <w:t>Visiškas</w:t>
            </w:r>
          </w:p>
        </w:tc>
      </w:tr>
      <w:tr w:rsidR="00E47ABA" w:rsidRPr="00483E20" w14:paraId="59F4DA93" w14:textId="77777777" w:rsidTr="00F8304D">
        <w:trPr>
          <w:trHeight w:val="330"/>
        </w:trPr>
        <w:tc>
          <w:tcPr>
            <w:tcW w:w="6771" w:type="dxa"/>
          </w:tcPr>
          <w:p w14:paraId="59FE34E7" w14:textId="77777777" w:rsidR="00E47ABA" w:rsidRDefault="00E47ABA" w:rsidP="00263F46">
            <w:pPr>
              <w:jc w:val="both"/>
              <w:rPr>
                <w:rFonts w:ascii="Times New Roman" w:hAnsi="Times New Roman" w:cs="Times New Roman"/>
              </w:rPr>
            </w:pPr>
            <w:r>
              <w:rPr>
                <w:rFonts w:ascii="Times New Roman" w:hAnsi="Times New Roman" w:cs="Times New Roman"/>
              </w:rPr>
              <w:lastRenderedPageBreak/>
              <w:t>&lt;...&gt;</w:t>
            </w:r>
          </w:p>
          <w:p w14:paraId="0840668D" w14:textId="74DA9ECE" w:rsidR="00E47ABA" w:rsidRDefault="00E47ABA" w:rsidP="009571F3">
            <w:pPr>
              <w:jc w:val="both"/>
              <w:rPr>
                <w:rFonts w:ascii="Times New Roman" w:hAnsi="Times New Roman" w:cs="Times New Roman"/>
              </w:rPr>
            </w:pPr>
            <w:r w:rsidRPr="009571F3">
              <w:rPr>
                <w:rFonts w:ascii="Times New Roman" w:hAnsi="Times New Roman" w:cs="Times New Roman"/>
              </w:rPr>
              <w:t>33)</w:t>
            </w:r>
            <w:r>
              <w:rPr>
                <w:rFonts w:ascii="Times New Roman" w:hAnsi="Times New Roman" w:cs="Times New Roman"/>
              </w:rPr>
              <w:t xml:space="preserve"> </w:t>
            </w:r>
            <w:r w:rsidRPr="009571F3">
              <w:rPr>
                <w:rFonts w:ascii="Times New Roman" w:hAnsi="Times New Roman" w:cs="Times New Roman"/>
              </w:rPr>
              <w:t>37–43 straipsniai išbraukiami.</w:t>
            </w:r>
          </w:p>
          <w:p w14:paraId="470A771C" w14:textId="5AF1B396" w:rsidR="00E47ABA" w:rsidRPr="00FA331A" w:rsidRDefault="00E47ABA" w:rsidP="00263F46">
            <w:pPr>
              <w:jc w:val="both"/>
              <w:rPr>
                <w:rFonts w:ascii="Times New Roman" w:hAnsi="Times New Roman" w:cs="Times New Roman"/>
              </w:rPr>
            </w:pPr>
            <w:r>
              <w:rPr>
                <w:rFonts w:ascii="Times New Roman" w:hAnsi="Times New Roman" w:cs="Times New Roman"/>
              </w:rPr>
              <w:t>&lt;...&gt;</w:t>
            </w:r>
          </w:p>
        </w:tc>
        <w:tc>
          <w:tcPr>
            <w:tcW w:w="6804" w:type="dxa"/>
          </w:tcPr>
          <w:p w14:paraId="4789B5F6" w14:textId="77777777" w:rsidR="00E47ABA" w:rsidRDefault="00E47ABA" w:rsidP="00BC0C6F">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Nutarimo projekto 2 punktas:</w:t>
            </w:r>
          </w:p>
          <w:p w14:paraId="4152B8AF" w14:textId="09168B64" w:rsidR="00E47ABA" w:rsidRPr="00082796" w:rsidRDefault="00E47ABA" w:rsidP="007F045F">
            <w:pPr>
              <w:jc w:val="both"/>
              <w:rPr>
                <w:rFonts w:ascii="Times New Roman" w:eastAsia="Times New Roman" w:hAnsi="Times New Roman" w:cs="Times New Roman"/>
                <w:lang w:eastAsia="lt-LT"/>
              </w:rPr>
            </w:pPr>
            <w:r>
              <w:rPr>
                <w:rFonts w:ascii="Times New Roman" w:hAnsi="Times New Roman" w:cs="Times New Roman"/>
              </w:rPr>
              <w:t xml:space="preserve">„2. </w:t>
            </w:r>
            <w:r w:rsidRPr="009571F3">
              <w:rPr>
                <w:rFonts w:ascii="Times New Roman" w:hAnsi="Times New Roman" w:cs="Times New Roman"/>
              </w:rPr>
              <w:t>Pasiūlyti Lietuvos bankui atlikti nacionalinės kompetentingos institucijos funkcijas, susijusias su rinkos finansine priežiūra įgyvendinant Reglamento 18 straipsnio 2 dalį, 36 ir 59 straipsniuose nustatytus reikalavimus.</w:t>
            </w:r>
            <w:r>
              <w:rPr>
                <w:rFonts w:ascii="Times New Roman" w:hAnsi="Times New Roman" w:cs="Times New Roman"/>
              </w:rPr>
              <w:t>“.</w:t>
            </w:r>
          </w:p>
        </w:tc>
        <w:tc>
          <w:tcPr>
            <w:tcW w:w="1559" w:type="dxa"/>
          </w:tcPr>
          <w:p w14:paraId="6B3B3889" w14:textId="0E2CF380" w:rsidR="00E47ABA" w:rsidRPr="00483E20" w:rsidRDefault="00E47ABA" w:rsidP="00FA331A">
            <w:pPr>
              <w:pStyle w:val="TableContents"/>
              <w:snapToGrid w:val="0"/>
              <w:jc w:val="center"/>
              <w:rPr>
                <w:sz w:val="22"/>
                <w:szCs w:val="22"/>
              </w:rPr>
            </w:pPr>
            <w:r>
              <w:rPr>
                <w:sz w:val="22"/>
                <w:szCs w:val="22"/>
              </w:rPr>
              <w:t>Visiškas</w:t>
            </w:r>
          </w:p>
        </w:tc>
      </w:tr>
    </w:tbl>
    <w:p w14:paraId="00E810FF" w14:textId="77777777" w:rsidR="002E3038" w:rsidRPr="00483E20" w:rsidRDefault="002E3038" w:rsidP="00182A05">
      <w:pPr>
        <w:spacing w:after="0" w:line="240" w:lineRule="auto"/>
        <w:jc w:val="center"/>
        <w:rPr>
          <w:rFonts w:ascii="Times New Roman" w:hAnsi="Times New Roman" w:cs="Times New Roman"/>
          <w:b/>
        </w:rPr>
      </w:pPr>
    </w:p>
    <w:sectPr w:rsidR="002E3038" w:rsidRPr="00483E20" w:rsidSect="00C322C8">
      <w:pgSz w:w="16838" w:h="11906" w:orient="landscape" w:code="9"/>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7A9"/>
    <w:multiLevelType w:val="hybridMultilevel"/>
    <w:tmpl w:val="18E2E3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313EEB"/>
    <w:multiLevelType w:val="hybridMultilevel"/>
    <w:tmpl w:val="52D8B4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6EC7E63"/>
    <w:multiLevelType w:val="multilevel"/>
    <w:tmpl w:val="F55EC046"/>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707071"/>
    <w:multiLevelType w:val="hybridMultilevel"/>
    <w:tmpl w:val="9BACA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03A5D61"/>
    <w:multiLevelType w:val="multilevel"/>
    <w:tmpl w:val="3A16E7B8"/>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nsid w:val="30E210F3"/>
    <w:multiLevelType w:val="hybridMultilevel"/>
    <w:tmpl w:val="47608A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3160DF0"/>
    <w:multiLevelType w:val="hybridMultilevel"/>
    <w:tmpl w:val="A258891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17E4DEB"/>
    <w:multiLevelType w:val="hybridMultilevel"/>
    <w:tmpl w:val="B310112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A2E7B60"/>
    <w:multiLevelType w:val="hybridMultilevel"/>
    <w:tmpl w:val="28E8A9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C702002"/>
    <w:multiLevelType w:val="multilevel"/>
    <w:tmpl w:val="F55EC046"/>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D352B2B"/>
    <w:multiLevelType w:val="hybridMultilevel"/>
    <w:tmpl w:val="99E0C2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0E514DF"/>
    <w:multiLevelType w:val="hybridMultilevel"/>
    <w:tmpl w:val="47608A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29B5795"/>
    <w:multiLevelType w:val="multilevel"/>
    <w:tmpl w:val="AB4857E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4DC4B1F"/>
    <w:multiLevelType w:val="hybridMultilevel"/>
    <w:tmpl w:val="FAC87898"/>
    <w:lvl w:ilvl="0" w:tplc="C95447B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89B6844"/>
    <w:multiLevelType w:val="hybridMultilevel"/>
    <w:tmpl w:val="9EA22F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A4D0A57"/>
    <w:multiLevelType w:val="hybridMultilevel"/>
    <w:tmpl w:val="99E0C2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9913F73"/>
    <w:multiLevelType w:val="hybridMultilevel"/>
    <w:tmpl w:val="EC7E409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2196E2C"/>
    <w:multiLevelType w:val="hybridMultilevel"/>
    <w:tmpl w:val="BD808A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8"/>
  </w:num>
  <w:num w:numId="3">
    <w:abstractNumId w:val="16"/>
  </w:num>
  <w:num w:numId="4">
    <w:abstractNumId w:val="7"/>
  </w:num>
  <w:num w:numId="5">
    <w:abstractNumId w:val="1"/>
  </w:num>
  <w:num w:numId="6">
    <w:abstractNumId w:val="14"/>
  </w:num>
  <w:num w:numId="7">
    <w:abstractNumId w:val="0"/>
  </w:num>
  <w:num w:numId="8">
    <w:abstractNumId w:val="10"/>
  </w:num>
  <w:num w:numId="9">
    <w:abstractNumId w:val="15"/>
  </w:num>
  <w:num w:numId="10">
    <w:abstractNumId w:val="17"/>
  </w:num>
  <w:num w:numId="11">
    <w:abstractNumId w:val="5"/>
  </w:num>
  <w:num w:numId="12">
    <w:abstractNumId w:val="11"/>
  </w:num>
  <w:num w:numId="13">
    <w:abstractNumId w:val="6"/>
  </w:num>
  <w:num w:numId="14">
    <w:abstractNumId w:val="13"/>
  </w:num>
  <w:num w:numId="15">
    <w:abstractNumId w:val="9"/>
  </w:num>
  <w:num w:numId="16">
    <w:abstractNumId w:val="2"/>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842"/>
    <w:rsid w:val="00031EBC"/>
    <w:rsid w:val="000473EE"/>
    <w:rsid w:val="000650C7"/>
    <w:rsid w:val="00082796"/>
    <w:rsid w:val="000C333C"/>
    <w:rsid w:val="000D3CCD"/>
    <w:rsid w:val="000D6266"/>
    <w:rsid w:val="000F6F28"/>
    <w:rsid w:val="00163932"/>
    <w:rsid w:val="00182A05"/>
    <w:rsid w:val="00182F49"/>
    <w:rsid w:val="0018547D"/>
    <w:rsid w:val="00195C7D"/>
    <w:rsid w:val="00263F46"/>
    <w:rsid w:val="0027224B"/>
    <w:rsid w:val="00294238"/>
    <w:rsid w:val="002A64DF"/>
    <w:rsid w:val="002B1D55"/>
    <w:rsid w:val="002B48B1"/>
    <w:rsid w:val="002C3757"/>
    <w:rsid w:val="002C7B7D"/>
    <w:rsid w:val="002D2D38"/>
    <w:rsid w:val="002D7F42"/>
    <w:rsid w:val="002E3038"/>
    <w:rsid w:val="00303236"/>
    <w:rsid w:val="00306B0F"/>
    <w:rsid w:val="003750C5"/>
    <w:rsid w:val="0038671A"/>
    <w:rsid w:val="003A00DB"/>
    <w:rsid w:val="003D7EA7"/>
    <w:rsid w:val="00405C1C"/>
    <w:rsid w:val="0040686D"/>
    <w:rsid w:val="00406E99"/>
    <w:rsid w:val="00445A6A"/>
    <w:rsid w:val="00453C41"/>
    <w:rsid w:val="00481F0D"/>
    <w:rsid w:val="00483E20"/>
    <w:rsid w:val="00493D26"/>
    <w:rsid w:val="00494F40"/>
    <w:rsid w:val="004A0421"/>
    <w:rsid w:val="004F43AA"/>
    <w:rsid w:val="005601D4"/>
    <w:rsid w:val="005628DF"/>
    <w:rsid w:val="0058441D"/>
    <w:rsid w:val="005C1DAA"/>
    <w:rsid w:val="005C7C5D"/>
    <w:rsid w:val="005F00D5"/>
    <w:rsid w:val="00604747"/>
    <w:rsid w:val="006254CD"/>
    <w:rsid w:val="006B3DF9"/>
    <w:rsid w:val="006C0124"/>
    <w:rsid w:val="006C2524"/>
    <w:rsid w:val="006C2AC8"/>
    <w:rsid w:val="006F70D7"/>
    <w:rsid w:val="0070251F"/>
    <w:rsid w:val="007226C9"/>
    <w:rsid w:val="0073482B"/>
    <w:rsid w:val="007418B6"/>
    <w:rsid w:val="00750AFD"/>
    <w:rsid w:val="007768A2"/>
    <w:rsid w:val="007B678E"/>
    <w:rsid w:val="007F045F"/>
    <w:rsid w:val="008118F3"/>
    <w:rsid w:val="008352BE"/>
    <w:rsid w:val="00842EE8"/>
    <w:rsid w:val="008942E5"/>
    <w:rsid w:val="008A11D0"/>
    <w:rsid w:val="008E56FD"/>
    <w:rsid w:val="00941899"/>
    <w:rsid w:val="009571F3"/>
    <w:rsid w:val="00996436"/>
    <w:rsid w:val="009A5582"/>
    <w:rsid w:val="009B3AAA"/>
    <w:rsid w:val="009D013B"/>
    <w:rsid w:val="009E52E8"/>
    <w:rsid w:val="009E5C57"/>
    <w:rsid w:val="00A07842"/>
    <w:rsid w:val="00A559A9"/>
    <w:rsid w:val="00AB6DE4"/>
    <w:rsid w:val="00AE1B91"/>
    <w:rsid w:val="00B03811"/>
    <w:rsid w:val="00B1526A"/>
    <w:rsid w:val="00B25D08"/>
    <w:rsid w:val="00B47A36"/>
    <w:rsid w:val="00B82693"/>
    <w:rsid w:val="00BB7B6A"/>
    <w:rsid w:val="00BF3D64"/>
    <w:rsid w:val="00BF410D"/>
    <w:rsid w:val="00C322C8"/>
    <w:rsid w:val="00C57FE1"/>
    <w:rsid w:val="00C75D0C"/>
    <w:rsid w:val="00C764AB"/>
    <w:rsid w:val="00CA6BAF"/>
    <w:rsid w:val="00CC186B"/>
    <w:rsid w:val="00D118D9"/>
    <w:rsid w:val="00D13E3A"/>
    <w:rsid w:val="00D95E64"/>
    <w:rsid w:val="00D97879"/>
    <w:rsid w:val="00DA31D5"/>
    <w:rsid w:val="00DA592D"/>
    <w:rsid w:val="00DB0A27"/>
    <w:rsid w:val="00E2111B"/>
    <w:rsid w:val="00E22221"/>
    <w:rsid w:val="00E321F8"/>
    <w:rsid w:val="00E34EB7"/>
    <w:rsid w:val="00E47ABA"/>
    <w:rsid w:val="00E910FF"/>
    <w:rsid w:val="00E9292B"/>
    <w:rsid w:val="00EB20A3"/>
    <w:rsid w:val="00F4745F"/>
    <w:rsid w:val="00F8304D"/>
    <w:rsid w:val="00FA331A"/>
    <w:rsid w:val="00FE4B39"/>
    <w:rsid w:val="00FF25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2E3038"/>
    <w:pPr>
      <w:widowControl w:val="0"/>
      <w:suppressLineNumbers/>
      <w:suppressAutoHyphens/>
      <w:spacing w:after="0" w:line="240" w:lineRule="auto"/>
    </w:pPr>
    <w:rPr>
      <w:rFonts w:ascii="Times New Roman" w:eastAsia="Lucida Sans Unicode" w:hAnsi="Times New Roman" w:cs="Times New Roman"/>
      <w:kern w:val="1"/>
      <w:sz w:val="24"/>
      <w:szCs w:val="24"/>
    </w:rPr>
  </w:style>
  <w:style w:type="character" w:customStyle="1" w:styleId="italic">
    <w:name w:val="italic"/>
    <w:rsid w:val="006C2524"/>
  </w:style>
  <w:style w:type="paragraph" w:customStyle="1" w:styleId="ti-tbl">
    <w:name w:val="ti-tbl"/>
    <w:basedOn w:val="Normal"/>
    <w:rsid w:val="006C25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ld">
    <w:name w:val="bold"/>
    <w:rsid w:val="006C2524"/>
  </w:style>
  <w:style w:type="paragraph" w:customStyle="1" w:styleId="Normal1">
    <w:name w:val="Normal1"/>
    <w:basedOn w:val="Normal"/>
    <w:rsid w:val="009A558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FA331A"/>
    <w:pPr>
      <w:ind w:left="720"/>
      <w:contextualSpacing/>
    </w:pPr>
  </w:style>
  <w:style w:type="character" w:customStyle="1" w:styleId="highlight">
    <w:name w:val="highlight"/>
    <w:basedOn w:val="DefaultParagraphFont"/>
    <w:rsid w:val="00E34EB7"/>
  </w:style>
  <w:style w:type="paragraph" w:customStyle="1" w:styleId="Normal2">
    <w:name w:val="Normal2"/>
    <w:basedOn w:val="Normal"/>
    <w:rsid w:val="009571F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2E3038"/>
    <w:pPr>
      <w:widowControl w:val="0"/>
      <w:suppressLineNumbers/>
      <w:suppressAutoHyphens/>
      <w:spacing w:after="0" w:line="240" w:lineRule="auto"/>
    </w:pPr>
    <w:rPr>
      <w:rFonts w:ascii="Times New Roman" w:eastAsia="Lucida Sans Unicode" w:hAnsi="Times New Roman" w:cs="Times New Roman"/>
      <w:kern w:val="1"/>
      <w:sz w:val="24"/>
      <w:szCs w:val="24"/>
    </w:rPr>
  </w:style>
  <w:style w:type="character" w:customStyle="1" w:styleId="italic">
    <w:name w:val="italic"/>
    <w:rsid w:val="006C2524"/>
  </w:style>
  <w:style w:type="paragraph" w:customStyle="1" w:styleId="ti-tbl">
    <w:name w:val="ti-tbl"/>
    <w:basedOn w:val="Normal"/>
    <w:rsid w:val="006C25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ld">
    <w:name w:val="bold"/>
    <w:rsid w:val="006C2524"/>
  </w:style>
  <w:style w:type="paragraph" w:customStyle="1" w:styleId="Normal1">
    <w:name w:val="Normal1"/>
    <w:basedOn w:val="Normal"/>
    <w:rsid w:val="009A558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FA331A"/>
    <w:pPr>
      <w:ind w:left="720"/>
      <w:contextualSpacing/>
    </w:pPr>
  </w:style>
  <w:style w:type="character" w:customStyle="1" w:styleId="highlight">
    <w:name w:val="highlight"/>
    <w:basedOn w:val="DefaultParagraphFont"/>
    <w:rsid w:val="00E34EB7"/>
  </w:style>
  <w:style w:type="paragraph" w:customStyle="1" w:styleId="Normal2">
    <w:name w:val="Normal2"/>
    <w:basedOn w:val="Normal"/>
    <w:rsid w:val="009571F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6918">
      <w:bodyDiv w:val="1"/>
      <w:marLeft w:val="0"/>
      <w:marRight w:val="0"/>
      <w:marTop w:val="0"/>
      <w:marBottom w:val="0"/>
      <w:divBdr>
        <w:top w:val="none" w:sz="0" w:space="0" w:color="auto"/>
        <w:left w:val="none" w:sz="0" w:space="0" w:color="auto"/>
        <w:bottom w:val="none" w:sz="0" w:space="0" w:color="auto"/>
        <w:right w:val="none" w:sz="0" w:space="0" w:color="auto"/>
      </w:divBdr>
    </w:div>
    <w:div w:id="331682798">
      <w:bodyDiv w:val="1"/>
      <w:marLeft w:val="0"/>
      <w:marRight w:val="0"/>
      <w:marTop w:val="0"/>
      <w:marBottom w:val="0"/>
      <w:divBdr>
        <w:top w:val="none" w:sz="0" w:space="0" w:color="auto"/>
        <w:left w:val="none" w:sz="0" w:space="0" w:color="auto"/>
        <w:bottom w:val="none" w:sz="0" w:space="0" w:color="auto"/>
        <w:right w:val="none" w:sz="0" w:space="0" w:color="auto"/>
      </w:divBdr>
      <w:divsChild>
        <w:div w:id="1213300131">
          <w:marLeft w:val="0"/>
          <w:marRight w:val="0"/>
          <w:marTop w:val="0"/>
          <w:marBottom w:val="0"/>
          <w:divBdr>
            <w:top w:val="none" w:sz="0" w:space="0" w:color="auto"/>
            <w:left w:val="none" w:sz="0" w:space="0" w:color="auto"/>
            <w:bottom w:val="none" w:sz="0" w:space="0" w:color="auto"/>
            <w:right w:val="none" w:sz="0" w:space="0" w:color="auto"/>
          </w:divBdr>
        </w:div>
      </w:divsChild>
    </w:div>
    <w:div w:id="785660112">
      <w:bodyDiv w:val="1"/>
      <w:marLeft w:val="0"/>
      <w:marRight w:val="0"/>
      <w:marTop w:val="0"/>
      <w:marBottom w:val="0"/>
      <w:divBdr>
        <w:top w:val="none" w:sz="0" w:space="0" w:color="auto"/>
        <w:left w:val="none" w:sz="0" w:space="0" w:color="auto"/>
        <w:bottom w:val="none" w:sz="0" w:space="0" w:color="auto"/>
        <w:right w:val="none" w:sz="0" w:space="0" w:color="auto"/>
      </w:divBdr>
    </w:div>
    <w:div w:id="837425176">
      <w:bodyDiv w:val="1"/>
      <w:marLeft w:val="0"/>
      <w:marRight w:val="0"/>
      <w:marTop w:val="0"/>
      <w:marBottom w:val="0"/>
      <w:divBdr>
        <w:top w:val="none" w:sz="0" w:space="0" w:color="auto"/>
        <w:left w:val="none" w:sz="0" w:space="0" w:color="auto"/>
        <w:bottom w:val="none" w:sz="0" w:space="0" w:color="auto"/>
        <w:right w:val="none" w:sz="0" w:space="0" w:color="auto"/>
      </w:divBdr>
      <w:divsChild>
        <w:div w:id="1243220533">
          <w:marLeft w:val="0"/>
          <w:marRight w:val="0"/>
          <w:marTop w:val="0"/>
          <w:marBottom w:val="0"/>
          <w:divBdr>
            <w:top w:val="none" w:sz="0" w:space="0" w:color="auto"/>
            <w:left w:val="none" w:sz="0" w:space="0" w:color="auto"/>
            <w:bottom w:val="none" w:sz="0" w:space="0" w:color="auto"/>
            <w:right w:val="none" w:sz="0" w:space="0" w:color="auto"/>
          </w:divBdr>
        </w:div>
      </w:divsChild>
    </w:div>
    <w:div w:id="989675765">
      <w:bodyDiv w:val="1"/>
      <w:marLeft w:val="0"/>
      <w:marRight w:val="0"/>
      <w:marTop w:val="0"/>
      <w:marBottom w:val="0"/>
      <w:divBdr>
        <w:top w:val="none" w:sz="0" w:space="0" w:color="auto"/>
        <w:left w:val="none" w:sz="0" w:space="0" w:color="auto"/>
        <w:bottom w:val="none" w:sz="0" w:space="0" w:color="auto"/>
        <w:right w:val="none" w:sz="0" w:space="0" w:color="auto"/>
      </w:divBdr>
    </w:div>
    <w:div w:id="1491942040">
      <w:bodyDiv w:val="1"/>
      <w:marLeft w:val="0"/>
      <w:marRight w:val="0"/>
      <w:marTop w:val="0"/>
      <w:marBottom w:val="0"/>
      <w:divBdr>
        <w:top w:val="none" w:sz="0" w:space="0" w:color="auto"/>
        <w:left w:val="none" w:sz="0" w:space="0" w:color="auto"/>
        <w:bottom w:val="none" w:sz="0" w:space="0" w:color="auto"/>
        <w:right w:val="none" w:sz="0" w:space="0" w:color="auto"/>
      </w:divBdr>
    </w:div>
    <w:div w:id="1716661842">
      <w:bodyDiv w:val="1"/>
      <w:marLeft w:val="0"/>
      <w:marRight w:val="0"/>
      <w:marTop w:val="0"/>
      <w:marBottom w:val="0"/>
      <w:divBdr>
        <w:top w:val="none" w:sz="0" w:space="0" w:color="auto"/>
        <w:left w:val="none" w:sz="0" w:space="0" w:color="auto"/>
        <w:bottom w:val="none" w:sz="0" w:space="0" w:color="auto"/>
        <w:right w:val="none" w:sz="0" w:space="0" w:color="auto"/>
      </w:divBdr>
    </w:div>
    <w:div w:id="1820804309">
      <w:bodyDiv w:val="1"/>
      <w:marLeft w:val="0"/>
      <w:marRight w:val="0"/>
      <w:marTop w:val="0"/>
      <w:marBottom w:val="0"/>
      <w:divBdr>
        <w:top w:val="none" w:sz="0" w:space="0" w:color="auto"/>
        <w:left w:val="none" w:sz="0" w:space="0" w:color="auto"/>
        <w:bottom w:val="none" w:sz="0" w:space="0" w:color="auto"/>
        <w:right w:val="none" w:sz="0" w:space="0" w:color="auto"/>
      </w:divBdr>
    </w:div>
    <w:div w:id="19538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D7CE-BEB0-4BDB-A31B-F8C21FDD3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Sakalauskaitė</dc:creator>
  <cp:lastModifiedBy>Romualdas Brazauskas</cp:lastModifiedBy>
  <cp:revision>2</cp:revision>
  <dcterms:created xsi:type="dcterms:W3CDTF">2020-07-03T05:21:00Z</dcterms:created>
  <dcterms:modified xsi:type="dcterms:W3CDTF">2020-07-03T05:21:00Z</dcterms:modified>
</cp:coreProperties>
</file>