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E89ED" w14:textId="77777777" w:rsidR="00304ED5" w:rsidRDefault="00304ED5" w:rsidP="00304ED5">
      <w:pPr>
        <w:pStyle w:val="Antrat"/>
        <w:rPr>
          <w:sz w:val="24"/>
        </w:rPr>
      </w:pPr>
      <w:r w:rsidRPr="005F5EE7">
        <w:rPr>
          <w:color w:val="0000FF"/>
          <w:sz w:val="24"/>
        </w:rPr>
        <w:object w:dxaOrig="4620" w:dyaOrig="5445" w14:anchorId="622E9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0.5pt" o:ole="" fillcolor="window">
            <v:imagedata r:id="rId11" o:title=""/>
          </v:shape>
          <o:OLEObject Type="Embed" ProgID="PBrush" ShapeID="_x0000_i1025" DrawAspect="Content" ObjectID="_1614496761" r:id="rId12"/>
        </w:object>
      </w:r>
    </w:p>
    <w:p w14:paraId="1DEDF502" w14:textId="77777777" w:rsidR="00304ED5" w:rsidRDefault="00304ED5" w:rsidP="00304ED5">
      <w:pPr>
        <w:pStyle w:val="Antrat"/>
        <w:rPr>
          <w:sz w:val="24"/>
        </w:rPr>
      </w:pPr>
    </w:p>
    <w:p w14:paraId="4CDD1223" w14:textId="77777777" w:rsidR="00304ED5" w:rsidRDefault="00304ED5" w:rsidP="00304ED5">
      <w:pPr>
        <w:pStyle w:val="Antrat"/>
        <w:rPr>
          <w:sz w:val="24"/>
        </w:rPr>
      </w:pPr>
      <w:r>
        <w:rPr>
          <w:sz w:val="24"/>
        </w:rPr>
        <w:t>LIETUVOS RESPUBLIKOS VIDAUS REIKALŲ MINISTERIJA</w:t>
      </w:r>
    </w:p>
    <w:p w14:paraId="580D9C55" w14:textId="77777777" w:rsidR="00304ED5" w:rsidRPr="00DC0AE0" w:rsidRDefault="00304ED5" w:rsidP="00304ED5"/>
    <w:tbl>
      <w:tblPr>
        <w:tblW w:w="0" w:type="auto"/>
        <w:jc w:val="center"/>
        <w:tblBorders>
          <w:bottom w:val="single" w:sz="4" w:space="0" w:color="auto"/>
        </w:tblBorders>
        <w:tblLayout w:type="fixed"/>
        <w:tblLook w:val="0000" w:firstRow="0" w:lastRow="0" w:firstColumn="0" w:lastColumn="0" w:noHBand="0" w:noVBand="0"/>
      </w:tblPr>
      <w:tblGrid>
        <w:gridCol w:w="9402"/>
      </w:tblGrid>
      <w:tr w:rsidR="00304ED5" w:rsidRPr="00733FA3" w14:paraId="42775300" w14:textId="77777777" w:rsidTr="0097122C">
        <w:trPr>
          <w:trHeight w:hRule="exact" w:val="698"/>
          <w:jc w:val="center"/>
        </w:trPr>
        <w:tc>
          <w:tcPr>
            <w:tcW w:w="9402" w:type="dxa"/>
          </w:tcPr>
          <w:p w14:paraId="1D335DFF" w14:textId="77777777" w:rsidR="00304ED5" w:rsidRDefault="00304ED5" w:rsidP="0097122C">
            <w:pPr>
              <w:pStyle w:val="Antrats"/>
              <w:tabs>
                <w:tab w:val="left" w:pos="720"/>
              </w:tabs>
              <w:jc w:val="center"/>
              <w:rPr>
                <w:sz w:val="20"/>
              </w:rPr>
            </w:pPr>
            <w:r>
              <w:rPr>
                <w:sz w:val="20"/>
              </w:rPr>
              <w:t>Biudžetinė įstaiga,  Šventaragio g. 2,  LT-01510  Vilnius,</w:t>
            </w:r>
          </w:p>
          <w:p w14:paraId="56A9AF71" w14:textId="77777777" w:rsidR="00304ED5" w:rsidRDefault="00304ED5" w:rsidP="0097122C">
            <w:pPr>
              <w:pStyle w:val="Antrats"/>
              <w:tabs>
                <w:tab w:val="left" w:pos="720"/>
              </w:tabs>
              <w:jc w:val="center"/>
              <w:rPr>
                <w:sz w:val="20"/>
              </w:rPr>
            </w:pPr>
            <w:r>
              <w:rPr>
                <w:sz w:val="20"/>
              </w:rPr>
              <w:t>tel.: (8 5)  271 7154 / 271 7178,  faks. (8 5)  271 8551,  el. p</w:t>
            </w:r>
            <w:r w:rsidRPr="00E473A3">
              <w:rPr>
                <w:sz w:val="20"/>
              </w:rPr>
              <w:t xml:space="preserve">. </w:t>
            </w:r>
            <w:hyperlink r:id="rId13" w:history="1">
              <w:r w:rsidRPr="00E473A3">
                <w:rPr>
                  <w:rStyle w:val="Hipersaitas"/>
                  <w:color w:val="auto"/>
                  <w:sz w:val="20"/>
                  <w:u w:val="none"/>
                </w:rPr>
                <w:t>bendrasisd@vrm.lt</w:t>
              </w:r>
            </w:hyperlink>
            <w:r>
              <w:rPr>
                <w:sz w:val="20"/>
              </w:rPr>
              <w:t xml:space="preserve"> </w:t>
            </w:r>
          </w:p>
          <w:p w14:paraId="46BC578B" w14:textId="77777777" w:rsidR="00304ED5" w:rsidRDefault="00304ED5" w:rsidP="0097122C">
            <w:pPr>
              <w:pStyle w:val="Antrats"/>
              <w:tabs>
                <w:tab w:val="clear" w:pos="4153"/>
                <w:tab w:val="clear" w:pos="8306"/>
              </w:tabs>
              <w:jc w:val="center"/>
              <w:rPr>
                <w:sz w:val="20"/>
              </w:rPr>
            </w:pPr>
            <w:r>
              <w:rPr>
                <w:sz w:val="20"/>
              </w:rPr>
              <w:t>Duomenys kaupiami ir saugomi Juridinių asmenų registre, kodas 188601464</w:t>
            </w:r>
          </w:p>
        </w:tc>
      </w:tr>
    </w:tbl>
    <w:p w14:paraId="76B8093A" w14:textId="77777777" w:rsidR="00304ED5" w:rsidRDefault="00304ED5" w:rsidP="00304ED5"/>
    <w:tbl>
      <w:tblPr>
        <w:tblW w:w="9923" w:type="dxa"/>
        <w:tblLayout w:type="fixed"/>
        <w:tblLook w:val="0000" w:firstRow="0" w:lastRow="0" w:firstColumn="0" w:lastColumn="0" w:noHBand="0" w:noVBand="0"/>
      </w:tblPr>
      <w:tblGrid>
        <w:gridCol w:w="4962"/>
        <w:gridCol w:w="283"/>
        <w:gridCol w:w="236"/>
        <w:gridCol w:w="1465"/>
        <w:gridCol w:w="2977"/>
      </w:tblGrid>
      <w:tr w:rsidR="00304ED5" w:rsidRPr="005F00D6" w14:paraId="34E9F49D" w14:textId="77777777" w:rsidTr="004F0B0E">
        <w:tc>
          <w:tcPr>
            <w:tcW w:w="4962" w:type="dxa"/>
          </w:tcPr>
          <w:p w14:paraId="5ABC936D" w14:textId="77777777" w:rsidR="0005756F" w:rsidRPr="00B354DC" w:rsidRDefault="0005756F" w:rsidP="0005756F">
            <w:pPr>
              <w:pStyle w:val="Antrats"/>
              <w:tabs>
                <w:tab w:val="clear" w:pos="4153"/>
                <w:tab w:val="clear" w:pos="8306"/>
                <w:tab w:val="left" w:pos="851"/>
              </w:tabs>
              <w:rPr>
                <w:szCs w:val="24"/>
              </w:rPr>
            </w:pPr>
            <w:r w:rsidRPr="00B354DC">
              <w:rPr>
                <w:szCs w:val="24"/>
              </w:rPr>
              <w:t>Europos Komisijos</w:t>
            </w:r>
          </w:p>
          <w:p w14:paraId="0F70AD11" w14:textId="77777777" w:rsidR="0005756F" w:rsidRPr="00B354DC" w:rsidRDefault="0005756F" w:rsidP="0005756F">
            <w:pPr>
              <w:pStyle w:val="Antrats"/>
              <w:tabs>
                <w:tab w:val="clear" w:pos="4153"/>
                <w:tab w:val="clear" w:pos="8306"/>
                <w:tab w:val="left" w:pos="851"/>
              </w:tabs>
              <w:rPr>
                <w:szCs w:val="24"/>
              </w:rPr>
            </w:pPr>
            <w:r>
              <w:rPr>
                <w:szCs w:val="24"/>
              </w:rPr>
              <w:t>g</w:t>
            </w:r>
            <w:r w:rsidRPr="00B354DC">
              <w:rPr>
                <w:szCs w:val="24"/>
              </w:rPr>
              <w:t>eneraliniam sekretoriatui</w:t>
            </w:r>
          </w:p>
          <w:p w14:paraId="70AC314D" w14:textId="77777777" w:rsidR="0005756F" w:rsidRPr="00B354DC" w:rsidRDefault="0005756F" w:rsidP="0005756F">
            <w:pPr>
              <w:pStyle w:val="Antrats"/>
              <w:tabs>
                <w:tab w:val="clear" w:pos="4153"/>
                <w:tab w:val="clear" w:pos="8306"/>
                <w:tab w:val="left" w:pos="851"/>
              </w:tabs>
              <w:rPr>
                <w:szCs w:val="24"/>
              </w:rPr>
            </w:pPr>
            <w:r w:rsidRPr="00B354DC">
              <w:rPr>
                <w:szCs w:val="24"/>
              </w:rPr>
              <w:t>B-1049 Briuselis</w:t>
            </w:r>
          </w:p>
          <w:p w14:paraId="77234495" w14:textId="18EC45CB" w:rsidR="00207064" w:rsidRPr="005F00D6" w:rsidRDefault="0005756F" w:rsidP="0005756F">
            <w:pPr>
              <w:pStyle w:val="Antrats"/>
              <w:tabs>
                <w:tab w:val="clear" w:pos="4153"/>
                <w:tab w:val="clear" w:pos="8306"/>
              </w:tabs>
              <w:rPr>
                <w:color w:val="000000" w:themeColor="text1"/>
              </w:rPr>
            </w:pPr>
            <w:r w:rsidRPr="00B354DC">
              <w:rPr>
                <w:szCs w:val="24"/>
              </w:rPr>
              <w:t>Belgija</w:t>
            </w:r>
          </w:p>
        </w:tc>
        <w:tc>
          <w:tcPr>
            <w:tcW w:w="283" w:type="dxa"/>
          </w:tcPr>
          <w:p w14:paraId="1F0B0E41" w14:textId="77777777" w:rsidR="00304ED5" w:rsidRPr="005F00D6" w:rsidRDefault="00304ED5" w:rsidP="00D74F08">
            <w:pPr>
              <w:pStyle w:val="Antrats"/>
              <w:tabs>
                <w:tab w:val="clear" w:pos="4153"/>
                <w:tab w:val="clear" w:pos="8306"/>
              </w:tabs>
              <w:rPr>
                <w:color w:val="000000" w:themeColor="text1"/>
              </w:rPr>
            </w:pPr>
          </w:p>
        </w:tc>
        <w:tc>
          <w:tcPr>
            <w:tcW w:w="236" w:type="dxa"/>
          </w:tcPr>
          <w:p w14:paraId="062E8C7D" w14:textId="77777777" w:rsidR="00304ED5" w:rsidRPr="005F00D6" w:rsidRDefault="00304ED5" w:rsidP="00D74F08">
            <w:pPr>
              <w:pStyle w:val="Antrats"/>
              <w:tabs>
                <w:tab w:val="clear" w:pos="4153"/>
                <w:tab w:val="clear" w:pos="8306"/>
              </w:tabs>
              <w:jc w:val="right"/>
              <w:rPr>
                <w:color w:val="000000" w:themeColor="text1"/>
              </w:rPr>
            </w:pPr>
          </w:p>
          <w:p w14:paraId="42D045B7" w14:textId="77777777" w:rsidR="00304ED5" w:rsidRPr="005F00D6" w:rsidRDefault="00304ED5" w:rsidP="00D74F08">
            <w:pPr>
              <w:pStyle w:val="Antrats"/>
              <w:tabs>
                <w:tab w:val="clear" w:pos="4153"/>
                <w:tab w:val="clear" w:pos="8306"/>
              </w:tabs>
              <w:jc w:val="right"/>
              <w:rPr>
                <w:color w:val="000000" w:themeColor="text1"/>
              </w:rPr>
            </w:pPr>
          </w:p>
        </w:tc>
        <w:tc>
          <w:tcPr>
            <w:tcW w:w="1465" w:type="dxa"/>
          </w:tcPr>
          <w:p w14:paraId="4B0F610F" w14:textId="771B81C0" w:rsidR="00304ED5" w:rsidRDefault="00207064" w:rsidP="00D74F08">
            <w:pPr>
              <w:pStyle w:val="Antrats"/>
              <w:tabs>
                <w:tab w:val="clear" w:pos="4153"/>
                <w:tab w:val="clear" w:pos="8306"/>
              </w:tabs>
              <w:rPr>
                <w:color w:val="000000" w:themeColor="text1"/>
              </w:rPr>
            </w:pPr>
            <w:r>
              <w:rPr>
                <w:color w:val="000000" w:themeColor="text1"/>
              </w:rPr>
              <w:t xml:space="preserve"> </w:t>
            </w:r>
            <w:r w:rsidR="004F0B0E">
              <w:rPr>
                <w:color w:val="000000" w:themeColor="text1"/>
              </w:rPr>
              <w:t xml:space="preserve"> </w:t>
            </w:r>
            <w:r w:rsidR="006D48B2">
              <w:rPr>
                <w:color w:val="000000" w:themeColor="text1"/>
              </w:rPr>
              <w:t>2019</w:t>
            </w:r>
            <w:r w:rsidR="00304ED5" w:rsidRPr="005F00D6">
              <w:rPr>
                <w:color w:val="000000" w:themeColor="text1"/>
              </w:rPr>
              <w:t>-</w:t>
            </w:r>
            <w:r w:rsidR="007E7843">
              <w:rPr>
                <w:color w:val="000000" w:themeColor="text1"/>
              </w:rPr>
              <w:t>03</w:t>
            </w:r>
            <w:r w:rsidR="005F00D6">
              <w:rPr>
                <w:color w:val="000000" w:themeColor="text1"/>
              </w:rPr>
              <w:t>-</w:t>
            </w:r>
          </w:p>
          <w:p w14:paraId="280B65A6" w14:textId="24360AD2" w:rsidR="00207064" w:rsidRPr="005F00D6" w:rsidRDefault="006D48B2" w:rsidP="004F0B0E">
            <w:pPr>
              <w:pStyle w:val="Antrats"/>
              <w:tabs>
                <w:tab w:val="clear" w:pos="4153"/>
                <w:tab w:val="clear" w:pos="8306"/>
              </w:tabs>
              <w:ind w:left="-202" w:right="-13" w:firstLine="202"/>
              <w:rPr>
                <w:color w:val="000000" w:themeColor="text1"/>
              </w:rPr>
            </w:pPr>
            <w:r>
              <w:rPr>
                <w:color w:val="000000" w:themeColor="text1"/>
              </w:rPr>
              <w:t>Į 2019-01-</w:t>
            </w:r>
            <w:r w:rsidR="00FE70D6">
              <w:rPr>
                <w:color w:val="000000" w:themeColor="text1"/>
              </w:rPr>
              <w:t>2</w:t>
            </w:r>
            <w:r w:rsidR="00F07915">
              <w:rPr>
                <w:color w:val="000000" w:themeColor="text1"/>
              </w:rPr>
              <w:t>5</w:t>
            </w:r>
          </w:p>
        </w:tc>
        <w:tc>
          <w:tcPr>
            <w:tcW w:w="2977" w:type="dxa"/>
          </w:tcPr>
          <w:p w14:paraId="58476C0B" w14:textId="77777777" w:rsidR="00304ED5" w:rsidRDefault="00304ED5" w:rsidP="00D74F08">
            <w:pPr>
              <w:pStyle w:val="Antrats"/>
              <w:tabs>
                <w:tab w:val="clear" w:pos="4153"/>
                <w:tab w:val="clear" w:pos="8306"/>
              </w:tabs>
              <w:rPr>
                <w:color w:val="000000" w:themeColor="text1"/>
              </w:rPr>
            </w:pPr>
            <w:r w:rsidRPr="005F00D6">
              <w:rPr>
                <w:color w:val="000000" w:themeColor="text1"/>
              </w:rPr>
              <w:t>Nr. 1D-</w:t>
            </w:r>
          </w:p>
          <w:p w14:paraId="4708BA90" w14:textId="2AB52BF2" w:rsidR="00207064" w:rsidRPr="005F00D6" w:rsidRDefault="00207064" w:rsidP="00F07915">
            <w:pPr>
              <w:pStyle w:val="Antrats"/>
              <w:tabs>
                <w:tab w:val="clear" w:pos="4153"/>
                <w:tab w:val="clear" w:pos="8306"/>
              </w:tabs>
              <w:rPr>
                <w:color w:val="000000" w:themeColor="text1"/>
              </w:rPr>
            </w:pPr>
            <w:r>
              <w:rPr>
                <w:color w:val="000000" w:themeColor="text1"/>
              </w:rPr>
              <w:t xml:space="preserve">Nr. </w:t>
            </w:r>
            <w:r w:rsidR="00F07915">
              <w:rPr>
                <w:color w:val="000000" w:themeColor="text1"/>
              </w:rPr>
              <w:t>SG-</w:t>
            </w:r>
            <w:proofErr w:type="spellStart"/>
            <w:r w:rsidR="00F07915">
              <w:rPr>
                <w:color w:val="000000" w:themeColor="text1"/>
              </w:rPr>
              <w:t>Greffe</w:t>
            </w:r>
            <w:proofErr w:type="spellEnd"/>
            <w:r w:rsidR="00F07915">
              <w:rPr>
                <w:color w:val="000000" w:themeColor="text1"/>
              </w:rPr>
              <w:t>(2019)D/1432</w:t>
            </w:r>
          </w:p>
        </w:tc>
      </w:tr>
    </w:tbl>
    <w:p w14:paraId="0E59FDC2" w14:textId="77777777" w:rsidR="00572BF7" w:rsidRDefault="00572BF7" w:rsidP="00D74F08">
      <w:pPr>
        <w:pStyle w:val="Antrats"/>
        <w:tabs>
          <w:tab w:val="clear" w:pos="4153"/>
          <w:tab w:val="clear" w:pos="8306"/>
        </w:tabs>
        <w:jc w:val="both"/>
        <w:rPr>
          <w:b/>
          <w:color w:val="000000" w:themeColor="text1"/>
        </w:rPr>
      </w:pPr>
    </w:p>
    <w:p w14:paraId="2D68C356" w14:textId="77777777" w:rsidR="007A721C" w:rsidRDefault="007A721C" w:rsidP="00D74F08">
      <w:pPr>
        <w:pStyle w:val="Antrats"/>
        <w:tabs>
          <w:tab w:val="clear" w:pos="4153"/>
          <w:tab w:val="clear" w:pos="8306"/>
        </w:tabs>
        <w:jc w:val="both"/>
        <w:rPr>
          <w:b/>
          <w:color w:val="000000" w:themeColor="text1"/>
        </w:rPr>
      </w:pPr>
    </w:p>
    <w:p w14:paraId="271A7523" w14:textId="77777777" w:rsidR="00D74F08" w:rsidRPr="004456A8" w:rsidRDefault="009364DC" w:rsidP="00D74F08">
      <w:pPr>
        <w:pStyle w:val="Antrats"/>
        <w:tabs>
          <w:tab w:val="clear" w:pos="4153"/>
          <w:tab w:val="clear" w:pos="8306"/>
        </w:tabs>
        <w:jc w:val="both"/>
        <w:rPr>
          <w:b/>
          <w:color w:val="000000" w:themeColor="text1"/>
          <w:szCs w:val="24"/>
        </w:rPr>
      </w:pPr>
      <w:r w:rsidRPr="004456A8">
        <w:rPr>
          <w:b/>
          <w:color w:val="000000" w:themeColor="text1"/>
          <w:szCs w:val="24"/>
        </w:rPr>
        <w:t>DĖL PRADĖTOS EUROPOS KOMISIJOS EUROPOS SĄJUNGOS TEISĖS PAŽEIDIMO PROCEDŪROS NR. 2017/0377 PAGRĮSTOS NUOMONĖS DĖL DIREKTYVOS (ES) 2015/849 NEPERKĖLIMO Į NACIONALINĘ TEISĘ</w:t>
      </w:r>
    </w:p>
    <w:p w14:paraId="3D0C90B6" w14:textId="77777777" w:rsidR="009364DC" w:rsidRPr="004456A8" w:rsidRDefault="009364DC" w:rsidP="00D74F08">
      <w:pPr>
        <w:pStyle w:val="Antrats"/>
        <w:tabs>
          <w:tab w:val="clear" w:pos="4153"/>
          <w:tab w:val="clear" w:pos="8306"/>
        </w:tabs>
        <w:jc w:val="both"/>
        <w:rPr>
          <w:b/>
          <w:color w:val="000000" w:themeColor="text1"/>
          <w:szCs w:val="24"/>
        </w:rPr>
      </w:pPr>
    </w:p>
    <w:p w14:paraId="515B1307" w14:textId="77777777" w:rsidR="0078766C" w:rsidRPr="004456A8" w:rsidRDefault="009364DC" w:rsidP="0051691F">
      <w:pPr>
        <w:autoSpaceDE w:val="0"/>
        <w:autoSpaceDN w:val="0"/>
        <w:adjustRightInd w:val="0"/>
        <w:jc w:val="both"/>
        <w:rPr>
          <w:color w:val="000000" w:themeColor="text1"/>
          <w:szCs w:val="24"/>
        </w:rPr>
      </w:pPr>
      <w:r w:rsidRPr="004456A8">
        <w:rPr>
          <w:b/>
          <w:color w:val="000000" w:themeColor="text1"/>
          <w:szCs w:val="24"/>
        </w:rPr>
        <w:tab/>
      </w:r>
      <w:r w:rsidRPr="004456A8">
        <w:rPr>
          <w:szCs w:val="24"/>
        </w:rPr>
        <w:t xml:space="preserve">Lietuvos Respublikos vidaus reikalų ministerija (toliau – VRM) išnagrinėjo Europos Komisijos pagrįstą nuomonę </w:t>
      </w:r>
      <w:r w:rsidR="00EA4236" w:rsidRPr="004456A8">
        <w:rPr>
          <w:szCs w:val="24"/>
        </w:rPr>
        <w:t xml:space="preserve">pažeidimo procedūroje Nr. 2017/0377 </w:t>
      </w:r>
      <w:r w:rsidRPr="004456A8">
        <w:rPr>
          <w:szCs w:val="24"/>
        </w:rPr>
        <w:t xml:space="preserve">dėl </w:t>
      </w:r>
      <w:r w:rsidRPr="004456A8">
        <w:rPr>
          <w:color w:val="000000" w:themeColor="text1"/>
          <w:szCs w:val="24"/>
        </w:rPr>
        <w:t>nepranešimo apie priemones, kuriomis į nacionalinę teisę perkeliama 2015 m. gegužės 20 d. Europos Parlamento ir Tarybos direktyva (ES) 2015/849 dėl finansų sistemos naudojimo pinigų plovimui ar teroristų finansavimui prevencijos, kuria iš dalies keičiamas Europos Parlamento ir Tarybos reglamentas (ES) Nr. 648/2012 ir panaikinama Europos Parlamento ir Tarybos direktyva 2005/60/EB bei Komisijos direktyva 2006/70/EB (Tekstas svarbus EEE) (toliau – Direktyva 2015/849</w:t>
      </w:r>
      <w:r w:rsidR="0078766C" w:rsidRPr="004456A8">
        <w:rPr>
          <w:color w:val="000000" w:themeColor="text1"/>
          <w:szCs w:val="24"/>
        </w:rPr>
        <w:t>).</w:t>
      </w:r>
    </w:p>
    <w:p w14:paraId="2BF27730" w14:textId="3C607BAD" w:rsidR="0078766C" w:rsidRPr="004456A8" w:rsidRDefault="0078766C" w:rsidP="0078766C">
      <w:pPr>
        <w:autoSpaceDE w:val="0"/>
        <w:autoSpaceDN w:val="0"/>
        <w:adjustRightInd w:val="0"/>
        <w:ind w:firstLine="720"/>
        <w:jc w:val="both"/>
        <w:rPr>
          <w:color w:val="000000" w:themeColor="text1"/>
          <w:szCs w:val="24"/>
        </w:rPr>
      </w:pPr>
      <w:r w:rsidRPr="004456A8">
        <w:rPr>
          <w:szCs w:val="24"/>
        </w:rPr>
        <w:t xml:space="preserve">Lietuvos Respublika laikosi pozicijos, kad Direktyva 2015/849 yra visiškai perkelta į nacionalinę teisę ir tai buvo pažymėta, notifikuojant </w:t>
      </w:r>
      <w:r w:rsidRPr="004456A8">
        <w:rPr>
          <w:color w:val="000000" w:themeColor="text1"/>
          <w:szCs w:val="24"/>
        </w:rPr>
        <w:t>Direktyvą 2015/849</w:t>
      </w:r>
      <w:r w:rsidRPr="004456A8">
        <w:rPr>
          <w:szCs w:val="24"/>
        </w:rPr>
        <w:t xml:space="preserve"> perkeliančias priemones Europos Komisijai. Todėl, atsižvelgdami į 2007 m. gruodžio 13 d. Lisabonos</w:t>
      </w:r>
      <w:r w:rsidR="000D700B" w:rsidRPr="004456A8">
        <w:rPr>
          <w:szCs w:val="24"/>
        </w:rPr>
        <w:t xml:space="preserve"> sutartimi, iš dalies keičiančia</w:t>
      </w:r>
      <w:r w:rsidRPr="004456A8">
        <w:rPr>
          <w:szCs w:val="24"/>
        </w:rPr>
        <w:t xml:space="preserve"> Europos Sąjungos sutartį ir Europos Bendrijos steigimo sutartį, padarytą skirtumą tarp Europos Sąjungos teisės pažeidimo procedūrų, pradėtų skirtingais pagrindais, ir galimų </w:t>
      </w:r>
      <w:r w:rsidR="007774E2" w:rsidRPr="004456A8">
        <w:rPr>
          <w:szCs w:val="24"/>
        </w:rPr>
        <w:t xml:space="preserve">skirtingų </w:t>
      </w:r>
      <w:bookmarkStart w:id="0" w:name="_GoBack"/>
      <w:bookmarkEnd w:id="0"/>
      <w:r w:rsidRPr="004456A8">
        <w:rPr>
          <w:szCs w:val="24"/>
        </w:rPr>
        <w:t xml:space="preserve">šių procedūrų pasekmių, manome, kad Europos Sąjungos teisės pažeidimo procedūra dėl Direktyvos </w:t>
      </w:r>
      <w:r w:rsidRPr="004456A8">
        <w:rPr>
          <w:color w:val="000000" w:themeColor="text1"/>
          <w:szCs w:val="24"/>
        </w:rPr>
        <w:t>2015/849</w:t>
      </w:r>
      <w:r w:rsidRPr="004456A8">
        <w:rPr>
          <w:szCs w:val="24"/>
        </w:rPr>
        <w:t xml:space="preserve"> nenotifikavimo turėtų būti nutraukta ir, tuo atveju, jei Europos Komisija vis dėlto nesutiktų su Lietuvos Respublikos pateiktais paaiškinimais ir pasirinktu Direktyvos 2015/849 nuostatų perkėlimo </w:t>
      </w:r>
      <w:r w:rsidR="000D700B" w:rsidRPr="004456A8">
        <w:rPr>
          <w:szCs w:val="24"/>
        </w:rPr>
        <w:t xml:space="preserve">į nacionalinę teisę </w:t>
      </w:r>
      <w:r w:rsidRPr="004456A8">
        <w:rPr>
          <w:szCs w:val="24"/>
        </w:rPr>
        <w:t xml:space="preserve">būdu, turėtų būti pradėta nauja Europos Sąjungos teisės pažeidimo procedūra dėl netinkamo </w:t>
      </w:r>
      <w:r w:rsidR="000D700B" w:rsidRPr="004456A8">
        <w:rPr>
          <w:szCs w:val="24"/>
        </w:rPr>
        <w:t>Direktyvos 2015/849</w:t>
      </w:r>
      <w:r w:rsidRPr="004456A8">
        <w:rPr>
          <w:szCs w:val="24"/>
        </w:rPr>
        <w:t xml:space="preserve"> perkėlimo.</w:t>
      </w:r>
    </w:p>
    <w:p w14:paraId="26187D85" w14:textId="62DC69D2" w:rsidR="009364DC" w:rsidRPr="004456A8" w:rsidRDefault="009364DC" w:rsidP="0078766C">
      <w:pPr>
        <w:autoSpaceDE w:val="0"/>
        <w:autoSpaceDN w:val="0"/>
        <w:adjustRightInd w:val="0"/>
        <w:ind w:firstLine="720"/>
        <w:jc w:val="both"/>
        <w:rPr>
          <w:color w:val="000000" w:themeColor="text1"/>
          <w:szCs w:val="24"/>
        </w:rPr>
      </w:pPr>
      <w:r w:rsidRPr="004456A8">
        <w:rPr>
          <w:color w:val="000000" w:themeColor="text1"/>
          <w:szCs w:val="24"/>
        </w:rPr>
        <w:t>Teikiame pastabas ir papildomą informaciją dėl Komisijos nurodytų Direktyvos 2015/849 nuostatų perkėlimo.</w:t>
      </w:r>
      <w:r w:rsidR="0051691F" w:rsidRPr="004456A8">
        <w:rPr>
          <w:color w:val="000000" w:themeColor="text1"/>
          <w:szCs w:val="24"/>
        </w:rPr>
        <w:t xml:space="preserve"> </w:t>
      </w:r>
      <w:r w:rsidR="0051691F" w:rsidRPr="004456A8">
        <w:rPr>
          <w:rFonts w:eastAsiaTheme="minorHAnsi"/>
          <w:szCs w:val="24"/>
        </w:rPr>
        <w:t xml:space="preserve">Tuo tikslu, kad būtų paprasčiau vertinti atsakyme nurodytą informaciją, prie atsakymo pridedame </w:t>
      </w:r>
      <w:r w:rsidR="0051691F" w:rsidRPr="00D34809">
        <w:rPr>
          <w:rFonts w:eastAsiaTheme="minorHAnsi"/>
          <w:bCs/>
          <w:i/>
          <w:iCs/>
          <w:szCs w:val="24"/>
        </w:rPr>
        <w:t>dalinę</w:t>
      </w:r>
      <w:r w:rsidR="0051691F" w:rsidRPr="004456A8">
        <w:rPr>
          <w:rFonts w:eastAsiaTheme="minorHAnsi"/>
          <w:b/>
          <w:bCs/>
          <w:i/>
          <w:iCs/>
          <w:szCs w:val="24"/>
        </w:rPr>
        <w:t xml:space="preserve"> </w:t>
      </w:r>
      <w:r w:rsidR="0051691F" w:rsidRPr="004456A8">
        <w:rPr>
          <w:rFonts w:eastAsiaTheme="minorHAnsi"/>
          <w:szCs w:val="24"/>
        </w:rPr>
        <w:t>Direktyvos (ES) 2015/849 atitikties lentelę (toliau – Atitikties lentelė), kurioje nurodytos tik tos direktyvos nuostatos, dėl kurių oficialiame pranešime teiraujasi Europos Komisija, ir jas perkeliantys nacionaliniai teisės aktai bei pastabos ir paaiškinimai.</w:t>
      </w:r>
    </w:p>
    <w:p w14:paraId="14942445" w14:textId="77777777" w:rsidR="00BC693E" w:rsidRPr="004456A8" w:rsidRDefault="00BC693E" w:rsidP="009364DC">
      <w:pPr>
        <w:pStyle w:val="Antrats"/>
        <w:tabs>
          <w:tab w:val="clear" w:pos="4153"/>
          <w:tab w:val="clear" w:pos="8306"/>
        </w:tabs>
        <w:jc w:val="both"/>
        <w:rPr>
          <w:color w:val="000000" w:themeColor="text1"/>
          <w:szCs w:val="24"/>
        </w:rPr>
      </w:pPr>
    </w:p>
    <w:p w14:paraId="12403373" w14:textId="77777777" w:rsidR="001C5306" w:rsidRPr="004456A8" w:rsidRDefault="00B3186C" w:rsidP="00B3186C">
      <w:pPr>
        <w:ind w:firstLine="851"/>
        <w:jc w:val="both"/>
        <w:rPr>
          <w:b/>
          <w:szCs w:val="24"/>
        </w:rPr>
      </w:pPr>
      <w:r w:rsidRPr="004456A8">
        <w:rPr>
          <w:b/>
          <w:szCs w:val="24"/>
        </w:rPr>
        <w:t>1. Dėl 8 straipsnio 2 dalyje minimų pagrindinių reikalavimų rizikos vertinimui, kurį turi atlikti įpareigotieji subjektai</w:t>
      </w:r>
    </w:p>
    <w:p w14:paraId="44028816" w14:textId="77777777" w:rsidR="00B3186C" w:rsidRPr="004456A8" w:rsidRDefault="00B3186C" w:rsidP="00B3186C">
      <w:pPr>
        <w:ind w:firstLine="851"/>
        <w:jc w:val="both"/>
        <w:rPr>
          <w:szCs w:val="24"/>
          <w:highlight w:val="lightGray"/>
        </w:rPr>
      </w:pPr>
      <w:r w:rsidRPr="004456A8">
        <w:rPr>
          <w:szCs w:val="24"/>
        </w:rPr>
        <w:t>Nuostata: „</w:t>
      </w:r>
      <w:r w:rsidRPr="004456A8">
        <w:rPr>
          <w:i/>
          <w:szCs w:val="24"/>
        </w:rPr>
        <w:t>1 dalyje nurodyti rizikos vertinimai įforminami dokumentais, nuolat atnaujinami ir teikiami atitinkamoms kompetentingoms institucijoms bei atitinkamiems savireguliavimo organams. Kompetentingos institucijos gali nuspręsti, kad atskiri dokumentais įtvirtinti rizikos vertinimai yra nereikalingi, jei konkreti sektoriui būdinga r</w:t>
      </w:r>
      <w:r w:rsidR="001C5306" w:rsidRPr="004456A8">
        <w:rPr>
          <w:i/>
          <w:szCs w:val="24"/>
        </w:rPr>
        <w:t>izika yra aiški ir suprantama.“</w:t>
      </w:r>
    </w:p>
    <w:p w14:paraId="302B8E82" w14:textId="77777777" w:rsidR="00B3186C" w:rsidRPr="004456A8" w:rsidRDefault="00B3186C" w:rsidP="00B3186C">
      <w:pPr>
        <w:ind w:firstLine="851"/>
        <w:jc w:val="both"/>
        <w:rPr>
          <w:szCs w:val="24"/>
        </w:rPr>
      </w:pPr>
      <w:r w:rsidRPr="004456A8">
        <w:rPr>
          <w:szCs w:val="24"/>
        </w:rPr>
        <w:t>Direktyvos 2015/849  8 straipsnio 2 dalies nuostatą į nacionalinę teisę perkelia Lietuvos Respublikos pinigų plovimo ir teroristų finansavimo prevencijos įstatymo (toliau – PPTFPĮ) 29 straipsnis ir 32 straipsnio 1 dalies 4 punktas.</w:t>
      </w:r>
    </w:p>
    <w:p w14:paraId="1206D4E4" w14:textId="77777777" w:rsidR="00B3186C" w:rsidRPr="004456A8" w:rsidRDefault="00B3186C" w:rsidP="00B3186C">
      <w:pPr>
        <w:ind w:firstLine="851"/>
        <w:jc w:val="both"/>
        <w:rPr>
          <w:szCs w:val="24"/>
        </w:rPr>
      </w:pPr>
      <w:r w:rsidRPr="004456A8">
        <w:rPr>
          <w:szCs w:val="24"/>
        </w:rPr>
        <w:lastRenderedPageBreak/>
        <w:t xml:space="preserve">1) </w:t>
      </w:r>
      <w:r w:rsidR="001C5306" w:rsidRPr="004456A8">
        <w:rPr>
          <w:szCs w:val="24"/>
        </w:rPr>
        <w:t>Dėl</w:t>
      </w:r>
      <w:r w:rsidRPr="004456A8">
        <w:rPr>
          <w:szCs w:val="24"/>
        </w:rPr>
        <w:t xml:space="preserve"> rizikos vertinimo įforminim</w:t>
      </w:r>
      <w:r w:rsidR="001C5306" w:rsidRPr="004456A8">
        <w:rPr>
          <w:szCs w:val="24"/>
        </w:rPr>
        <w:t>o</w:t>
      </w:r>
      <w:r w:rsidRPr="004456A8">
        <w:rPr>
          <w:szCs w:val="24"/>
        </w:rPr>
        <w:t xml:space="preserve"> dokumentais pažymėtina, kad finansų įstaigos ir kiti įpareigotieji subjektai privalo </w:t>
      </w:r>
      <w:r w:rsidRPr="004456A8">
        <w:rPr>
          <w:szCs w:val="24"/>
          <w:u w:val="single"/>
        </w:rPr>
        <w:t>nustatyti</w:t>
      </w:r>
      <w:r w:rsidRPr="004456A8">
        <w:rPr>
          <w:szCs w:val="24"/>
        </w:rPr>
        <w:t xml:space="preserve"> atitinkamą vidaus politiką ir vidaus kontrolės procedūras, susijusias su rizikos vertinimu, rizikos valdymu (PPTFPĮ 29 straipsni</w:t>
      </w:r>
      <w:r w:rsidR="00BC693E" w:rsidRPr="004456A8">
        <w:rPr>
          <w:szCs w:val="24"/>
        </w:rPr>
        <w:t>o</w:t>
      </w:r>
      <w:r w:rsidRPr="004456A8">
        <w:rPr>
          <w:szCs w:val="24"/>
        </w:rPr>
        <w:t xml:space="preserve"> 1 dalies 2 punktas), vertindami bent kliento riziką, produktų, paslaugų riziką ir (arba) operacijų riziką, šalies ir (arba) geografinio regi</w:t>
      </w:r>
      <w:r w:rsidR="00BC693E" w:rsidRPr="004456A8">
        <w:rPr>
          <w:szCs w:val="24"/>
        </w:rPr>
        <w:t>ono riziką (PPTFPĮ 29 straipsnio</w:t>
      </w:r>
      <w:r w:rsidRPr="004456A8">
        <w:rPr>
          <w:szCs w:val="24"/>
        </w:rPr>
        <w:t xml:space="preserve"> 2 dalis), atsižvelgti į Europos Komisijos ir nacionalinio pinigų plovimo ir teroristų finansavimo rizikos vertinimo rezultatus bei ki</w:t>
      </w:r>
      <w:r w:rsidR="00BC693E" w:rsidRPr="004456A8">
        <w:rPr>
          <w:szCs w:val="24"/>
        </w:rPr>
        <w:t>tas gaires (PPTFPĮ 29 straipsnio</w:t>
      </w:r>
      <w:r w:rsidRPr="004456A8">
        <w:rPr>
          <w:szCs w:val="24"/>
        </w:rPr>
        <w:t xml:space="preserve"> 3 dalis) ir tinkamai jas patvirtinti (PPTF</w:t>
      </w:r>
      <w:r w:rsidR="00BC693E" w:rsidRPr="004456A8">
        <w:rPr>
          <w:szCs w:val="24"/>
        </w:rPr>
        <w:t>PĮ 29 straipsnio</w:t>
      </w:r>
      <w:r w:rsidRPr="004456A8">
        <w:rPr>
          <w:szCs w:val="24"/>
        </w:rPr>
        <w:t xml:space="preserve"> 5 dalis).</w:t>
      </w:r>
    </w:p>
    <w:p w14:paraId="2B21E321" w14:textId="77777777" w:rsidR="00B3186C" w:rsidRPr="004456A8" w:rsidRDefault="00B3186C" w:rsidP="00B3186C">
      <w:pPr>
        <w:ind w:firstLine="851"/>
        <w:jc w:val="both"/>
        <w:rPr>
          <w:szCs w:val="24"/>
        </w:rPr>
      </w:pPr>
      <w:r w:rsidRPr="004456A8">
        <w:rPr>
          <w:szCs w:val="24"/>
        </w:rPr>
        <w:t xml:space="preserve">2) </w:t>
      </w:r>
      <w:r w:rsidR="001C5306" w:rsidRPr="004456A8">
        <w:rPr>
          <w:szCs w:val="24"/>
        </w:rPr>
        <w:t>Dėl</w:t>
      </w:r>
      <w:r w:rsidRPr="004456A8">
        <w:rPr>
          <w:szCs w:val="24"/>
        </w:rPr>
        <w:t xml:space="preserve"> rizikos vertinimo nuolatinio atnaujin</w:t>
      </w:r>
      <w:r w:rsidR="001C5306" w:rsidRPr="004456A8">
        <w:rPr>
          <w:szCs w:val="24"/>
        </w:rPr>
        <w:t>imo poreikio</w:t>
      </w:r>
      <w:r w:rsidRPr="004456A8">
        <w:rPr>
          <w:szCs w:val="24"/>
        </w:rPr>
        <w:t xml:space="preserve"> pažymėtina, kad finansų įstaigos ir kiti įpareigotieji subjektai </w:t>
      </w:r>
      <w:r w:rsidRPr="004456A8">
        <w:rPr>
          <w:szCs w:val="24"/>
          <w:u w:val="single"/>
        </w:rPr>
        <w:t>periodiškai ar įvykus svarbiems finansų įstaigų ir kitų įpareigotųjų subjektų valdymo ir veiklos įvykiams ar pokyčiams</w:t>
      </w:r>
      <w:r w:rsidRPr="004456A8">
        <w:rPr>
          <w:szCs w:val="24"/>
        </w:rPr>
        <w:t xml:space="preserve"> vykdo vidaus kontrolės procedūrų įgyvendinimo bei pakankamumo stebėseną ir prireikus griežtina finansų įstaigų ir kitų įpareigotųjų subjektų taikomas vidaus kontrolės procedūras</w:t>
      </w:r>
      <w:r w:rsidR="00BC693E" w:rsidRPr="004456A8">
        <w:rPr>
          <w:szCs w:val="24"/>
        </w:rPr>
        <w:t xml:space="preserve"> (PPTFPĮ 29 straipsnio</w:t>
      </w:r>
      <w:r w:rsidRPr="004456A8">
        <w:rPr>
          <w:szCs w:val="24"/>
        </w:rPr>
        <w:t xml:space="preserve"> 6 dalis) bei taiko veiksmingas šios rizikos mažinimo priemones</w:t>
      </w:r>
      <w:r w:rsidR="00BC693E" w:rsidRPr="004456A8">
        <w:rPr>
          <w:szCs w:val="24"/>
        </w:rPr>
        <w:t xml:space="preserve"> (PPTFPĮ 29 straipsnio</w:t>
      </w:r>
      <w:r w:rsidRPr="004456A8">
        <w:rPr>
          <w:szCs w:val="24"/>
        </w:rPr>
        <w:t xml:space="preserve"> 7 dalis).</w:t>
      </w:r>
    </w:p>
    <w:p w14:paraId="70E7F039" w14:textId="77777777" w:rsidR="009859ED" w:rsidRPr="004456A8" w:rsidRDefault="00B3186C" w:rsidP="009859ED">
      <w:pPr>
        <w:ind w:firstLine="720"/>
        <w:jc w:val="both"/>
        <w:rPr>
          <w:szCs w:val="24"/>
        </w:rPr>
      </w:pPr>
      <w:r w:rsidRPr="004456A8">
        <w:rPr>
          <w:szCs w:val="24"/>
        </w:rPr>
        <w:t xml:space="preserve">3) Svarstant rizikos vertinimo teikimo atitinkamoms kompetentingoms institucijoms bei atitinkamiems savireguliavimo organams klausimą pažymėtina, kad priežiūros institucijų teisė tikrinti dokumentus, kitus patikrinimui reikalingus duomenis, </w:t>
      </w:r>
      <w:r w:rsidRPr="004456A8">
        <w:rPr>
          <w:szCs w:val="24"/>
          <w:u w:val="single"/>
        </w:rPr>
        <w:t>gauti dokumentų kopijas ir išrašus</w:t>
      </w:r>
      <w:r w:rsidRPr="004456A8">
        <w:rPr>
          <w:szCs w:val="24"/>
        </w:rPr>
        <w:t xml:space="preserve"> įtvirtinta PPTFPĮ 32 straipsnio 1 dalies 4 punkte.</w:t>
      </w:r>
    </w:p>
    <w:p w14:paraId="4E133A96" w14:textId="3CE65B84" w:rsidR="00B3186C" w:rsidRPr="004456A8" w:rsidRDefault="009859ED" w:rsidP="009859ED">
      <w:pPr>
        <w:ind w:firstLine="720"/>
        <w:jc w:val="both"/>
        <w:rPr>
          <w:szCs w:val="24"/>
        </w:rPr>
      </w:pPr>
      <w:r w:rsidRPr="004456A8">
        <w:rPr>
          <w:szCs w:val="24"/>
        </w:rPr>
        <w:t>Pažymėtina, kad įpareigotųjų subjektų rizikos vertinimai turi būti teikiami atitinkamoms kompetentingoms institucijoms bei atitinkamiems savireguliavimo organams pagal jų pareikalavimą, o ne nuolat. Priešingas Direktyvos 2015/849  aiškinimas reikštų, kad visos finansų įstaigos ir kiti įpareigotieji subjektai (Lietuvoje apytikslis skaičius – 7000) maždaug kasmet kompetentingoms institucijoms teiktų ženkliai perteklinę informaciją, kuri nebūtų tikslinga kompetentingų institucijų funkcijų vykdymui, ir neatitiktų rizika grindžiamo priežiūros metodo. Lietuva netaiko išimčių, kada finansų įstaigos ar kiti įpareigotieji subjektai turėtų teisę nesiimti veiksmų jiems kylančiai pinigų plovimo ir teroristų finansavimo rizikai nustatyti ir įvertinti, t.</w:t>
      </w:r>
      <w:r w:rsidR="007C7E9F" w:rsidRPr="004456A8">
        <w:rPr>
          <w:szCs w:val="24"/>
        </w:rPr>
        <w:t xml:space="preserve"> </w:t>
      </w:r>
      <w:r w:rsidRPr="004456A8">
        <w:rPr>
          <w:szCs w:val="24"/>
        </w:rPr>
        <w:t>y.</w:t>
      </w:r>
      <w:r w:rsidR="007C7E9F" w:rsidRPr="004456A8">
        <w:rPr>
          <w:szCs w:val="24"/>
        </w:rPr>
        <w:t>,</w:t>
      </w:r>
      <w:r w:rsidRPr="004456A8">
        <w:rPr>
          <w:szCs w:val="24"/>
        </w:rPr>
        <w:t xml:space="preserve"> visos finansų įstaigos ir kiti įpareigotieji subjektai privalo imtis veiksmų jiems kylančiai pinigų plovimo ir teroristų finansavimo rizikai nustatyti ir įvertinti, kadangi dėl sektoriams kylančios rizikos faktorių nuolatinio kitimo, nėra nustatyta  aiški ir suprantama sektoriui  būdinga rizika.  Atsižvelgiant į tai, Lietuvoje nenustatyta teisė nuspręsti, kad rizikos vertinimai yra nereikalingi. Pažymėtina, jog šis reglamentavimas užtikrina finansų įstaigoms ar kitiems įpareigotiesiems subjektams kylančios pinigų plovimo ir teroristų finansavimo rizikos įvertinimų aktualumą.</w:t>
      </w:r>
    </w:p>
    <w:p w14:paraId="52BB5EEA" w14:textId="78FD4B1D" w:rsidR="004A412F" w:rsidRPr="004456A8" w:rsidRDefault="00B3186C" w:rsidP="00B3186C">
      <w:pPr>
        <w:ind w:firstLine="851"/>
        <w:jc w:val="both"/>
        <w:rPr>
          <w:szCs w:val="24"/>
        </w:rPr>
      </w:pPr>
      <w:r w:rsidRPr="004456A8">
        <w:rPr>
          <w:szCs w:val="24"/>
        </w:rPr>
        <w:t xml:space="preserve">Atsižvelgiant į tai, kad pagal PPTFPĮ finansų įstaigų ir kitų įpareigotųjų subjektų rizikos vertinimai įforminami dokumentais, nuolat atnaujinami, atsižvelgiant į Europos Komisijos ir nacionalinio pinigų plovimo ir teroristų finansavimo rizikos vertinimo rezultatus, ir teikiami atitinkamoms kompetentingoms institucijoms bei atitinkamiems savireguliavimo organams, </w:t>
      </w:r>
      <w:r w:rsidR="00080437" w:rsidRPr="004456A8">
        <w:rPr>
          <w:szCs w:val="24"/>
        </w:rPr>
        <w:t xml:space="preserve">laikome </w:t>
      </w:r>
      <w:r w:rsidRPr="004456A8">
        <w:rPr>
          <w:szCs w:val="24"/>
        </w:rPr>
        <w:t xml:space="preserve">Direktyvos 2015/849  </w:t>
      </w:r>
      <w:r w:rsidR="00080437" w:rsidRPr="004456A8">
        <w:rPr>
          <w:szCs w:val="24"/>
        </w:rPr>
        <w:t xml:space="preserve">8 straipsnio 2 dalies </w:t>
      </w:r>
      <w:r w:rsidR="00334863" w:rsidRPr="004456A8">
        <w:rPr>
          <w:szCs w:val="24"/>
        </w:rPr>
        <w:t xml:space="preserve">nuostata </w:t>
      </w:r>
      <w:r w:rsidR="00080437" w:rsidRPr="004456A8">
        <w:rPr>
          <w:szCs w:val="24"/>
        </w:rPr>
        <w:t>visiškai perkelta</w:t>
      </w:r>
      <w:r w:rsidR="004A412F" w:rsidRPr="004456A8">
        <w:rPr>
          <w:szCs w:val="24"/>
        </w:rPr>
        <w:t xml:space="preserve"> į nacionalinę teisę.</w:t>
      </w:r>
    </w:p>
    <w:p w14:paraId="7935095A" w14:textId="77777777" w:rsidR="00B3186C" w:rsidRPr="004456A8" w:rsidRDefault="00B3186C" w:rsidP="00B3186C">
      <w:pPr>
        <w:ind w:firstLine="851"/>
        <w:jc w:val="both"/>
        <w:rPr>
          <w:szCs w:val="24"/>
        </w:rPr>
      </w:pPr>
      <w:r w:rsidRPr="004456A8">
        <w:rPr>
          <w:szCs w:val="24"/>
        </w:rPr>
        <w:t xml:space="preserve">Direktyvos 2015/849  </w:t>
      </w:r>
      <w:r w:rsidR="004A412F" w:rsidRPr="004456A8">
        <w:rPr>
          <w:szCs w:val="24"/>
        </w:rPr>
        <w:t xml:space="preserve">nuostatų ir nacionalinių teisės aktų atitikties lentelėje (pridedama, toliau – Atitikties lentelė) ties Direktyvos 2015/849 8 straipsnio 2 dalimi, </w:t>
      </w:r>
      <w:r w:rsidRPr="004456A8">
        <w:rPr>
          <w:szCs w:val="24"/>
        </w:rPr>
        <w:t>papildomai nurodome PPTFPĮ 29 straipsnio 3, 6 ir 7 dalis, 32 straipsnio 1 dalies 4 punktą.</w:t>
      </w:r>
    </w:p>
    <w:p w14:paraId="02B4B371" w14:textId="77777777" w:rsidR="00B3186C" w:rsidRPr="004456A8" w:rsidRDefault="00B3186C" w:rsidP="00B3186C">
      <w:pPr>
        <w:ind w:firstLine="851"/>
        <w:jc w:val="both"/>
        <w:rPr>
          <w:szCs w:val="24"/>
          <w:highlight w:val="lightGray"/>
        </w:rPr>
      </w:pPr>
    </w:p>
    <w:p w14:paraId="69549F56" w14:textId="77777777" w:rsidR="004A412F" w:rsidRPr="004456A8" w:rsidRDefault="00B3186C" w:rsidP="00B3186C">
      <w:pPr>
        <w:ind w:firstLine="851"/>
        <w:jc w:val="both"/>
        <w:rPr>
          <w:b/>
          <w:szCs w:val="24"/>
        </w:rPr>
      </w:pPr>
      <w:r w:rsidRPr="004456A8">
        <w:rPr>
          <w:b/>
          <w:szCs w:val="24"/>
        </w:rPr>
        <w:t>2. Dėl 13 straipsnio 3 dalies, kurioje nustatyta, kad įpareigotieji subjektai, vertindami pinigų plovimo ir teroristų finansavimo riziką, privalo atsižvelgti bent jau į I priede nustatytus kintamuosius</w:t>
      </w:r>
    </w:p>
    <w:p w14:paraId="6E71834E" w14:textId="77777777" w:rsidR="00B3186C" w:rsidRPr="004456A8" w:rsidRDefault="00B3186C" w:rsidP="00B3186C">
      <w:pPr>
        <w:ind w:firstLine="851"/>
        <w:jc w:val="both"/>
        <w:rPr>
          <w:szCs w:val="24"/>
        </w:rPr>
      </w:pPr>
      <w:r w:rsidRPr="004456A8">
        <w:rPr>
          <w:szCs w:val="24"/>
        </w:rPr>
        <w:t>Nuostata: „</w:t>
      </w:r>
      <w:r w:rsidRPr="004456A8">
        <w:rPr>
          <w:i/>
          <w:szCs w:val="24"/>
        </w:rPr>
        <w:t>Valstybės narės reikalauja, kad įpareigotieji subjektai, vertindami pinigų plovimo ir teroristų finansavimo riziką, atsižvelgtų bent jau į I priede nustatytus kintamuosius</w:t>
      </w:r>
      <w:r w:rsidR="004A412F" w:rsidRPr="004456A8">
        <w:rPr>
          <w:szCs w:val="24"/>
        </w:rPr>
        <w:t>.“</w:t>
      </w:r>
    </w:p>
    <w:p w14:paraId="13C728BF" w14:textId="77777777" w:rsidR="00B3186C" w:rsidRPr="004456A8" w:rsidRDefault="00B3186C" w:rsidP="00B3186C">
      <w:pPr>
        <w:ind w:firstLine="851"/>
        <w:jc w:val="both"/>
        <w:rPr>
          <w:szCs w:val="24"/>
        </w:rPr>
      </w:pPr>
      <w:r w:rsidRPr="004456A8">
        <w:rPr>
          <w:szCs w:val="24"/>
        </w:rPr>
        <w:t>Direktyvos 2015/849  13 straipsnio 3 dalies nuostatą į nacionalinę teisę perkelia PPTFPĮ 9 straipsnio 16 dalis, sistemiškai su 9 straipsnio 13–14 dalimis.</w:t>
      </w:r>
    </w:p>
    <w:p w14:paraId="5A72DFF5" w14:textId="77777777" w:rsidR="00B3186C" w:rsidRPr="004456A8" w:rsidRDefault="00B3186C" w:rsidP="00B3186C">
      <w:pPr>
        <w:ind w:firstLine="851"/>
        <w:jc w:val="both"/>
        <w:rPr>
          <w:szCs w:val="24"/>
        </w:rPr>
      </w:pPr>
      <w:r w:rsidRPr="004456A8">
        <w:rPr>
          <w:szCs w:val="24"/>
        </w:rPr>
        <w:t xml:space="preserve">Pažymėtina, kad informaciją apie sąskaitos ar santykių tikslą, numatomas sandorių apimtis ir periodiškumą – t. y. numatomą pobūdį – finansų įstaigos ir kiti įpareigotieji subjektai privalo surinkti visais atvejais, kai yra nustatoma kliento ir naudos gavėjo tapatybė (PPTFPĮ 9 straipsnio 14 dalis). Pagal PPTFPĮ 9 straipsnio 16 dalį, finansų įstaigos ir kiti įpareigotieji subjektai visais atvejais privalo vykdyti nuolatinę kliento dalykinių santykių stebėseną, įskaitant sandorių, kurie buvo sudaryti tokių </w:t>
      </w:r>
      <w:r w:rsidRPr="004456A8">
        <w:rPr>
          <w:szCs w:val="24"/>
        </w:rPr>
        <w:lastRenderedPageBreak/>
        <w:t xml:space="preserve">santykių metu, tyrimą, siekiant užtikrinti, kad vykdomi sandoriai atitiktų finansų įstaigų ar kitų įpareigotųjų subjektų turimą informaciją apie klientą, jo verslą, </w:t>
      </w:r>
      <w:r w:rsidRPr="004456A8">
        <w:rPr>
          <w:szCs w:val="24"/>
          <w:u w:val="single"/>
        </w:rPr>
        <w:t>rizikos pobūdį</w:t>
      </w:r>
      <w:r w:rsidRPr="004456A8">
        <w:rPr>
          <w:szCs w:val="24"/>
        </w:rPr>
        <w:t xml:space="preserve"> ir lėšų šaltinį.</w:t>
      </w:r>
    </w:p>
    <w:p w14:paraId="625BBF70" w14:textId="4F42FF7F" w:rsidR="00B5395A" w:rsidRPr="004456A8" w:rsidRDefault="009B138C" w:rsidP="00B3186C">
      <w:pPr>
        <w:ind w:firstLine="851"/>
        <w:jc w:val="both"/>
        <w:rPr>
          <w:szCs w:val="24"/>
        </w:rPr>
      </w:pPr>
      <w:r w:rsidRPr="004456A8">
        <w:rPr>
          <w:szCs w:val="24"/>
        </w:rPr>
        <w:t xml:space="preserve">Direktyvos 2015/849 I priedo i ir ii punktų nuostatos, reikalaujančios vertinti sąskaitos ar santykių tikslą bei vertinti įnešamo turto arba vykdomų sandorių dydį bei verslo santykių periodiškumą arba trukmę, numatomos reikalavimu iš kliento gauti informaciją apie kliento dalykinių santykių tikslą ir numatomą pobūdį.  </w:t>
      </w:r>
      <w:r w:rsidR="00B5395A" w:rsidRPr="004456A8">
        <w:rPr>
          <w:szCs w:val="24"/>
        </w:rPr>
        <w:t xml:space="preserve">Pažymėtina, kad </w:t>
      </w:r>
      <w:r w:rsidRPr="004456A8">
        <w:rPr>
          <w:szCs w:val="24"/>
        </w:rPr>
        <w:t xml:space="preserve">toks veiksmas, kaip sąskaitos atidarymas, irgi laikomas dalykinių santykių dalimi, o pats </w:t>
      </w:r>
      <w:r w:rsidR="00B5395A" w:rsidRPr="004456A8">
        <w:rPr>
          <w:szCs w:val="24"/>
        </w:rPr>
        <w:t>terminas „dalykinių santykių pobūdis“ apima informacijos apie numatomą dalykinių santykių periodiškumą ir trukmę surinkimą.</w:t>
      </w:r>
      <w:r w:rsidRPr="004456A8">
        <w:rPr>
          <w:szCs w:val="24"/>
        </w:rPr>
        <w:t xml:space="preserve"> </w:t>
      </w:r>
    </w:p>
    <w:p w14:paraId="0406992B" w14:textId="77777777" w:rsidR="00B3186C" w:rsidRPr="004456A8" w:rsidRDefault="00B3186C" w:rsidP="00B3186C">
      <w:pPr>
        <w:ind w:firstLine="851"/>
        <w:jc w:val="both"/>
        <w:rPr>
          <w:szCs w:val="24"/>
          <w:highlight w:val="lightGray"/>
        </w:rPr>
      </w:pPr>
      <w:r w:rsidRPr="004456A8">
        <w:rPr>
          <w:szCs w:val="24"/>
        </w:rPr>
        <w:t xml:space="preserve">Atsižvelgiant į tai, kad pagal PPTFPĮ finansų įstaigos ir kiti įpareigotieji subjektai surenka informaciją apie sąskaitos ar santykių tikslą, numatomą pobūdį, nustato rizikos pobūdį ir nuolat stebi šios informacijos atitiktį, </w:t>
      </w:r>
      <w:r w:rsidR="009705F0" w:rsidRPr="004456A8">
        <w:rPr>
          <w:szCs w:val="24"/>
        </w:rPr>
        <w:t>laikytume</w:t>
      </w:r>
      <w:r w:rsidR="00855D94" w:rsidRPr="004456A8">
        <w:rPr>
          <w:szCs w:val="24"/>
        </w:rPr>
        <w:t xml:space="preserve">, kad </w:t>
      </w:r>
      <w:r w:rsidRPr="004456A8">
        <w:rPr>
          <w:szCs w:val="24"/>
        </w:rPr>
        <w:t>Direktyvos 2015/849 13 straipsnio 3 dalies nuostata į nacionalinę teisę perkelta</w:t>
      </w:r>
      <w:r w:rsidR="00855D94" w:rsidRPr="004456A8">
        <w:rPr>
          <w:szCs w:val="24"/>
        </w:rPr>
        <w:t xml:space="preserve"> visiškai</w:t>
      </w:r>
      <w:r w:rsidRPr="004456A8">
        <w:rPr>
          <w:szCs w:val="24"/>
        </w:rPr>
        <w:t>.</w:t>
      </w:r>
    </w:p>
    <w:p w14:paraId="0C2EADF6" w14:textId="77777777" w:rsidR="00B3186C" w:rsidRPr="004456A8" w:rsidRDefault="00B3186C" w:rsidP="00B3186C">
      <w:pPr>
        <w:ind w:firstLine="851"/>
        <w:jc w:val="both"/>
        <w:rPr>
          <w:szCs w:val="24"/>
        </w:rPr>
      </w:pPr>
      <w:r w:rsidRPr="004456A8">
        <w:rPr>
          <w:szCs w:val="24"/>
        </w:rPr>
        <w:tab/>
      </w:r>
    </w:p>
    <w:p w14:paraId="75D477B4" w14:textId="77777777" w:rsidR="009705F0" w:rsidRPr="004456A8" w:rsidRDefault="00B3186C" w:rsidP="00B3186C">
      <w:pPr>
        <w:ind w:firstLine="851"/>
        <w:jc w:val="both"/>
        <w:rPr>
          <w:b/>
          <w:szCs w:val="24"/>
        </w:rPr>
      </w:pPr>
      <w:r w:rsidRPr="004456A8">
        <w:rPr>
          <w:b/>
          <w:szCs w:val="24"/>
        </w:rPr>
        <w:t xml:space="preserve">3. Dėl 13 straipsnio 5 dalies paskutinio sakinio, pagal kurį gyvybės draudimo ar kito su investicijomis susijusio draudimo atveju turi būti nustatoma tikrojo savininko tapatybė </w:t>
      </w:r>
    </w:p>
    <w:p w14:paraId="73011D36" w14:textId="77777777" w:rsidR="00B3186C" w:rsidRPr="004456A8" w:rsidRDefault="00B3186C" w:rsidP="00B3186C">
      <w:pPr>
        <w:ind w:firstLine="851"/>
        <w:jc w:val="both"/>
        <w:rPr>
          <w:szCs w:val="24"/>
        </w:rPr>
      </w:pPr>
      <w:r w:rsidRPr="004456A8">
        <w:rPr>
          <w:szCs w:val="24"/>
        </w:rPr>
        <w:t>Nuostata: „&lt;...&gt;</w:t>
      </w:r>
      <w:r w:rsidRPr="004456A8">
        <w:rPr>
          <w:i/>
          <w:szCs w:val="24"/>
        </w:rPr>
        <w:t>Kai gyvybės draudimas ar kitas su investicijomis susijęs draudimas visiškai arba iš dalies perduodamas trečiajai šaliai, kredito įstaigos ir finansų įstaigos, žinodamos apie perdavimą, tikrojo savininko tapatybę nustato draudimą perduodant fiziniam ar juridiniam asmeniui arba juridiniam vienetui, savo naudai gaunantiems perduodamos draudimo sutarties vertę</w:t>
      </w:r>
      <w:r w:rsidR="009705F0" w:rsidRPr="004456A8">
        <w:rPr>
          <w:szCs w:val="24"/>
        </w:rPr>
        <w:t>.“</w:t>
      </w:r>
    </w:p>
    <w:p w14:paraId="0CCAA552" w14:textId="77777777" w:rsidR="00B3186C" w:rsidRPr="004456A8" w:rsidRDefault="00B3186C" w:rsidP="00B3186C">
      <w:pPr>
        <w:ind w:firstLine="851"/>
        <w:jc w:val="both"/>
        <w:rPr>
          <w:szCs w:val="24"/>
        </w:rPr>
      </w:pPr>
      <w:r w:rsidRPr="004456A8">
        <w:rPr>
          <w:szCs w:val="24"/>
        </w:rPr>
        <w:t xml:space="preserve">Direktyvos 2015/849 13 straipsnio 5 dalies paskutinio sakinio nuostatą į nacionalinę teisę perkelia PPTFPĮ 9 straipsnio 6 dalis, kuri įtvirtina draudimo sutartyje nurodyto asmens, turinčio teisę gauti draudimo išmoką, tapatybės nustatymo reikalavimus – surenkamus duomenis apie konkrečiai įvardytą išmokos gavėją ir išmokų gavėjus, kurie nurodomi pagal požymius ar klasę arba kitais būdais. Draudimo sutartyje nurodytam asmeniui, turinčiam teisę gauti draudimo išmoką, pasikeitus, vadovaujantis PPTFPĮ 9 straipsnio 6 dalimi, jis būtų nustatomas surenkant duomenis tiek apie konkrečiai įvardytą išmokos gavėją, tiek apie išmokų gavėjus, kurie nurodomi pagal požymius ar klasę arba kitais būdais. </w:t>
      </w:r>
    </w:p>
    <w:p w14:paraId="5534E246" w14:textId="77777777" w:rsidR="00B3186C" w:rsidRPr="004456A8" w:rsidRDefault="00B3186C" w:rsidP="00B3186C">
      <w:pPr>
        <w:ind w:firstLine="851"/>
        <w:jc w:val="both"/>
        <w:rPr>
          <w:szCs w:val="24"/>
        </w:rPr>
      </w:pPr>
      <w:r w:rsidRPr="004456A8">
        <w:rPr>
          <w:szCs w:val="24"/>
        </w:rPr>
        <w:t xml:space="preserve">Atsižvelgiant į tai, kad pagal PPTFPĮ 9 straipsnio 6 dalį išmokos gavėjo tapatybė yra nustatoma, kai draudimas visiškai arba iš dalies perduodamas trečiajai šaliai, </w:t>
      </w:r>
      <w:r w:rsidR="00734135" w:rsidRPr="004456A8">
        <w:rPr>
          <w:szCs w:val="24"/>
        </w:rPr>
        <w:t xml:space="preserve">manome, kad </w:t>
      </w:r>
      <w:r w:rsidRPr="004456A8">
        <w:rPr>
          <w:szCs w:val="24"/>
        </w:rPr>
        <w:t>Direktyvos 2015/849 13 straipsnio 5 dalies nuostata į nacionalinę teisę perkelta</w:t>
      </w:r>
      <w:r w:rsidR="00775490" w:rsidRPr="004456A8">
        <w:rPr>
          <w:szCs w:val="24"/>
        </w:rPr>
        <w:t xml:space="preserve"> visiškai</w:t>
      </w:r>
      <w:r w:rsidRPr="004456A8">
        <w:rPr>
          <w:szCs w:val="24"/>
        </w:rPr>
        <w:t>.</w:t>
      </w:r>
    </w:p>
    <w:p w14:paraId="68D98D11" w14:textId="77777777" w:rsidR="00B3186C" w:rsidRPr="004456A8" w:rsidRDefault="00B3186C" w:rsidP="00B3186C">
      <w:pPr>
        <w:ind w:firstLine="851"/>
        <w:jc w:val="both"/>
        <w:rPr>
          <w:szCs w:val="24"/>
        </w:rPr>
      </w:pPr>
    </w:p>
    <w:p w14:paraId="7D05A5C1" w14:textId="77777777" w:rsidR="00734135" w:rsidRPr="004456A8" w:rsidRDefault="00B3186C" w:rsidP="00B3186C">
      <w:pPr>
        <w:ind w:firstLine="851"/>
        <w:jc w:val="both"/>
        <w:rPr>
          <w:szCs w:val="24"/>
        </w:rPr>
      </w:pPr>
      <w:r w:rsidRPr="004456A8">
        <w:rPr>
          <w:b/>
          <w:szCs w:val="24"/>
        </w:rPr>
        <w:t xml:space="preserve">4. Dėl 28 straipsnio dėl sąlygų, pagal kurias taikant grupės programas tikrinama, ar įpareigotasis subjektas laikosi direktyvos 26 ir 27 straipsniuose nustatytų reikalavimų </w:t>
      </w:r>
    </w:p>
    <w:p w14:paraId="5CB4E27C" w14:textId="77777777" w:rsidR="00B3186C" w:rsidRPr="004456A8" w:rsidRDefault="00B3186C" w:rsidP="00B3186C">
      <w:pPr>
        <w:ind w:firstLine="851"/>
        <w:jc w:val="both"/>
        <w:rPr>
          <w:szCs w:val="24"/>
        </w:rPr>
      </w:pPr>
      <w:r w:rsidRPr="004456A8">
        <w:rPr>
          <w:szCs w:val="24"/>
        </w:rPr>
        <w:t>Nuostata: „</w:t>
      </w:r>
      <w:r w:rsidRPr="004456A8">
        <w:rPr>
          <w:i/>
          <w:szCs w:val="24"/>
        </w:rPr>
        <w:t>Valstybės narės užtikrina, kad buveinės valstybės narės kompetentinga institucija (kiek tai susiję su visos grupės politika ir procedūromis) ir priimančiosios valstybės narės kompetentinga institucija (kiek tai susiję su filialais ir patronuojamosiomis įmonėmis) galėtų laikyti, kad įpareigotasis subjektas laikosi pagal 26 ir 27 straipsnius priimtų nuostatų taikydamas savo grupės programą, kai laikomasi visų šių sąlygų: a) įpareigotasis subjektas remiasi trečiosios šalies, kuri priklauso tai pačiai grupei, pateikta informacija; b) ta grupė taiko deramo klientų tikrinimo priemones, įrašų saugojimo taisykles ir kovos su pinigų plovimu bei teroristų finansavimu programas pagal šią direktyvą arba lygiavertes taisykles; c) buveinės valstybės narės arba trečiosios valstybės kompetentinga institucija grupės lygiu prižiūri, ar veiksmingai įgyvendinami b punkte nurodyti reikalavimai.</w:t>
      </w:r>
      <w:r w:rsidR="00734135" w:rsidRPr="004456A8">
        <w:rPr>
          <w:szCs w:val="24"/>
        </w:rPr>
        <w:t>“</w:t>
      </w:r>
    </w:p>
    <w:p w14:paraId="1A9A213F" w14:textId="41256B6E" w:rsidR="00F62786" w:rsidRPr="004456A8" w:rsidRDefault="00F62786" w:rsidP="00F62786">
      <w:pPr>
        <w:ind w:firstLine="720"/>
        <w:jc w:val="both"/>
        <w:rPr>
          <w:color w:val="000000" w:themeColor="text1"/>
          <w:szCs w:val="24"/>
        </w:rPr>
      </w:pPr>
      <w:r w:rsidRPr="004456A8">
        <w:rPr>
          <w:color w:val="000000" w:themeColor="text1"/>
          <w:szCs w:val="24"/>
        </w:rPr>
        <w:t xml:space="preserve">Lietuvos teisės aktais numatytas reglamentavimas užtikrina, kad </w:t>
      </w:r>
      <w:r w:rsidR="009E4A08" w:rsidRPr="004456A8">
        <w:rPr>
          <w:color w:val="000000" w:themeColor="text1"/>
          <w:szCs w:val="24"/>
        </w:rPr>
        <w:t xml:space="preserve">įpareigotasis subjektas </w:t>
      </w:r>
      <w:r w:rsidRPr="004456A8">
        <w:rPr>
          <w:color w:val="000000" w:themeColor="text1"/>
          <w:szCs w:val="24"/>
        </w:rPr>
        <w:t>laikosi visų šių sąlygų:</w:t>
      </w:r>
    </w:p>
    <w:p w14:paraId="25FA2CD4" w14:textId="77777777" w:rsidR="00F62786" w:rsidRPr="004456A8" w:rsidRDefault="00F62786" w:rsidP="009E4A08">
      <w:pPr>
        <w:ind w:firstLine="720"/>
        <w:jc w:val="both"/>
        <w:rPr>
          <w:color w:val="000000" w:themeColor="text1"/>
          <w:szCs w:val="24"/>
        </w:rPr>
      </w:pPr>
      <w:r w:rsidRPr="004456A8">
        <w:rPr>
          <w:color w:val="000000" w:themeColor="text1"/>
          <w:szCs w:val="24"/>
        </w:rPr>
        <w:t>a) įpareigotasis subjektas remiasi trečiosios šalies, kuri priklauso tai pačiai grupei, pateikta informacija;</w:t>
      </w:r>
    </w:p>
    <w:p w14:paraId="09968AAC" w14:textId="77777777" w:rsidR="00F62786" w:rsidRPr="004456A8" w:rsidRDefault="00F62786" w:rsidP="009E4A08">
      <w:pPr>
        <w:ind w:firstLine="720"/>
        <w:jc w:val="both"/>
        <w:rPr>
          <w:color w:val="000000" w:themeColor="text1"/>
          <w:szCs w:val="24"/>
        </w:rPr>
      </w:pPr>
      <w:r w:rsidRPr="004456A8">
        <w:rPr>
          <w:color w:val="000000" w:themeColor="text1"/>
          <w:szCs w:val="24"/>
        </w:rPr>
        <w:t>b) ta grupė taiko deramo klientų tikrinimo priemones, įrašų saugojimo taisykles ir kovos su pinigų plovimu bei teroristų finansavimu programas pagal šią direktyvą arba lygiavertes taisykles;</w:t>
      </w:r>
    </w:p>
    <w:p w14:paraId="6F52B12A" w14:textId="77777777" w:rsidR="00F62786" w:rsidRPr="004456A8" w:rsidRDefault="00F62786" w:rsidP="009E4A08">
      <w:pPr>
        <w:ind w:firstLine="720"/>
        <w:jc w:val="both"/>
        <w:rPr>
          <w:color w:val="000000" w:themeColor="text1"/>
          <w:szCs w:val="24"/>
        </w:rPr>
      </w:pPr>
      <w:r w:rsidRPr="004456A8">
        <w:rPr>
          <w:color w:val="000000" w:themeColor="text1"/>
          <w:szCs w:val="24"/>
        </w:rPr>
        <w:t>c) buveinės valstybės narės arba trečiosios valstybės kompetentinga institucija grupės lygiu prižiūri, ar veiksmingai įgyvendinami b punkte nurodyti reikalavimai.</w:t>
      </w:r>
    </w:p>
    <w:p w14:paraId="7AF3FA56" w14:textId="52637970" w:rsidR="00F62786" w:rsidRPr="004456A8" w:rsidRDefault="00F62786" w:rsidP="00F62786">
      <w:pPr>
        <w:ind w:firstLine="851"/>
        <w:jc w:val="both"/>
        <w:rPr>
          <w:color w:val="000000" w:themeColor="text1"/>
          <w:szCs w:val="24"/>
        </w:rPr>
      </w:pPr>
      <w:r w:rsidRPr="004456A8">
        <w:rPr>
          <w:color w:val="000000" w:themeColor="text1"/>
          <w:szCs w:val="24"/>
        </w:rPr>
        <w:lastRenderedPageBreak/>
        <w:t>Atsižvelgiant į tai, nacionalinės nuostatos užtikrina, kad buveinės valstybės narės kompetentinga institucija (kiek tai susiję su visos grupės politika ir procedūromis) ir priimančiosios valstybės narės kompetentinga institucija (kiek tai susiję su filialais ir patronuojamosiomis įmonėmis) galėtų laikyti, kad įpareigotasis subjektas laikosi pagal 26 ir 27 straipsnius priimtų nuostatų taikydamas savo grupės programą.</w:t>
      </w:r>
    </w:p>
    <w:p w14:paraId="2261952D" w14:textId="4CDA1F84" w:rsidR="00B3186C" w:rsidRPr="004456A8" w:rsidRDefault="00E0729E" w:rsidP="00B3186C">
      <w:pPr>
        <w:ind w:firstLine="851"/>
        <w:jc w:val="both"/>
        <w:rPr>
          <w:szCs w:val="24"/>
        </w:rPr>
      </w:pPr>
      <w:r w:rsidRPr="004456A8">
        <w:rPr>
          <w:szCs w:val="24"/>
        </w:rPr>
        <w:t>L</w:t>
      </w:r>
      <w:r w:rsidR="00D72D23" w:rsidRPr="004456A8">
        <w:rPr>
          <w:szCs w:val="24"/>
        </w:rPr>
        <w:t>aikome, kad</w:t>
      </w:r>
      <w:r w:rsidR="00B3186C" w:rsidRPr="004456A8">
        <w:rPr>
          <w:szCs w:val="24"/>
        </w:rPr>
        <w:t xml:space="preserve"> Direktyvos 2015/849 28 straipsnio nuostatas</w:t>
      </w:r>
      <w:r w:rsidR="00B3186C" w:rsidRPr="004456A8">
        <w:rPr>
          <w:b/>
          <w:szCs w:val="24"/>
        </w:rPr>
        <w:t xml:space="preserve"> </w:t>
      </w:r>
      <w:r w:rsidR="00B3186C" w:rsidRPr="004456A8">
        <w:rPr>
          <w:szCs w:val="24"/>
        </w:rPr>
        <w:t xml:space="preserve">į nacionalinę teisę perkelia PPTFPĮ 2 straipsnio 21 dalis sistemiškai su 13 straipsniu, 22 straipsnio 3 dalimi, 30 straipsnio 1 dalimi ir 33 straipsnio 2 dalimi. Šie straipsniai yra nurodyti </w:t>
      </w:r>
      <w:r w:rsidR="00734135" w:rsidRPr="004456A8">
        <w:rPr>
          <w:szCs w:val="24"/>
        </w:rPr>
        <w:t>Atitikties lentelėje.</w:t>
      </w:r>
    </w:p>
    <w:p w14:paraId="14A4A8EE" w14:textId="77777777" w:rsidR="00B3186C" w:rsidRPr="004456A8" w:rsidRDefault="00B3186C" w:rsidP="00B3186C">
      <w:pPr>
        <w:ind w:firstLine="851"/>
        <w:jc w:val="both"/>
        <w:rPr>
          <w:szCs w:val="24"/>
        </w:rPr>
      </w:pPr>
    </w:p>
    <w:p w14:paraId="0BF1742D" w14:textId="77777777" w:rsidR="00546AE3" w:rsidRPr="004456A8" w:rsidRDefault="00B3186C" w:rsidP="00B3186C">
      <w:pPr>
        <w:ind w:firstLine="851"/>
        <w:jc w:val="both"/>
        <w:rPr>
          <w:b/>
          <w:szCs w:val="24"/>
        </w:rPr>
      </w:pPr>
      <w:r w:rsidRPr="004456A8">
        <w:rPr>
          <w:b/>
          <w:szCs w:val="24"/>
        </w:rPr>
        <w:t>5. Dėl 32 straipsnio 5 dalies, kurioje nustatyta, kokiomis aplinkybėmis FŽP neprivalo patenkinti prašymo dėl informacijos pateikimo</w:t>
      </w:r>
    </w:p>
    <w:p w14:paraId="4902A14A" w14:textId="77777777" w:rsidR="00B3186C" w:rsidRPr="004456A8" w:rsidRDefault="00B3186C" w:rsidP="00B3186C">
      <w:pPr>
        <w:ind w:firstLine="851"/>
        <w:jc w:val="both"/>
        <w:rPr>
          <w:szCs w:val="24"/>
        </w:rPr>
      </w:pPr>
      <w:r w:rsidRPr="004456A8">
        <w:rPr>
          <w:szCs w:val="24"/>
        </w:rPr>
        <w:t>Nuostata: „</w:t>
      </w:r>
      <w:r w:rsidRPr="004456A8">
        <w:rPr>
          <w:i/>
          <w:szCs w:val="24"/>
        </w:rPr>
        <w:t>Jeigu yra objektyvių priežasčių daryti prielaidą, kad suteikus tokią informaciją būtų padarytas neigiamas poveikis atliekamiems tyrimams ar analizėms, arba išskirtinėmis aplinkybėmis tais atvejais, kai informacijos atskleidimas būtų aiškiai neproporcingas teisėtiems fizinio ar juridinio asmens interesams arba neatitiktų tikslų, kuriais jos prašoma, FŽP prašymo dėl informacijos pateikimo patenkinti neprivalo</w:t>
      </w:r>
      <w:r w:rsidR="00546AE3" w:rsidRPr="004456A8">
        <w:rPr>
          <w:szCs w:val="24"/>
        </w:rPr>
        <w:t>.“</w:t>
      </w:r>
    </w:p>
    <w:p w14:paraId="04F25D8B" w14:textId="77777777" w:rsidR="00B3186C" w:rsidRPr="004456A8" w:rsidRDefault="00B3186C" w:rsidP="00397478">
      <w:pPr>
        <w:ind w:firstLine="720"/>
        <w:jc w:val="both"/>
        <w:rPr>
          <w:b/>
          <w:szCs w:val="24"/>
          <w:highlight w:val="yellow"/>
        </w:rPr>
      </w:pPr>
      <w:r w:rsidRPr="004456A8">
        <w:rPr>
          <w:szCs w:val="24"/>
        </w:rPr>
        <w:t xml:space="preserve">Direktyvos 2015/849  32 straipsnio 5 dalies nuostatą nacionalinėje teisėje užtikrina 2008 m. balandžio 8 d. sutartis, kuria Finansinių nusikaltimų tyrimo tarnyba prie Lietuvos Respublikos vidaus reikalų ministerijos prisijungė prie Egmonto grupės finansinės žvalgybos padalinių chartijos, ir </w:t>
      </w:r>
      <w:r w:rsidR="00AC6D45" w:rsidRPr="004456A8">
        <w:rPr>
          <w:szCs w:val="24"/>
        </w:rPr>
        <w:t xml:space="preserve">Lietuvos Respublikos Vyriausybės 2006 m. birželio 1 d. nutarimas Nr. 527 „Dėl Finansinių nusikaltimų tyrimo tarnybos prie Vidaus reikalų ministerijos disponuojamos informacijos apie kliento operacijas su pinigais teikimo Lietuvos Respublikos teisėsaugos ir kitoms valstybės institucijoms taisyklių patvirtinimo“ (toliau </w:t>
      </w:r>
      <w:r w:rsidR="00FC32B4" w:rsidRPr="004456A8">
        <w:rPr>
          <w:szCs w:val="24"/>
        </w:rPr>
        <w:t>–</w:t>
      </w:r>
      <w:r w:rsidR="00AC6D45" w:rsidRPr="004456A8">
        <w:rPr>
          <w:szCs w:val="24"/>
        </w:rPr>
        <w:t xml:space="preserve"> </w:t>
      </w:r>
      <w:r w:rsidR="00FC32B4" w:rsidRPr="004456A8">
        <w:rPr>
          <w:szCs w:val="24"/>
        </w:rPr>
        <w:t>Vyriausybės nutarimas)</w:t>
      </w:r>
      <w:r w:rsidRPr="004456A8">
        <w:rPr>
          <w:szCs w:val="24"/>
        </w:rPr>
        <w:t>.</w:t>
      </w:r>
    </w:p>
    <w:p w14:paraId="60FB3FD0" w14:textId="387F34A0" w:rsidR="00B3186C" w:rsidRPr="004456A8" w:rsidRDefault="00B3186C" w:rsidP="00B3186C">
      <w:pPr>
        <w:ind w:firstLine="851"/>
        <w:jc w:val="both"/>
        <w:rPr>
          <w:szCs w:val="24"/>
        </w:rPr>
      </w:pPr>
      <w:r w:rsidRPr="004456A8">
        <w:rPr>
          <w:szCs w:val="24"/>
        </w:rPr>
        <w:t>Vadovaujantis Egmonto grupės finansinės žvalgybos padalinių chartij</w:t>
      </w:r>
      <w:r w:rsidR="00885E0A" w:rsidRPr="004456A8">
        <w:rPr>
          <w:szCs w:val="24"/>
        </w:rPr>
        <w:t>os III.2. dalies a punktu</w:t>
      </w:r>
      <w:r w:rsidRPr="004456A8">
        <w:rPr>
          <w:szCs w:val="24"/>
        </w:rPr>
        <w:t>, visi nariai, remdamiesi abipusiškumo principu ar tarpusavio sutarimu bei laikydamiesi pagrindinių Pasikeitimo informacija principuose įtvirtintų principų</w:t>
      </w:r>
      <w:r w:rsidRPr="004456A8">
        <w:rPr>
          <w:rStyle w:val="Puslapioinaosnuoroda"/>
          <w:szCs w:val="24"/>
        </w:rPr>
        <w:footnoteReference w:id="1"/>
      </w:r>
      <w:r w:rsidRPr="004456A8">
        <w:rPr>
          <w:szCs w:val="24"/>
        </w:rPr>
        <w:t xml:space="preserve">, skatina kiek įmanoma platesnį bendradarbiavimą ir keitimąsi informacija su kitais Egmonto grupės finansinės žvalgybos padaliniais (toliau – FŽP): laisvas keitimasis informacija analizės FŽP lygiu tikslais; informacijos neplatinimas ir nenaudojimas jokiais kitais tikslais be išankstinio informaciją teikiančio FŽP sutikimo ir informacijos konfidencialumo apsauga. Pasikeitimo informacija principų 26 punktas nustato Direktyvos 2015/849  32 straipsnio 5 dalies išimčiai analogišką išimtį. </w:t>
      </w:r>
    </w:p>
    <w:p w14:paraId="21CBEFBF" w14:textId="22448064" w:rsidR="00B3186C" w:rsidRPr="004456A8" w:rsidRDefault="00B3186C" w:rsidP="00AB59DD">
      <w:pPr>
        <w:pStyle w:val="Paprastasistekstas"/>
        <w:ind w:firstLine="720"/>
        <w:jc w:val="both"/>
        <w:rPr>
          <w:rFonts w:ascii="Times New Roman" w:hAnsi="Times New Roman" w:cs="Times New Roman"/>
          <w:sz w:val="24"/>
          <w:szCs w:val="24"/>
        </w:rPr>
      </w:pPr>
      <w:r w:rsidRPr="004456A8">
        <w:rPr>
          <w:rFonts w:ascii="Times New Roman" w:hAnsi="Times New Roman" w:cs="Times New Roman"/>
          <w:sz w:val="24"/>
          <w:szCs w:val="24"/>
        </w:rPr>
        <w:t>FŽP informacijos teikimą Lietuvos Respublikos teisėsaugos ir kitoms valstybės institucijoms reglamentuojančio Vyriausybės nutarimo 7 punkte nustatyta, kad FŽP informacijos neteikia, jeigu informacijos apie pinigines operacijas ir sandorius pateikimas prašančiajai institucijai galėtų pakenkti Finansinių nusikaltimų tyrimo tarnybos atliekamam tyrimui dėl prašyme nurodyto kliento galimo nusikalstamu būdu įgytų pinigų ar turto legalizavimo arba kitų susijusių nusikalstamų veikų ir kitokių teisės pažeidimų, prevencijos priemonių įgyvendinimui.</w:t>
      </w:r>
      <w:r w:rsidR="00AB59DD" w:rsidRPr="004456A8">
        <w:rPr>
          <w:rFonts w:ascii="Times New Roman" w:hAnsi="Times New Roman" w:cs="Times New Roman"/>
          <w:sz w:val="24"/>
          <w:szCs w:val="24"/>
        </w:rPr>
        <w:t xml:space="preserve"> Šiuo klausimu </w:t>
      </w:r>
      <w:r w:rsidR="00AB59DD" w:rsidRPr="004456A8">
        <w:rPr>
          <w:rFonts w:ascii="Times New Roman" w:hAnsi="Times New Roman" w:cs="Times New Roman"/>
          <w:sz w:val="24"/>
          <w:szCs w:val="24"/>
        </w:rPr>
        <w:t>Lietuva papildomai vadovaujasi ir 2000 m. spalio 17 d. Tarybos sprendimu dėl valstybių narių finansinės žvalgybos padalinių bendradarbiavimo susitarimų dėl keitimosi informacija (2000/642/TVR)</w:t>
      </w:r>
      <w:r w:rsidR="00AB59DD" w:rsidRPr="004456A8">
        <w:rPr>
          <w:rFonts w:ascii="Times New Roman" w:hAnsi="Times New Roman" w:cs="Times New Roman"/>
          <w:sz w:val="24"/>
          <w:szCs w:val="24"/>
        </w:rPr>
        <w:t>, pagal kurio 4 straipsnio 3 dalį:„</w:t>
      </w:r>
      <w:r w:rsidR="00AB59DD" w:rsidRPr="004456A8">
        <w:rPr>
          <w:rFonts w:ascii="Times New Roman" w:hAnsi="Times New Roman" w:cs="Times New Roman"/>
          <w:sz w:val="24"/>
          <w:szCs w:val="24"/>
        </w:rPr>
        <w:t>3. FŽP gali atsisakyti atskleisti informaciją, kuri galėtų pakenkti prašomoje valstybėje narėje atliekamam baudžiamajam tyrimui, arba išskirtinėmis aplinkybėmis tais atvejais, kai informacijos atskleidimas būtų aiškiai neproporcingas teisėtiems fizinio ar juridinio asmens arba atitinkamos valstybės narės interesams arba kitaip neatitiktų pagrindinių nacionalinės teisės principų. Toks atsisakymas yra tinkamai paaiškinamas informacijos prašančiam FŽP."</w:t>
      </w:r>
    </w:p>
    <w:p w14:paraId="27B93C6B" w14:textId="4A68F24C" w:rsidR="00B3186C" w:rsidRPr="004456A8" w:rsidRDefault="00B3186C" w:rsidP="00B3186C">
      <w:pPr>
        <w:ind w:firstLine="851"/>
        <w:jc w:val="both"/>
        <w:rPr>
          <w:szCs w:val="24"/>
        </w:rPr>
      </w:pPr>
      <w:r w:rsidRPr="004456A8">
        <w:rPr>
          <w:szCs w:val="24"/>
        </w:rPr>
        <w:t xml:space="preserve">Atsižvelgiant į tai, kad FŽP neprivalo patenkinti prašymo dėl informacijos pateikimo Direktyvos 2015/849  32 straipsnio 5 dalyje nurodytais atvejais, </w:t>
      </w:r>
      <w:r w:rsidR="00AC6D45" w:rsidRPr="004456A8">
        <w:rPr>
          <w:szCs w:val="24"/>
        </w:rPr>
        <w:t xml:space="preserve">vertiname, kad </w:t>
      </w:r>
      <w:r w:rsidRPr="004456A8">
        <w:rPr>
          <w:szCs w:val="24"/>
        </w:rPr>
        <w:t>Direktyvos 2015/849  32 straipsnio 5 dalies nuostata į nacionalinę teisę perkelta</w:t>
      </w:r>
      <w:r w:rsidR="00AC6D45" w:rsidRPr="004456A8">
        <w:rPr>
          <w:szCs w:val="24"/>
        </w:rPr>
        <w:t xml:space="preserve"> visiškai</w:t>
      </w:r>
      <w:r w:rsidRPr="004456A8">
        <w:rPr>
          <w:szCs w:val="24"/>
        </w:rPr>
        <w:t xml:space="preserve">. </w:t>
      </w:r>
      <w:r w:rsidR="00181BB3" w:rsidRPr="004456A8">
        <w:rPr>
          <w:szCs w:val="24"/>
        </w:rPr>
        <w:t xml:space="preserve">Atitikties lentelėje ties </w:t>
      </w:r>
      <w:r w:rsidRPr="004456A8">
        <w:rPr>
          <w:szCs w:val="24"/>
        </w:rPr>
        <w:t>Direktyvos 2015/849</w:t>
      </w:r>
      <w:r w:rsidR="00181BB3" w:rsidRPr="004456A8">
        <w:rPr>
          <w:szCs w:val="24"/>
        </w:rPr>
        <w:t xml:space="preserve"> 32 straipsnio 5 dalimi</w:t>
      </w:r>
      <w:r w:rsidRPr="004456A8">
        <w:rPr>
          <w:szCs w:val="24"/>
        </w:rPr>
        <w:t xml:space="preserve"> papildomai nurodome Vyriausybės nutarimo 7.1 ir 7.2 punktus.</w:t>
      </w:r>
      <w:r w:rsidR="00B701B1" w:rsidRPr="004456A8">
        <w:rPr>
          <w:szCs w:val="24"/>
        </w:rPr>
        <w:t xml:space="preserve"> Šis teisės aktas </w:t>
      </w:r>
      <w:r w:rsidR="00B701B1" w:rsidRPr="004456A8">
        <w:rPr>
          <w:color w:val="000000" w:themeColor="text1"/>
          <w:szCs w:val="24"/>
        </w:rPr>
        <w:t>artimiausiu metu bus notifikuotas Europos Komisijos Nacionalinių įgyvendinimo priemonių elektroninio notifikavimo informacinėje sistemoje (MNE)</w:t>
      </w:r>
    </w:p>
    <w:p w14:paraId="084F9A09" w14:textId="77777777" w:rsidR="00B3186C" w:rsidRPr="004456A8" w:rsidRDefault="00B3186C" w:rsidP="00B3186C">
      <w:pPr>
        <w:ind w:firstLine="851"/>
        <w:jc w:val="both"/>
        <w:rPr>
          <w:szCs w:val="24"/>
        </w:rPr>
      </w:pPr>
    </w:p>
    <w:p w14:paraId="70D4F17B" w14:textId="77777777" w:rsidR="00EB53EA" w:rsidRPr="004456A8" w:rsidRDefault="00B3186C" w:rsidP="00B3186C">
      <w:pPr>
        <w:ind w:firstLine="851"/>
        <w:jc w:val="both"/>
        <w:rPr>
          <w:szCs w:val="24"/>
        </w:rPr>
      </w:pPr>
      <w:r w:rsidRPr="004456A8">
        <w:rPr>
          <w:b/>
          <w:szCs w:val="24"/>
        </w:rPr>
        <w:lastRenderedPageBreak/>
        <w:t xml:space="preserve">6. Dėl 32 straipsnio 8 dalies a punkto dėl FŽP operatyvinės analizės funkcijos </w:t>
      </w:r>
    </w:p>
    <w:p w14:paraId="3440EDF3" w14:textId="77777777" w:rsidR="00B3186C" w:rsidRPr="004456A8" w:rsidRDefault="00B3186C" w:rsidP="00B3186C">
      <w:pPr>
        <w:ind w:firstLine="851"/>
        <w:jc w:val="both"/>
        <w:rPr>
          <w:szCs w:val="24"/>
        </w:rPr>
      </w:pPr>
      <w:r w:rsidRPr="004456A8">
        <w:rPr>
          <w:szCs w:val="24"/>
        </w:rPr>
        <w:t>Nuostata: „</w:t>
      </w:r>
      <w:r w:rsidRPr="004456A8">
        <w:rPr>
          <w:i/>
          <w:szCs w:val="24"/>
        </w:rPr>
        <w:t>FŽP analitinė funkcija apima: a) operatyvinę analizę, kurią atliekant daugiausia dėmesio skiriama atskiriems atvejams ir konkretiems tikslams arba atitinkamai atrinktai informacijai, priklausomai nuo gautos atskleistos informacijos rūšies bei apimties ir nuo to, kaip ketinama naudoti išplatintą informaciją, ir b) strateginę analizę, kurioje vertinamos pinigų plovimo ir teroristų finansavimo tendencijos ir modeliai.</w:t>
      </w:r>
      <w:r w:rsidR="00EB53EA" w:rsidRPr="004456A8">
        <w:rPr>
          <w:szCs w:val="24"/>
        </w:rPr>
        <w:t>“</w:t>
      </w:r>
    </w:p>
    <w:p w14:paraId="39F55D44" w14:textId="77777777" w:rsidR="00B3186C" w:rsidRPr="004456A8" w:rsidRDefault="00B3186C" w:rsidP="00B3186C">
      <w:pPr>
        <w:ind w:firstLine="851"/>
        <w:jc w:val="both"/>
        <w:rPr>
          <w:szCs w:val="24"/>
        </w:rPr>
      </w:pPr>
      <w:r w:rsidRPr="004456A8">
        <w:rPr>
          <w:szCs w:val="24"/>
        </w:rPr>
        <w:t>Direktyvos 2015/849  32 straipsnio 8 dalies nuostatą į nacionalinę teisę perkelia PPTFPĮ 5 straipsnio 2 punktas ir 16 straipsnis.</w:t>
      </w:r>
    </w:p>
    <w:p w14:paraId="1507D951" w14:textId="77777777" w:rsidR="00B3186C" w:rsidRPr="004456A8" w:rsidRDefault="00B3186C" w:rsidP="00B3186C">
      <w:pPr>
        <w:ind w:firstLine="851"/>
        <w:jc w:val="both"/>
        <w:rPr>
          <w:b/>
          <w:szCs w:val="24"/>
        </w:rPr>
      </w:pPr>
      <w:r w:rsidRPr="004456A8">
        <w:rPr>
          <w:szCs w:val="24"/>
        </w:rPr>
        <w:t>Vadovaujantis PPTFPĮ 5 straipsnio 2 punktu, FŽP analizuoja informaciją, susijusią su pinigų plovimo ir (ar) teroristų finansavimo prevencijos priemonių įgyvendinimu. Pagal PPTFPĮ 16 straipsnį, FŽP iš įpareigotųjų subjektų gauna pranešimus apie įtartinas pinigines operacijas ar sandorius ir nedelsdamas atlieka veiksmus, būtinus abejonėms dėl tariamai kliento vykdomos ar vykdytos nusikalstamos veikos pagrįsti arba paneigti, t. y. analizuoja kiekvieną pranešimą apie įtartinas pinigines operacijas ar sandorius.</w:t>
      </w:r>
    </w:p>
    <w:p w14:paraId="6928A335" w14:textId="77777777" w:rsidR="00B3186C" w:rsidRPr="004456A8" w:rsidRDefault="00B3186C" w:rsidP="00B3186C">
      <w:pPr>
        <w:ind w:firstLine="851"/>
        <w:jc w:val="both"/>
        <w:rPr>
          <w:szCs w:val="24"/>
        </w:rPr>
      </w:pPr>
      <w:r w:rsidRPr="004456A8">
        <w:rPr>
          <w:szCs w:val="24"/>
        </w:rPr>
        <w:t>Atsižvelgiant į tai, kad pagal PPTFPĮ FŽP analizuoja atskirus atvejus priklausomai nuo gautos atskleistos informacijos, Direktyvos 2015/849 32 straipsnio 8 dalies nuostata</w:t>
      </w:r>
      <w:r w:rsidR="00EB53EA" w:rsidRPr="004456A8">
        <w:rPr>
          <w:szCs w:val="24"/>
        </w:rPr>
        <w:t>, manome,</w:t>
      </w:r>
      <w:r w:rsidRPr="004456A8">
        <w:rPr>
          <w:szCs w:val="24"/>
        </w:rPr>
        <w:t xml:space="preserve"> į nacionalinę teisę perkelta</w:t>
      </w:r>
      <w:r w:rsidR="00EB53EA" w:rsidRPr="004456A8">
        <w:rPr>
          <w:szCs w:val="24"/>
        </w:rPr>
        <w:t xml:space="preserve"> visiškai</w:t>
      </w:r>
      <w:r w:rsidRPr="004456A8">
        <w:rPr>
          <w:szCs w:val="24"/>
        </w:rPr>
        <w:t xml:space="preserve">. </w:t>
      </w:r>
      <w:r w:rsidR="00EB53EA" w:rsidRPr="004456A8">
        <w:rPr>
          <w:szCs w:val="24"/>
        </w:rPr>
        <w:t xml:space="preserve">Atitikties lentelėje ties </w:t>
      </w:r>
      <w:r w:rsidRPr="004456A8">
        <w:rPr>
          <w:szCs w:val="24"/>
        </w:rPr>
        <w:t>Direktyvos 2015/849  32 straipsnio 8 dali</w:t>
      </w:r>
      <w:r w:rsidR="00EB53EA" w:rsidRPr="004456A8">
        <w:rPr>
          <w:szCs w:val="24"/>
        </w:rPr>
        <w:t>mi</w:t>
      </w:r>
      <w:r w:rsidRPr="004456A8">
        <w:rPr>
          <w:szCs w:val="24"/>
        </w:rPr>
        <w:t xml:space="preserve"> papildomai nurodome PPTFPĮ 16 straipsnį.</w:t>
      </w:r>
    </w:p>
    <w:p w14:paraId="570A1D97" w14:textId="77777777" w:rsidR="00B3186C" w:rsidRPr="004456A8" w:rsidRDefault="00B3186C" w:rsidP="00B3186C">
      <w:pPr>
        <w:ind w:firstLine="851"/>
        <w:jc w:val="both"/>
        <w:rPr>
          <w:b/>
          <w:szCs w:val="24"/>
          <w:highlight w:val="lightGray"/>
        </w:rPr>
      </w:pPr>
    </w:p>
    <w:p w14:paraId="3A1E14EE" w14:textId="77777777" w:rsidR="00AF38E6" w:rsidRPr="004456A8" w:rsidRDefault="00B3186C" w:rsidP="00B3186C">
      <w:pPr>
        <w:ind w:firstLine="851"/>
        <w:jc w:val="both"/>
        <w:rPr>
          <w:b/>
          <w:szCs w:val="24"/>
        </w:rPr>
      </w:pPr>
      <w:r w:rsidRPr="004456A8">
        <w:rPr>
          <w:b/>
          <w:szCs w:val="24"/>
        </w:rPr>
        <w:t>7. Dėl 33 straipsnio 2 dalies, kurioje nustatytas reikalavimas perduoti informaciją FŽP</w:t>
      </w:r>
    </w:p>
    <w:p w14:paraId="2F15B798" w14:textId="77777777" w:rsidR="00B3186C" w:rsidRPr="004456A8" w:rsidRDefault="00B3186C" w:rsidP="00B3186C">
      <w:pPr>
        <w:ind w:firstLine="851"/>
        <w:jc w:val="both"/>
        <w:rPr>
          <w:szCs w:val="24"/>
        </w:rPr>
      </w:pPr>
      <w:r w:rsidRPr="004456A8">
        <w:rPr>
          <w:szCs w:val="24"/>
        </w:rPr>
        <w:t>Nuostata: „</w:t>
      </w:r>
      <w:r w:rsidRPr="004456A8">
        <w:rPr>
          <w:i/>
          <w:szCs w:val="24"/>
        </w:rPr>
        <w:t>Pagal 8 straipsnio 4 dalies a punktą paskirtas asmuo perduoda šio straipsnio 1 dalyje nurodytą informaciją valstybės narės, kurios teritorijoje yra įsisteigęs informaciją perduodantis įpareigotasis subjektas, FŽP.</w:t>
      </w:r>
      <w:r w:rsidR="00AF38E6" w:rsidRPr="004456A8">
        <w:rPr>
          <w:szCs w:val="24"/>
        </w:rPr>
        <w:t>“</w:t>
      </w:r>
    </w:p>
    <w:p w14:paraId="6F31007B" w14:textId="77777777" w:rsidR="00B3186C" w:rsidRPr="004456A8" w:rsidRDefault="00B3186C" w:rsidP="00B3186C">
      <w:pPr>
        <w:ind w:firstLine="851"/>
        <w:jc w:val="both"/>
        <w:rPr>
          <w:szCs w:val="24"/>
        </w:rPr>
      </w:pPr>
      <w:r w:rsidRPr="004456A8">
        <w:rPr>
          <w:szCs w:val="24"/>
        </w:rPr>
        <w:t>Direktyvos 2015/849  33 straipsnio 2 dalies nuostatą į nacionalinę teisę perkelia PPTFPĮ 22 straipsnio 1 dalis ir 16 straipsnis.</w:t>
      </w:r>
    </w:p>
    <w:p w14:paraId="45EC6CB7" w14:textId="77777777" w:rsidR="00B3186C" w:rsidRPr="004456A8" w:rsidRDefault="00B3186C" w:rsidP="00B3186C">
      <w:pPr>
        <w:ind w:firstLine="851"/>
        <w:jc w:val="both"/>
        <w:rPr>
          <w:szCs w:val="24"/>
        </w:rPr>
      </w:pPr>
      <w:r w:rsidRPr="004456A8">
        <w:rPr>
          <w:szCs w:val="24"/>
        </w:rPr>
        <w:t>Vadovaujantis PPTFPĮ 22 straipsnio 1 dalimi, finansų įstaigos ir kiti įpareigotieji subjektai privalo paskirti vadovaujančius darbuotojus, kurie organizuotų šiame įstatyme nustatytų pinigų plovimo ir (ar) teroristų finansavimo prevencijos priemonių įgyvendinimą ir bendradarbiautų su Finansinių nusikaltimų tyrimo tarnyba. Pagal PPTFPĮ 16 straipsnį, finansų įstaigos ir kiti įpareigotieji subjektai praneša Finansinių nusikaltimų tyrimo tarnybai apie kliento įtartiną piniginę operaciją ar sandorį.</w:t>
      </w:r>
    </w:p>
    <w:p w14:paraId="1A13700A" w14:textId="77777777" w:rsidR="00B3186C" w:rsidRPr="004456A8" w:rsidRDefault="00B3186C" w:rsidP="00B3186C">
      <w:pPr>
        <w:ind w:firstLine="851"/>
        <w:jc w:val="both"/>
        <w:rPr>
          <w:szCs w:val="24"/>
        </w:rPr>
      </w:pPr>
      <w:r w:rsidRPr="004456A8">
        <w:rPr>
          <w:szCs w:val="24"/>
        </w:rPr>
        <w:t xml:space="preserve">Atsižvelgiant į tai, kad pagal PPTFPĮ finansų įstaigos ar kito įpareigotojo subjekto paskirti darbuotojai praneša Finansinių nusikaltimų tyrimo tarnybai apie kliento įtartinas pinigines operacijas ar sandorius, </w:t>
      </w:r>
      <w:r w:rsidR="000F2BCE" w:rsidRPr="004456A8">
        <w:rPr>
          <w:szCs w:val="24"/>
        </w:rPr>
        <w:t xml:space="preserve">vertiname, kad </w:t>
      </w:r>
      <w:r w:rsidRPr="004456A8">
        <w:rPr>
          <w:szCs w:val="24"/>
        </w:rPr>
        <w:t>Direktyvos 2015/849 33 straipsnio 2 dalies nuostata į nacionalinę teisę perkelta</w:t>
      </w:r>
      <w:r w:rsidR="000F2BCE" w:rsidRPr="004456A8">
        <w:rPr>
          <w:szCs w:val="24"/>
        </w:rPr>
        <w:t xml:space="preserve"> visiškai</w:t>
      </w:r>
      <w:r w:rsidRPr="004456A8">
        <w:rPr>
          <w:szCs w:val="24"/>
        </w:rPr>
        <w:t xml:space="preserve">. </w:t>
      </w:r>
      <w:r w:rsidR="000F2BCE" w:rsidRPr="004456A8">
        <w:rPr>
          <w:szCs w:val="24"/>
        </w:rPr>
        <w:t xml:space="preserve">Atitikties lentelėje ties </w:t>
      </w:r>
      <w:r w:rsidRPr="004456A8">
        <w:rPr>
          <w:szCs w:val="24"/>
        </w:rPr>
        <w:t>Direktyvos 2015/849</w:t>
      </w:r>
      <w:r w:rsidR="000F2BCE" w:rsidRPr="004456A8">
        <w:rPr>
          <w:szCs w:val="24"/>
        </w:rPr>
        <w:t xml:space="preserve">  33 straipsnio 2 dalimi</w:t>
      </w:r>
      <w:r w:rsidRPr="004456A8">
        <w:rPr>
          <w:szCs w:val="24"/>
        </w:rPr>
        <w:t xml:space="preserve"> papildomai nurodome PPTFPĮ 16 straipsnį.</w:t>
      </w:r>
    </w:p>
    <w:p w14:paraId="76BDF503" w14:textId="77777777" w:rsidR="00B3186C" w:rsidRPr="004456A8" w:rsidRDefault="00B3186C" w:rsidP="00B3186C">
      <w:pPr>
        <w:ind w:firstLine="851"/>
        <w:jc w:val="both"/>
        <w:rPr>
          <w:szCs w:val="24"/>
          <w:highlight w:val="lightGray"/>
        </w:rPr>
      </w:pPr>
    </w:p>
    <w:p w14:paraId="706D7BEF" w14:textId="77777777" w:rsidR="00191F07" w:rsidRPr="004456A8" w:rsidRDefault="00B3186C" w:rsidP="00B3186C">
      <w:pPr>
        <w:ind w:firstLine="851"/>
        <w:jc w:val="both"/>
        <w:rPr>
          <w:b/>
          <w:szCs w:val="24"/>
        </w:rPr>
      </w:pPr>
      <w:r w:rsidRPr="004456A8">
        <w:rPr>
          <w:b/>
          <w:szCs w:val="24"/>
        </w:rPr>
        <w:t>8. Dėl 40 straipsnio 2 dalies pirmo sakinio dėl įpareigotųjų subjektų vykdomo ilgesnio duomenų saugojimo tam tikromis nustatytomis aplinkybėmis</w:t>
      </w:r>
    </w:p>
    <w:p w14:paraId="333865CE" w14:textId="77777777" w:rsidR="00B3186C" w:rsidRPr="004456A8" w:rsidRDefault="00B3186C" w:rsidP="00B3186C">
      <w:pPr>
        <w:ind w:firstLine="851"/>
        <w:jc w:val="both"/>
        <w:rPr>
          <w:szCs w:val="24"/>
        </w:rPr>
      </w:pPr>
      <w:r w:rsidRPr="004456A8">
        <w:rPr>
          <w:szCs w:val="24"/>
        </w:rPr>
        <w:t>Nuostata: „</w:t>
      </w:r>
      <w:r w:rsidRPr="004456A8">
        <w:rPr>
          <w:i/>
          <w:szCs w:val="24"/>
        </w:rPr>
        <w:t>Tais atvejais, kai 2015 m. birželio 25 d. valstybėje narėje yra nebaigtų teismo procesų, susijusių su įtariamo pinigų plovimo ar teroristų finansavimo prevencija, nustatymu, tyrimu arba dėl to vykdomu baudžiamuoju persekiojimu, o įpareigotasis subjektas turi informacijos arba dokumentų, susijusių su tais nebaigtais procesais, įpareigotasis subjektas pagal nacionalinę teisę tokią informaciją arba tuos dokumentus gali saugoti penkerius metus nuo 2015 m. birželio 25 d.</w:t>
      </w:r>
      <w:r w:rsidR="00191F07" w:rsidRPr="004456A8">
        <w:rPr>
          <w:szCs w:val="24"/>
        </w:rPr>
        <w:t>“</w:t>
      </w:r>
    </w:p>
    <w:p w14:paraId="15A64B8F" w14:textId="77777777" w:rsidR="00B3186C" w:rsidRPr="004456A8" w:rsidRDefault="00B3186C" w:rsidP="00B3186C">
      <w:pPr>
        <w:ind w:firstLine="851"/>
        <w:jc w:val="both"/>
        <w:rPr>
          <w:szCs w:val="24"/>
        </w:rPr>
      </w:pPr>
      <w:r w:rsidRPr="004456A8">
        <w:rPr>
          <w:szCs w:val="24"/>
        </w:rPr>
        <w:t xml:space="preserve">Direktyvos 2015/849  40 straipsnio 2 dalies nuostatą į nacionalinę teisę perkelia PPTFPĮ 19 straipsnio 10, 12 ir 14 dalys, pagal kurias įpareigotiesiems subjektams nustatyta pareiga kliento tapatybės, piniginių operacijų, sandorių duomenis saugoti ilgesnį – 8 metų terminą. Pažymėtina, kad PPTFPĮ 19 straipsnio 10 ir 12 dalys notifikuotos kaip griežtesnės nacionalinės nuostatos, nei reikalaujama pagal Direktyvą 2015/849. PPTFPĮ ilgesnis 8 metų informacijos saugojimo terminas nustatytas atsižvelgiant į sudėtingėjančias, sunkiai atsekamas finansinių nusikaltimų ir nusikalstamu būdu įgytų pinigų ar turto legalizavimo (pinigų plovimo) schemas, kurias naudoja nusikaltėliai. Ilgesnis – 8 metų informacijos saugojimo terminas užtikrina tinkamą informacijos prieinamumą kovojant su </w:t>
      </w:r>
      <w:r w:rsidRPr="004456A8">
        <w:rPr>
          <w:szCs w:val="24"/>
        </w:rPr>
        <w:lastRenderedPageBreak/>
        <w:t xml:space="preserve">pinigų plovimu ir teroristų finansavimu, pašalina prielaidas likti neišaiškintoms tam tikroms schemoms dėl informacijos sunaikinimo. Informacijos saugojimo terminas gali būti papildomai pratęstas 2 metams (PPTFPĮ 19 straipsnio 14 dalis). Taigi, PPTFPĮ 19 straipsnio 10, 12 ir 14 dalyse nustatyti informacijos saugojimo terminai apima Direktyvos 2015/849  40 straipsnio 2 dalies nuostatoje įtvirtintą reikalavimą. </w:t>
      </w:r>
    </w:p>
    <w:p w14:paraId="27AD5783" w14:textId="77777777" w:rsidR="00B3186C" w:rsidRPr="004456A8" w:rsidRDefault="00B3186C" w:rsidP="00B3186C">
      <w:pPr>
        <w:ind w:firstLine="851"/>
        <w:jc w:val="both"/>
        <w:rPr>
          <w:szCs w:val="24"/>
        </w:rPr>
      </w:pPr>
      <w:r w:rsidRPr="004456A8">
        <w:rPr>
          <w:szCs w:val="24"/>
        </w:rPr>
        <w:t xml:space="preserve">Atsižvelgiant į tai, kad pagal PPTFPĮ nustatytas ilgesnis 8 metų informacijos saugojimo terminas, </w:t>
      </w:r>
      <w:r w:rsidR="00191F07" w:rsidRPr="004456A8">
        <w:rPr>
          <w:szCs w:val="24"/>
        </w:rPr>
        <w:t xml:space="preserve">laikome, kad </w:t>
      </w:r>
      <w:r w:rsidRPr="004456A8">
        <w:rPr>
          <w:szCs w:val="24"/>
        </w:rPr>
        <w:t>Direktyvos 2015/849  40 straipsnio 2 dalies nuostata į nacionalinę teisę perkelta</w:t>
      </w:r>
      <w:r w:rsidR="00191F07" w:rsidRPr="004456A8">
        <w:rPr>
          <w:szCs w:val="24"/>
        </w:rPr>
        <w:t xml:space="preserve"> visiškai</w:t>
      </w:r>
      <w:r w:rsidRPr="004456A8">
        <w:rPr>
          <w:szCs w:val="24"/>
        </w:rPr>
        <w:t>.</w:t>
      </w:r>
    </w:p>
    <w:p w14:paraId="4002F6A9" w14:textId="77777777" w:rsidR="00B3186C" w:rsidRPr="004456A8" w:rsidRDefault="00B3186C" w:rsidP="00B3186C">
      <w:pPr>
        <w:ind w:firstLine="851"/>
        <w:jc w:val="both"/>
        <w:rPr>
          <w:szCs w:val="24"/>
        </w:rPr>
      </w:pPr>
    </w:p>
    <w:p w14:paraId="4CBD8277" w14:textId="77777777" w:rsidR="009B0D77" w:rsidRPr="004456A8" w:rsidRDefault="00B3186C" w:rsidP="00B3186C">
      <w:pPr>
        <w:ind w:firstLine="851"/>
        <w:jc w:val="both"/>
        <w:rPr>
          <w:b/>
          <w:szCs w:val="24"/>
        </w:rPr>
      </w:pPr>
      <w:r w:rsidRPr="004456A8">
        <w:rPr>
          <w:b/>
          <w:szCs w:val="24"/>
        </w:rPr>
        <w:t>9. Dėl 41 straipsnio 4 dalies a ir b punktų, pagal kuriuos valstybės narės turi priimti teisėkūros priemones, kuriomis visiškai arba iš dalies apribojama duomenų subjekto teisė susipažinti su asmens duomenimis, kurie susiję su juo, – tiek, kiek toks apribojimas būtinas ir proporcingas</w:t>
      </w:r>
    </w:p>
    <w:p w14:paraId="1D42FD9A" w14:textId="77777777" w:rsidR="00B3186C" w:rsidRPr="004456A8" w:rsidRDefault="00B3186C" w:rsidP="00B3186C">
      <w:pPr>
        <w:ind w:firstLine="851"/>
        <w:jc w:val="both"/>
        <w:rPr>
          <w:szCs w:val="24"/>
        </w:rPr>
      </w:pPr>
      <w:r w:rsidRPr="004456A8">
        <w:rPr>
          <w:szCs w:val="24"/>
        </w:rPr>
        <w:t>Nuostata: „</w:t>
      </w:r>
      <w:r w:rsidRPr="004456A8">
        <w:rPr>
          <w:i/>
          <w:szCs w:val="24"/>
        </w:rPr>
        <w:t>Taikydamos 39 straipsnio 1 dalyje nustatytą draudimą atskleisti informaciją, valstybės narės priima teisėkūros priemones, kuriomis visiškai arba iš dalies apribojama duomenų subjekto teisė susipažinti su asmens duomenimis, kurie susiję su juo, ir kurios yra tokio masto, kad toks dalinis arba visiškas apribojimas, deramai atsižvelgiant į atitinkamo asmens teisėtus interesus, būtų demokratinėje visuomenėje būtina ir proporcinga priemonė siekiant: a) sudaryti sąlygas įpareigotajam subjektui arba kompetentingai nacionalinei institucijai tinkamai atlikti savo pareigas šios direktyvos tikslais arba b) išvengti trukdymo oficialiam arba teisiniam nagrinėjimui, analizei, tyrimui ar procedūroms šios direktyvos tikslais ir užtikrinti, kad nebūtų pakenkta pinigų plovimo ir teroristų finansavimo prevencijai, tyrimui ir nustatymui.</w:t>
      </w:r>
      <w:r w:rsidR="009B0D77" w:rsidRPr="004456A8">
        <w:rPr>
          <w:szCs w:val="24"/>
        </w:rPr>
        <w:t>“</w:t>
      </w:r>
    </w:p>
    <w:p w14:paraId="2E07C5C7" w14:textId="77777777" w:rsidR="00B3186C" w:rsidRPr="004456A8" w:rsidRDefault="00B3186C" w:rsidP="00B3186C">
      <w:pPr>
        <w:ind w:firstLine="851"/>
        <w:jc w:val="both"/>
        <w:rPr>
          <w:szCs w:val="24"/>
        </w:rPr>
      </w:pPr>
      <w:r w:rsidRPr="004456A8">
        <w:rPr>
          <w:szCs w:val="24"/>
        </w:rPr>
        <w:t xml:space="preserve">Direktyvos 2015/849  41 straipsnio 4 dalies nuostatą į nacionalinę teisę perkelia PPTFPĮ 24 straipsnio 4 dalis, pagal kurią duomenų subjektas, kurio asmens duomenys tvarkomi pinigų plovimo ir (ar) teroristų finansavimo prevencijos tikslais, neturi teisės susipažinti su šio įstatymo pagrindais Finansinių nusikaltimų tyrimo tarnybai arba kitai priežiūros institucijai pateiktais jo asmens duomenimis. </w:t>
      </w:r>
      <w:r w:rsidR="009B0D77" w:rsidRPr="004456A8">
        <w:rPr>
          <w:szCs w:val="24"/>
        </w:rPr>
        <w:t xml:space="preserve">Atitikties lentelėje ties </w:t>
      </w:r>
      <w:r w:rsidRPr="004456A8">
        <w:rPr>
          <w:szCs w:val="24"/>
        </w:rPr>
        <w:t>Direktyvos 2015/849</w:t>
      </w:r>
      <w:r w:rsidR="009B0D77" w:rsidRPr="004456A8">
        <w:rPr>
          <w:szCs w:val="24"/>
        </w:rPr>
        <w:t xml:space="preserve">  41 straipsnio 4 dalimi </w:t>
      </w:r>
      <w:r w:rsidRPr="004456A8">
        <w:rPr>
          <w:szCs w:val="24"/>
        </w:rPr>
        <w:t>papildomai nurodome PPTFPĮ 24  straipsnio 4 dalį.</w:t>
      </w:r>
    </w:p>
    <w:p w14:paraId="7B3B2C0C" w14:textId="77777777" w:rsidR="00B3186C" w:rsidRPr="004456A8" w:rsidRDefault="00B3186C" w:rsidP="00B3186C">
      <w:pPr>
        <w:ind w:firstLine="851"/>
        <w:jc w:val="both"/>
        <w:rPr>
          <w:szCs w:val="24"/>
        </w:rPr>
      </w:pPr>
    </w:p>
    <w:p w14:paraId="2815B083" w14:textId="77777777" w:rsidR="005C3730" w:rsidRPr="004456A8" w:rsidRDefault="00B3186C" w:rsidP="00B3186C">
      <w:pPr>
        <w:ind w:firstLine="851"/>
        <w:jc w:val="both"/>
        <w:rPr>
          <w:b/>
          <w:szCs w:val="24"/>
        </w:rPr>
      </w:pPr>
      <w:r w:rsidRPr="004456A8">
        <w:rPr>
          <w:b/>
          <w:szCs w:val="24"/>
        </w:rPr>
        <w:t>10. Dėl 46 straipsnio 1 dalies trečios pastraipos, kurioje nustatyta, kad jeigu fizinis asmuo, priskiriamas vienai iš 2 straipsnio 1 dalies 3 punkte išvardytų kategorijų, vykdo profesinę veiklą kaip juridinio asmens darbuotojas, duomenų apsaugos įpareigojimai yra taikomi tam juridiniam asmeniui,</w:t>
      </w:r>
      <w:r w:rsidR="005C3730" w:rsidRPr="004456A8">
        <w:rPr>
          <w:b/>
          <w:szCs w:val="24"/>
        </w:rPr>
        <w:t xml:space="preserve"> o ne minėtam fiziniam asmeniui</w:t>
      </w:r>
    </w:p>
    <w:p w14:paraId="632157A5" w14:textId="77777777" w:rsidR="00B3186C" w:rsidRPr="004456A8" w:rsidRDefault="00B3186C" w:rsidP="00B3186C">
      <w:pPr>
        <w:ind w:firstLine="851"/>
        <w:jc w:val="both"/>
        <w:rPr>
          <w:szCs w:val="24"/>
          <w:highlight w:val="lightGray"/>
        </w:rPr>
      </w:pPr>
      <w:r w:rsidRPr="004456A8">
        <w:rPr>
          <w:szCs w:val="24"/>
        </w:rPr>
        <w:t>Nuostata: „</w:t>
      </w:r>
      <w:r w:rsidRPr="004456A8">
        <w:rPr>
          <w:i/>
          <w:szCs w:val="24"/>
        </w:rPr>
        <w:t>Kai fizinis asmuo, priskiriamas vienai iš 2 straipsnio 1 dalies 3 punkte išvardytų kategorijų, vykdo profesinę veiklą kaip juridinio asmens darbuotojas, šiame skirsnyje nustatyti įpareigojimai yra taikomi tam juridiniam asmeniui, o ne minėtam fiziniam asmeniui.</w:t>
      </w:r>
      <w:r w:rsidRPr="004456A8">
        <w:rPr>
          <w:szCs w:val="24"/>
        </w:rPr>
        <w:t>“</w:t>
      </w:r>
    </w:p>
    <w:p w14:paraId="112C4EC7" w14:textId="6B3A1F3F" w:rsidR="005C3730" w:rsidRPr="004456A8" w:rsidRDefault="00B3186C" w:rsidP="00B3186C">
      <w:pPr>
        <w:ind w:firstLine="851"/>
        <w:jc w:val="both"/>
        <w:rPr>
          <w:szCs w:val="24"/>
        </w:rPr>
      </w:pPr>
      <w:r w:rsidRPr="004456A8">
        <w:rPr>
          <w:szCs w:val="24"/>
        </w:rPr>
        <w:t>Direktyvos 2015/849  46 straipsnio 1 dalies trečiosios pastraipos nuostatą į nacionalinę teisę perkelia PPTFPĮ 22 straipsnio 2 dalis</w:t>
      </w:r>
      <w:r w:rsidR="005C3730" w:rsidRPr="004456A8">
        <w:rPr>
          <w:szCs w:val="24"/>
        </w:rPr>
        <w:t>,</w:t>
      </w:r>
      <w:r w:rsidRPr="004456A8">
        <w:rPr>
          <w:szCs w:val="24"/>
        </w:rPr>
        <w:t xml:space="preserve"> sistemiškai su PPTFPĮ 2 straipsnio </w:t>
      </w:r>
      <w:r w:rsidR="00C667C7" w:rsidRPr="004456A8">
        <w:rPr>
          <w:szCs w:val="24"/>
        </w:rPr>
        <w:t>7 dalimi ir 10 dalies</w:t>
      </w:r>
      <w:r w:rsidRPr="004456A8">
        <w:rPr>
          <w:szCs w:val="24"/>
        </w:rPr>
        <w:t xml:space="preserve"> nuostata, kuri apibrėžia, kokie asmenys – juridiniai arba fiziniai asmenys – laikomi įpareigotaisiais subjektais. </w:t>
      </w:r>
      <w:r w:rsidR="00B72A0B" w:rsidRPr="004456A8">
        <w:rPr>
          <w:szCs w:val="24"/>
        </w:rPr>
        <w:t>Tuo atveju, kai kitas įpareigotasis subjektas yra juridinis asmuo, jam kyla pareiga imtis tinkamų priemonių, kad jo darbuotojai žinotų apie galiojančias PPTFPĮ nuostatas.</w:t>
      </w:r>
    </w:p>
    <w:p w14:paraId="6BD6E91B" w14:textId="6420C9F1" w:rsidR="00B3186C" w:rsidRPr="004456A8" w:rsidRDefault="00B3186C" w:rsidP="00B3186C">
      <w:pPr>
        <w:ind w:firstLine="851"/>
        <w:jc w:val="both"/>
        <w:rPr>
          <w:szCs w:val="24"/>
        </w:rPr>
      </w:pPr>
      <w:r w:rsidRPr="004456A8">
        <w:rPr>
          <w:szCs w:val="24"/>
        </w:rPr>
        <w:t xml:space="preserve"> </w:t>
      </w:r>
      <w:r w:rsidR="005C3730" w:rsidRPr="004456A8">
        <w:rPr>
          <w:szCs w:val="24"/>
        </w:rPr>
        <w:t xml:space="preserve">Atitikties lentelėje ties </w:t>
      </w:r>
      <w:r w:rsidRPr="004456A8">
        <w:rPr>
          <w:szCs w:val="24"/>
        </w:rPr>
        <w:t>Direktyvos 2015/849</w:t>
      </w:r>
      <w:r w:rsidR="005C3730" w:rsidRPr="004456A8">
        <w:rPr>
          <w:szCs w:val="24"/>
        </w:rPr>
        <w:t xml:space="preserve"> 46 straipsnio 1 dalimi</w:t>
      </w:r>
      <w:r w:rsidRPr="004456A8">
        <w:rPr>
          <w:szCs w:val="24"/>
        </w:rPr>
        <w:t xml:space="preserve"> papildomai nurodome PPTFPĮ 2 straipsnio </w:t>
      </w:r>
      <w:r w:rsidR="00FD24D6" w:rsidRPr="004456A8">
        <w:rPr>
          <w:szCs w:val="24"/>
        </w:rPr>
        <w:t>7 ir 10 dalis</w:t>
      </w:r>
      <w:r w:rsidRPr="004456A8">
        <w:rPr>
          <w:szCs w:val="24"/>
        </w:rPr>
        <w:t>.</w:t>
      </w:r>
    </w:p>
    <w:p w14:paraId="2EB98F38" w14:textId="77777777" w:rsidR="00B3186C" w:rsidRPr="004456A8" w:rsidRDefault="00B3186C" w:rsidP="00B3186C">
      <w:pPr>
        <w:ind w:firstLine="851"/>
        <w:jc w:val="both"/>
        <w:rPr>
          <w:b/>
          <w:szCs w:val="24"/>
          <w:highlight w:val="lightGray"/>
        </w:rPr>
      </w:pPr>
    </w:p>
    <w:p w14:paraId="1FB82C17" w14:textId="77777777" w:rsidR="005C3730" w:rsidRPr="004456A8" w:rsidRDefault="00B3186C" w:rsidP="00B3186C">
      <w:pPr>
        <w:ind w:firstLine="851"/>
        <w:jc w:val="both"/>
        <w:rPr>
          <w:b/>
          <w:szCs w:val="24"/>
        </w:rPr>
      </w:pPr>
      <w:r w:rsidRPr="004456A8">
        <w:rPr>
          <w:b/>
          <w:szCs w:val="24"/>
        </w:rPr>
        <w:t>11. Dėl 53 straipsnio 1 dalies antros pastraipos, 53 straipsnio 2 dalies ir 53 straipsnio 2 dalies antros pastraipos dėl FŽ</w:t>
      </w:r>
      <w:r w:rsidR="005C3730" w:rsidRPr="004456A8">
        <w:rPr>
          <w:b/>
          <w:szCs w:val="24"/>
        </w:rPr>
        <w:t>P vykdomo keitimosi informacija</w:t>
      </w:r>
    </w:p>
    <w:p w14:paraId="7780328A" w14:textId="77777777" w:rsidR="00B3186C" w:rsidRPr="004456A8" w:rsidRDefault="00B3186C" w:rsidP="00B3186C">
      <w:pPr>
        <w:ind w:firstLine="851"/>
        <w:jc w:val="both"/>
        <w:rPr>
          <w:szCs w:val="24"/>
        </w:rPr>
      </w:pPr>
      <w:r w:rsidRPr="004456A8">
        <w:rPr>
          <w:szCs w:val="24"/>
        </w:rPr>
        <w:t>Nuostata: „</w:t>
      </w:r>
      <w:r w:rsidRPr="004456A8">
        <w:rPr>
          <w:i/>
          <w:szCs w:val="24"/>
        </w:rPr>
        <w:t xml:space="preserve">Prašyme nurodomi svarbūs faktai, bendrosios aplinkybės, prašymo priežastys ir tai, kaip prašoma informacija bus naudojama. Gali būti taikomi skirtingi keitimosi mechanizmai, jei taip susitarta tarp FŽP, visų pirma keičiantis informacija per „FIU.net“ arba jį pakeisiančią priemonę. &lt;...&gt; 2.   Valstybės narės užtikrina, kad FŽP, kuriam kitas FŽP pateikė 1 dalyje nurodytos informacijos prašymą, atsakydamas į jį būtų įpareigotas pasinaudoti visais turimais įgaliojimais, kuriais jis paprastai naudotųsi šalies viduje, kad gautų ir išanalizuotų informaciją. FŽP, kuriam </w:t>
      </w:r>
      <w:r w:rsidRPr="004456A8">
        <w:rPr>
          <w:i/>
          <w:szCs w:val="24"/>
        </w:rPr>
        <w:lastRenderedPageBreak/>
        <w:t>pateiktas prašymas, atsakymą pateikia laiku. Kai FŽP nori gauti papildomos informacijos iš kitoje valstybėje narėje įsisteigusio įpareigotojo subjekto, kuris veikia jos teritorijoje, prašymas adresuojamas valstybės narės, kurioje yra įsisteigęs įpareigotasis subjektas, FŽP. Pastarasis FŽP nedelsdamas perduoda prašymus ir atsakymus.</w:t>
      </w:r>
      <w:r w:rsidR="005C3730" w:rsidRPr="004456A8">
        <w:rPr>
          <w:szCs w:val="24"/>
        </w:rPr>
        <w:t>“</w:t>
      </w:r>
    </w:p>
    <w:p w14:paraId="0C1FBD37" w14:textId="77777777" w:rsidR="00B3186C" w:rsidRPr="004456A8" w:rsidRDefault="00B3186C" w:rsidP="00B3186C">
      <w:pPr>
        <w:ind w:firstLine="851"/>
        <w:jc w:val="both"/>
        <w:rPr>
          <w:szCs w:val="24"/>
        </w:rPr>
      </w:pPr>
      <w:r w:rsidRPr="004456A8">
        <w:rPr>
          <w:szCs w:val="24"/>
        </w:rPr>
        <w:t>Direktyvos 2015/849  53 straipsnio 1 dalies antros pastraipos, 53 straipsnio 2 dalies ir 53 straipsnio 2 dalies antros pastraipos straipsnio nuostatą n</w:t>
      </w:r>
      <w:r w:rsidR="003C1DDD" w:rsidRPr="004456A8">
        <w:rPr>
          <w:szCs w:val="24"/>
        </w:rPr>
        <w:t xml:space="preserve">acionalinėje teisėje užtikrina </w:t>
      </w:r>
      <w:r w:rsidRPr="004456A8">
        <w:rPr>
          <w:szCs w:val="24"/>
        </w:rPr>
        <w:t>2008 m. balandžio 8 d. sutartis, kuria Finansinių nusikaltimų tyrimo tarnyba prie Lietuvos Respublikos vidaus reikalų ministerijos prisijungė prie Egmonto grupės finansinės žvalgybos padalinių chartijos</w:t>
      </w:r>
      <w:r w:rsidR="003C1DDD" w:rsidRPr="004456A8">
        <w:rPr>
          <w:szCs w:val="24"/>
        </w:rPr>
        <w:t xml:space="preserve">, taip pat - </w:t>
      </w:r>
      <w:r w:rsidRPr="004456A8">
        <w:rPr>
          <w:szCs w:val="24"/>
        </w:rPr>
        <w:t>PPTFPĮ 5 straipsnio 6 punktas.</w:t>
      </w:r>
    </w:p>
    <w:p w14:paraId="38AA9BCE" w14:textId="77777777" w:rsidR="00B3186C" w:rsidRPr="004456A8" w:rsidRDefault="00B3186C" w:rsidP="00B3186C">
      <w:pPr>
        <w:ind w:firstLine="851"/>
        <w:jc w:val="both"/>
        <w:rPr>
          <w:szCs w:val="24"/>
        </w:rPr>
      </w:pPr>
      <w:r w:rsidRPr="004456A8">
        <w:rPr>
          <w:szCs w:val="24"/>
        </w:rPr>
        <w:t>Vadovaujantis Egmonto grupės finansinės žvalgybos padalinių chartija, visi nariai, remdamiesi abipusiškumo principu ar tarpusavio sutarimu bei laikydamiesi pagrindinių Pasikeitimo informacija principuose įtvirtintų principų, skatina kiek įmanoma platesnį bendradarbiavimą ir keitimąsi informacija su kitais Egmonto grupės FŽP: laisvas keitimasis informacija analizės FŽP lygiu tikslais; Informacijos neplatinimas ir nenaudojimas jokiais kitais tikslais be išankstinio informaciją teikiančio FŽP sutikimo ir informacijos konfidencialumo apsauga. Egmonto grupės finansinės žvalgybos padalinių chartija ir Pasikeitimo informacija principų 16, 17, 22, 23, 35 punk</w:t>
      </w:r>
      <w:r w:rsidR="003C1DDD" w:rsidRPr="004456A8">
        <w:rPr>
          <w:szCs w:val="24"/>
        </w:rPr>
        <w:t>tas nustato Direktyvos 2015/849</w:t>
      </w:r>
      <w:r w:rsidRPr="004456A8">
        <w:rPr>
          <w:szCs w:val="24"/>
        </w:rPr>
        <w:t xml:space="preserve"> 53 straipsniui analogiškas nuostatas. </w:t>
      </w:r>
    </w:p>
    <w:p w14:paraId="042809DA" w14:textId="77777777" w:rsidR="00B3186C" w:rsidRPr="004456A8" w:rsidRDefault="00B3186C" w:rsidP="00B3186C">
      <w:pPr>
        <w:tabs>
          <w:tab w:val="left" w:pos="720"/>
          <w:tab w:val="left" w:pos="1440"/>
          <w:tab w:val="left" w:pos="2160"/>
          <w:tab w:val="left" w:pos="2880"/>
          <w:tab w:val="left" w:pos="3855"/>
        </w:tabs>
        <w:ind w:firstLine="851"/>
        <w:jc w:val="both"/>
        <w:rPr>
          <w:szCs w:val="24"/>
        </w:rPr>
      </w:pPr>
      <w:r w:rsidRPr="004456A8">
        <w:rPr>
          <w:szCs w:val="24"/>
        </w:rPr>
        <w:t xml:space="preserve">Atsižvelgiant į tai, kad pagal Egmonto grupės finansinės žvalgybos padalinių chartiją ir </w:t>
      </w:r>
      <w:r w:rsidR="003C1DDD" w:rsidRPr="004456A8">
        <w:rPr>
          <w:szCs w:val="24"/>
        </w:rPr>
        <w:t xml:space="preserve">pagal </w:t>
      </w:r>
      <w:r w:rsidRPr="004456A8">
        <w:rPr>
          <w:szCs w:val="24"/>
        </w:rPr>
        <w:t xml:space="preserve">PPTFPĮ 5 straipsnio 6 punktą FŽP bendradarbiauja ir keičiasi informacija su užsienio valstybių FŽP, </w:t>
      </w:r>
      <w:r w:rsidR="003C1DDD" w:rsidRPr="004456A8">
        <w:rPr>
          <w:szCs w:val="24"/>
        </w:rPr>
        <w:t xml:space="preserve">laikytume, kad </w:t>
      </w:r>
      <w:r w:rsidRPr="004456A8">
        <w:rPr>
          <w:szCs w:val="24"/>
        </w:rPr>
        <w:t>Direktyvos 2015/849  53 straipsnio nuostata į nacionalinę teisę perkelta</w:t>
      </w:r>
      <w:r w:rsidR="003C1DDD" w:rsidRPr="004456A8">
        <w:rPr>
          <w:szCs w:val="24"/>
        </w:rPr>
        <w:t xml:space="preserve"> visiškai</w:t>
      </w:r>
      <w:r w:rsidRPr="004456A8">
        <w:rPr>
          <w:szCs w:val="24"/>
        </w:rPr>
        <w:t xml:space="preserve">. </w:t>
      </w:r>
    </w:p>
    <w:p w14:paraId="0F0EA5C6" w14:textId="77777777" w:rsidR="00B3186C" w:rsidRPr="004456A8" w:rsidRDefault="00B3186C" w:rsidP="00B3186C">
      <w:pPr>
        <w:ind w:firstLine="851"/>
        <w:jc w:val="both"/>
        <w:rPr>
          <w:b/>
          <w:szCs w:val="24"/>
          <w:highlight w:val="lightGray"/>
        </w:rPr>
      </w:pPr>
    </w:p>
    <w:p w14:paraId="3FFA4B89" w14:textId="77777777" w:rsidR="00381014" w:rsidRPr="004456A8" w:rsidRDefault="00B3186C" w:rsidP="00B3186C">
      <w:pPr>
        <w:ind w:firstLine="851"/>
        <w:jc w:val="both"/>
        <w:rPr>
          <w:b/>
          <w:szCs w:val="24"/>
        </w:rPr>
      </w:pPr>
      <w:r w:rsidRPr="004456A8">
        <w:rPr>
          <w:b/>
          <w:szCs w:val="24"/>
        </w:rPr>
        <w:t>12. Dėl 54 straipsnio dėl dokumentų ir informacijos, kuriais keičiasi FŽP, naudojimo, įskaitant tokių dokumentų ir inf</w:t>
      </w:r>
      <w:r w:rsidR="00381014" w:rsidRPr="004456A8">
        <w:rPr>
          <w:b/>
          <w:szCs w:val="24"/>
        </w:rPr>
        <w:t>ormacijos naudojimo apribojimus</w:t>
      </w:r>
    </w:p>
    <w:p w14:paraId="00309FDD" w14:textId="77777777" w:rsidR="00B3186C" w:rsidRPr="004456A8" w:rsidRDefault="00B3186C" w:rsidP="00B3186C">
      <w:pPr>
        <w:ind w:firstLine="851"/>
        <w:jc w:val="both"/>
        <w:rPr>
          <w:szCs w:val="24"/>
        </w:rPr>
      </w:pPr>
      <w:r w:rsidRPr="004456A8">
        <w:rPr>
          <w:szCs w:val="24"/>
        </w:rPr>
        <w:t>Nuostata: „</w:t>
      </w:r>
      <w:r w:rsidRPr="004456A8">
        <w:rPr>
          <w:i/>
          <w:szCs w:val="24"/>
        </w:rPr>
        <w:t>Pagal 52 ir 53 straipsnius gauta informacija ir dokumentai naudojami šioje direktyvoje nustatytoms FŽP pareigoms vykdyti. Pagal 52 ir 53 straipsnius keisdamasis informacija ir dokumentais, juos teikiantis FŽP gali nustatyti tos informacijos naudojimo apribojimus ir sąlygas. Juos gaunantis FŽP laikosi tokių apribojimų ir sąlygų.</w:t>
      </w:r>
      <w:r w:rsidR="00381014" w:rsidRPr="004456A8">
        <w:rPr>
          <w:szCs w:val="24"/>
        </w:rPr>
        <w:t>“</w:t>
      </w:r>
    </w:p>
    <w:p w14:paraId="647193A3" w14:textId="1F82C1B6" w:rsidR="00B3186C" w:rsidRPr="004456A8" w:rsidRDefault="00B3186C" w:rsidP="00B3186C">
      <w:pPr>
        <w:ind w:firstLine="851"/>
        <w:jc w:val="both"/>
        <w:rPr>
          <w:szCs w:val="24"/>
        </w:rPr>
      </w:pPr>
      <w:r w:rsidRPr="004456A8">
        <w:rPr>
          <w:szCs w:val="24"/>
        </w:rPr>
        <w:t>Direktyvos 2015/849 54 straipsnio nuostatą nacionali</w:t>
      </w:r>
      <w:r w:rsidR="00397478" w:rsidRPr="004456A8">
        <w:rPr>
          <w:szCs w:val="24"/>
        </w:rPr>
        <w:t>nėje teisėje užtikrina</w:t>
      </w:r>
      <w:r w:rsidRPr="004456A8">
        <w:rPr>
          <w:szCs w:val="24"/>
        </w:rPr>
        <w:t xml:space="preserve"> 2008 m. balandžio 8 d. sutartis, kuria Finansinių nusikaltimų tyrimo tarnyba prie Lietuvos Respublikos vidaus reikalų ministerijos prisijungė prie Egmonto grupės finansinės žvalgybos padalinių chartijos.</w:t>
      </w:r>
    </w:p>
    <w:p w14:paraId="7439B073" w14:textId="77777777" w:rsidR="00B3186C" w:rsidRPr="004456A8" w:rsidRDefault="00B3186C" w:rsidP="00B3186C">
      <w:pPr>
        <w:ind w:firstLine="851"/>
        <w:jc w:val="both"/>
        <w:rPr>
          <w:szCs w:val="24"/>
        </w:rPr>
      </w:pPr>
      <w:r w:rsidRPr="004456A8">
        <w:rPr>
          <w:szCs w:val="24"/>
        </w:rPr>
        <w:t xml:space="preserve">Vadovaujantis Egmonto grupės finansinės žvalgybos padalinių chartija, visi nariai, remdamiesi abipusiškumo principu ar tarpusavio sutarimu bei laikydamiesi pagrindinių Pasikeitimo informacija principuose įtvirtintų principų, skatina kiek įmanoma platesnį bendradarbiavimą ir keitimąsi informacija su kitais Egmonto grupės FŽP: laisvas keitimasis informacija analizės FŽP lygiu tikslais; informacijos neplatinimas ir nenaudojimas jokiais kitais tikslais be išankstinio informaciją teikiančio FŽP sutikimo ir informacijos konfidencialumo apsauga. Pasikeitimo informacija principų 32 punktas nustato Direktyvos 2015/849  54 straipsniui analogišką nuostatą. </w:t>
      </w:r>
    </w:p>
    <w:p w14:paraId="64332B01" w14:textId="77777777" w:rsidR="00B3186C" w:rsidRPr="004456A8" w:rsidRDefault="00B3186C" w:rsidP="00B3186C">
      <w:pPr>
        <w:ind w:firstLine="851"/>
        <w:jc w:val="both"/>
        <w:rPr>
          <w:szCs w:val="24"/>
        </w:rPr>
      </w:pPr>
      <w:r w:rsidRPr="004456A8">
        <w:rPr>
          <w:szCs w:val="24"/>
        </w:rPr>
        <w:t xml:space="preserve">Atsižvelgiant į tai, kad FŽP informaciją ir dokumentus naudoja savo pareigoms vykdyti, taip pat gali nustatyti informacijos naudojimo apribojimus ir sąlygas bei pats laikosi tokių apribojimų ir sąlygų, </w:t>
      </w:r>
      <w:r w:rsidR="00381014" w:rsidRPr="004456A8">
        <w:rPr>
          <w:szCs w:val="24"/>
        </w:rPr>
        <w:t xml:space="preserve">vertiname, kad </w:t>
      </w:r>
      <w:r w:rsidRPr="004456A8">
        <w:rPr>
          <w:szCs w:val="24"/>
        </w:rPr>
        <w:t>Direktyvos 2015/849  54 straipsnio nuostata į nacionalinę teisę perkelta</w:t>
      </w:r>
      <w:r w:rsidR="00381014" w:rsidRPr="004456A8">
        <w:rPr>
          <w:szCs w:val="24"/>
        </w:rPr>
        <w:t xml:space="preserve"> visiškai</w:t>
      </w:r>
      <w:r w:rsidRPr="004456A8">
        <w:rPr>
          <w:szCs w:val="24"/>
        </w:rPr>
        <w:t xml:space="preserve">. </w:t>
      </w:r>
    </w:p>
    <w:p w14:paraId="1A05AFB0" w14:textId="77777777" w:rsidR="00B3186C" w:rsidRPr="004456A8" w:rsidRDefault="00B3186C" w:rsidP="00B3186C">
      <w:pPr>
        <w:ind w:firstLine="851"/>
        <w:jc w:val="both"/>
        <w:rPr>
          <w:szCs w:val="24"/>
        </w:rPr>
      </w:pPr>
    </w:p>
    <w:p w14:paraId="6731C31C" w14:textId="77777777" w:rsidR="00381014" w:rsidRPr="004456A8" w:rsidRDefault="00B3186C" w:rsidP="00B3186C">
      <w:pPr>
        <w:ind w:firstLine="851"/>
        <w:jc w:val="both"/>
        <w:rPr>
          <w:b/>
          <w:szCs w:val="24"/>
        </w:rPr>
      </w:pPr>
      <w:r w:rsidRPr="004456A8">
        <w:rPr>
          <w:b/>
          <w:szCs w:val="24"/>
        </w:rPr>
        <w:t>13. Dėl 55 straipsnio dėl dokumentų ir informacijos naudojimo tik nustatytais tikslais ir FŽP pareigos teikti kompetentingoms institucijom</w:t>
      </w:r>
      <w:r w:rsidR="00381014" w:rsidRPr="004456A8">
        <w:rPr>
          <w:b/>
          <w:szCs w:val="24"/>
        </w:rPr>
        <w:t>s sutikimą platinti informaciją</w:t>
      </w:r>
    </w:p>
    <w:p w14:paraId="7B16F0A5" w14:textId="77777777" w:rsidR="00B3186C" w:rsidRPr="004456A8" w:rsidRDefault="00B3186C" w:rsidP="00B3186C">
      <w:pPr>
        <w:ind w:firstLine="851"/>
        <w:jc w:val="both"/>
        <w:rPr>
          <w:szCs w:val="24"/>
        </w:rPr>
      </w:pPr>
      <w:r w:rsidRPr="004456A8">
        <w:rPr>
          <w:szCs w:val="24"/>
        </w:rPr>
        <w:t>Nuostata:</w:t>
      </w:r>
      <w:r w:rsidRPr="004456A8">
        <w:rPr>
          <w:b/>
          <w:szCs w:val="24"/>
        </w:rPr>
        <w:t xml:space="preserve"> </w:t>
      </w:r>
      <w:r w:rsidRPr="004456A8">
        <w:rPr>
          <w:szCs w:val="24"/>
        </w:rPr>
        <w:t>„</w:t>
      </w:r>
      <w:r w:rsidRPr="004456A8">
        <w:rPr>
          <w:i/>
          <w:szCs w:val="24"/>
        </w:rPr>
        <w:t xml:space="preserve">Valstybės narės užtikrina, kad informacija, kuria apsikeista pagal 52 ir 53 straipsnius, būtų naudojama tik tuo tikslu, kuriuo jos buvo prašoma ar kuriuo ji buvo pateikta, ir kad gaunančiojo FŽP gautos informacijos platinimo bet kokiai kitai institucijai, agentūrai ar skyriui atveju arba bet kokio tos informacijos naudojimo tokiais tikslais, kurie viršija iš pradžių patvirtintus tikslus, atveju būtų privaloma gauti išankstinį informaciją suteikusio FŽP sutikimą. 2.   Valstybės narės užtikrina, kad prašomas FŽP išankstinis sutikimas dėl informacijos platinimo kompetentingoms institucijoms būtų suteiktas nedelsiant ir kuo didesne apimtimi. Gavęs prašymą FŽP negali atsisakyti duoti sutikimą dėl tokio platinimo, išskyrus tuos atvejus, kai tai viršytų jo kovos su pinigų plovimu ir teroristų finansavimu nuostatų taikymo sritį, galėtų pakenkti baudžiamajam tyrimui, būtų aiškiai </w:t>
      </w:r>
      <w:r w:rsidRPr="004456A8">
        <w:rPr>
          <w:i/>
          <w:szCs w:val="24"/>
        </w:rPr>
        <w:lastRenderedPageBreak/>
        <w:t>neproporcinga teisėtiems fizinio ar juridinio asmens arba prašymą gavusio FŽP valstybės narės interesams arba kitaip neatitiktų tos valstybės narės nacionalinės teisės pagrindinių principų. Kiekvienas toks atsisakymas duoti sutikimą yra tinkamai paaiškinamas.</w:t>
      </w:r>
      <w:r w:rsidR="00381014" w:rsidRPr="004456A8">
        <w:rPr>
          <w:szCs w:val="24"/>
        </w:rPr>
        <w:t>“</w:t>
      </w:r>
    </w:p>
    <w:p w14:paraId="3A1AE43A" w14:textId="77777777" w:rsidR="00B3186C" w:rsidRPr="004456A8" w:rsidRDefault="00B3186C" w:rsidP="00B3186C">
      <w:pPr>
        <w:ind w:firstLine="851"/>
        <w:jc w:val="both"/>
        <w:rPr>
          <w:szCs w:val="24"/>
        </w:rPr>
      </w:pPr>
      <w:r w:rsidRPr="004456A8">
        <w:rPr>
          <w:szCs w:val="24"/>
        </w:rPr>
        <w:t>Direktyvos 2015/849 55 straipsnio nuostatą nacionalinėje teisėje užtikrina 2008 m. balandžio 8 d. sutartis, kuria Finansinių nusikaltimų tyrimo tarnyba prie Lietuvos Respublikos vidaus reikalų ministerijos prisijungė prie Egmonto grupės finansinės žvalgybos padalinių chartijos.</w:t>
      </w:r>
    </w:p>
    <w:p w14:paraId="34B24955" w14:textId="77777777" w:rsidR="00B3186C" w:rsidRPr="004456A8" w:rsidRDefault="00B3186C" w:rsidP="00B3186C">
      <w:pPr>
        <w:ind w:firstLine="851"/>
        <w:jc w:val="both"/>
        <w:rPr>
          <w:szCs w:val="24"/>
        </w:rPr>
      </w:pPr>
      <w:r w:rsidRPr="004456A8">
        <w:rPr>
          <w:szCs w:val="24"/>
        </w:rPr>
        <w:t xml:space="preserve">Vadovaujantis Egmonto grupės finansinės žvalgybos padalinių chartija, visi nariai, remdamiesi abipusiškumo principu ar tarpusavio sutarimu bei laikydamiesi pagrindinių Pasikeitimo informacija principuose įtvirtintų principų, skatina kiek įmanoma sklandesnį bendradarbiavimą ir keitimąsi informacija su kitais Egmonto grupės FŽP: laisvas keitimasis informacija analizės FŽP lygiu tikslais; informacijos neplatinimas ir nenaudojimas jokiais kitais tikslais be išankstinio informaciją teikiančio FŽP sutikimo ir informacijos konfidencialumo apsauga. Pasikeitimo informacija principų 26, 32 punktas nustato Direktyvos 2015/849  55 straipsniui analogišką nuostatą. </w:t>
      </w:r>
    </w:p>
    <w:p w14:paraId="36B40790" w14:textId="77777777" w:rsidR="00B3186C" w:rsidRPr="004456A8" w:rsidRDefault="00B3186C" w:rsidP="00B3186C">
      <w:pPr>
        <w:ind w:firstLine="851"/>
        <w:jc w:val="both"/>
        <w:rPr>
          <w:szCs w:val="24"/>
        </w:rPr>
      </w:pPr>
      <w:r w:rsidRPr="004456A8">
        <w:rPr>
          <w:szCs w:val="24"/>
        </w:rPr>
        <w:t xml:space="preserve">Atsižvelgiant į tai, kad FŽP informaciją naudoja tik tuo tikslu, kuriuo jos buvo prašoma ar kuriuo ji buvo pateikta, informacija platinama tik turint išankstinį informaciją suteikusio FŽP sutikimą, pats FŽP išankstinį sutikimą dėl informacijos platinimo suteikia nedelsiant ir kuo išsamiau, o FŽP neprivalo duoti sutikimo dėl informacijos pateikimo Direktyvos 2015/849  55 straipsnio 2 dalyje nurodytais atvejais, </w:t>
      </w:r>
      <w:r w:rsidR="00B9797A" w:rsidRPr="004456A8">
        <w:rPr>
          <w:szCs w:val="24"/>
        </w:rPr>
        <w:t xml:space="preserve">manome, kad </w:t>
      </w:r>
      <w:r w:rsidRPr="004456A8">
        <w:rPr>
          <w:szCs w:val="24"/>
        </w:rPr>
        <w:t>Direktyvos 2015/849  55 straipsnio nuostata į nacionalinę teisę perkelta</w:t>
      </w:r>
      <w:r w:rsidR="00B9797A" w:rsidRPr="004456A8">
        <w:rPr>
          <w:szCs w:val="24"/>
        </w:rPr>
        <w:t xml:space="preserve"> visiškai</w:t>
      </w:r>
      <w:r w:rsidRPr="004456A8">
        <w:rPr>
          <w:szCs w:val="24"/>
        </w:rPr>
        <w:t xml:space="preserve">. </w:t>
      </w:r>
    </w:p>
    <w:p w14:paraId="3392F64E" w14:textId="77777777" w:rsidR="00B3186C" w:rsidRPr="004456A8" w:rsidRDefault="00B3186C" w:rsidP="00B3186C">
      <w:pPr>
        <w:ind w:firstLine="851"/>
        <w:jc w:val="both"/>
        <w:rPr>
          <w:szCs w:val="24"/>
        </w:rPr>
      </w:pPr>
    </w:p>
    <w:p w14:paraId="27FFE3C2" w14:textId="77777777" w:rsidR="002C62BC" w:rsidRPr="004456A8" w:rsidRDefault="00B3186C" w:rsidP="00B3186C">
      <w:pPr>
        <w:ind w:firstLine="851"/>
        <w:jc w:val="both"/>
        <w:rPr>
          <w:b/>
          <w:szCs w:val="24"/>
        </w:rPr>
      </w:pPr>
      <w:r w:rsidRPr="004456A8">
        <w:rPr>
          <w:b/>
          <w:szCs w:val="24"/>
        </w:rPr>
        <w:t>14. Dėl 56 straipsnio, pagal kurį valstybės narės privalo reikalauti, kad jų FŽP naudotų saugius tarpusavio bendravimo kanalus, ir skatinti naudotis „FIU.net“ arba jį pakeisiančia priemone, taip pat užtikrinti, kad jų FŽP pagal nacionalinę teisę bendradarbiautų pažangiaus</w:t>
      </w:r>
      <w:r w:rsidR="002C62BC" w:rsidRPr="004456A8">
        <w:rPr>
          <w:b/>
          <w:szCs w:val="24"/>
        </w:rPr>
        <w:t>ių technologijų taikymo srityje</w:t>
      </w:r>
    </w:p>
    <w:p w14:paraId="1ED13FA7" w14:textId="77777777" w:rsidR="00B3186C" w:rsidRPr="004456A8" w:rsidRDefault="00B3186C" w:rsidP="00B3186C">
      <w:pPr>
        <w:ind w:firstLine="851"/>
        <w:jc w:val="both"/>
        <w:rPr>
          <w:b/>
          <w:szCs w:val="24"/>
        </w:rPr>
      </w:pPr>
      <w:r w:rsidRPr="004456A8">
        <w:rPr>
          <w:szCs w:val="24"/>
        </w:rPr>
        <w:t>Nuostata: „</w:t>
      </w:r>
      <w:r w:rsidRPr="004456A8">
        <w:rPr>
          <w:i/>
          <w:szCs w:val="24"/>
        </w:rPr>
        <w:t>Valstybės narės reikalauja, kad jų FŽP naudotų saugius tarpusavio bendravimo kanalus, ir skatina naudotis „FIU.net“ arba jį pakeisiančia priemone. 2. Valstybės narės užtikrina, kad jų FŽP, siekdami atlikti šioje direktyvoje jiems nustatytas užduotis, pagal nacionalinę teisę bendradarbiautų pažangiausių technologijų taikymo srityje. Tos technologijos sudaro sąlygas FŽP savo duomenis lyginti su kitų FŽP duomenimis anonimiškai ir užtikrinant visišką asmens duomenų apsaugą, siekiant nustatyti FŽP dominančius subjektus kitose valstybėse narėse ir identifikuoti jų pajamas ir lėšas</w:t>
      </w:r>
      <w:r w:rsidR="002C62BC" w:rsidRPr="004456A8">
        <w:rPr>
          <w:szCs w:val="24"/>
        </w:rPr>
        <w:t>.“</w:t>
      </w:r>
    </w:p>
    <w:p w14:paraId="5C83A9A8" w14:textId="77777777" w:rsidR="00B3186C" w:rsidRPr="004456A8" w:rsidRDefault="00B3186C" w:rsidP="00B3186C">
      <w:pPr>
        <w:ind w:firstLine="851"/>
        <w:jc w:val="both"/>
        <w:rPr>
          <w:szCs w:val="24"/>
        </w:rPr>
      </w:pPr>
      <w:r w:rsidRPr="004456A8">
        <w:rPr>
          <w:szCs w:val="24"/>
        </w:rPr>
        <w:t>Direktyvos 2015/849 56 straipsnio nuostatą nacionalinėje teisėje užtikrina 2008 m. balandžio 8 d. sutartis, kuria Finansinių nusikaltimų tyrimo tarnyba prie Lietuvos Respublikos vidaus reikalų ministerijos prisijungė prie Egmonto grupės finansinės žvalgybos padalinių chartijos.</w:t>
      </w:r>
    </w:p>
    <w:p w14:paraId="42107084" w14:textId="77777777" w:rsidR="00B3186C" w:rsidRPr="004456A8" w:rsidRDefault="00B3186C" w:rsidP="00B3186C">
      <w:pPr>
        <w:ind w:firstLine="851"/>
        <w:jc w:val="both"/>
        <w:rPr>
          <w:szCs w:val="24"/>
        </w:rPr>
      </w:pPr>
      <w:r w:rsidRPr="004456A8">
        <w:rPr>
          <w:szCs w:val="24"/>
        </w:rPr>
        <w:t>Vadovaujantis Egmonto grupės finansinės žvalgybos padalinių chartija, visi nariai, remdamiesi abipusiškumo principu ar tarpusavio sutarimu bei laikydamiesi pagrindinių Pasikeitimo informacija principuose įtvirtintų sąlygų, skatina kiek įmanoma sklandesnį bendradarbiavimą ir keitimąsi informacija su kitais Egmonto grupės FŽP: laisvas keitimasis informacija analizės FŽP lygiu tikslais; informacijos neplatinimas ir nenaudojimas jokiais kitais tikslais be išankstinio informaciją teikiančio FŽP sutikimo ir informacijos konfidencialumo apsauga. Pasikeitimo informacija principų 34, 35 punktas nustato Direktyvos 2015/849  56 straipsniui analogišką nuostatą.  Sąlygas FŽP savo duomenis lyginti su kitų FŽP duomenimis anonimiškai ir užtikrinant visišką asmens duomenų apsaugą, siekiant nustatyti FŽP dominančius subjektus kitose valstybėse narėse ir identifikuoti jų pajamas ir lėšas, užtikrina uždaro tarptautinio keitimosi informacija tinklo „FIU.net“ funkcionalumas.</w:t>
      </w:r>
    </w:p>
    <w:p w14:paraId="0BB953AB" w14:textId="77777777" w:rsidR="00B3186C" w:rsidRPr="004456A8" w:rsidRDefault="00B3186C" w:rsidP="00B3186C">
      <w:pPr>
        <w:ind w:firstLine="851"/>
        <w:jc w:val="both"/>
        <w:rPr>
          <w:szCs w:val="24"/>
        </w:rPr>
      </w:pPr>
      <w:r w:rsidRPr="004456A8">
        <w:rPr>
          <w:szCs w:val="24"/>
        </w:rPr>
        <w:t xml:space="preserve">Atsižvelgiant į tai, kad FŽP naudoja tik saugius tarpusavio bendravimo kanalus, tarp jų </w:t>
      </w:r>
      <w:r w:rsidR="002C62BC" w:rsidRPr="004456A8">
        <w:rPr>
          <w:szCs w:val="24"/>
        </w:rPr>
        <w:t xml:space="preserve">- </w:t>
      </w:r>
      <w:r w:rsidRPr="004456A8">
        <w:rPr>
          <w:szCs w:val="24"/>
        </w:rPr>
        <w:t xml:space="preserve">„FIU.net“, ir bendradarbiauja pažangiausių technologijų taikymo srityje, </w:t>
      </w:r>
      <w:r w:rsidR="002C62BC" w:rsidRPr="004456A8">
        <w:rPr>
          <w:szCs w:val="24"/>
        </w:rPr>
        <w:t xml:space="preserve">vertiname, kad </w:t>
      </w:r>
      <w:r w:rsidRPr="004456A8">
        <w:rPr>
          <w:szCs w:val="24"/>
        </w:rPr>
        <w:t>Direktyvos 2015/849 56 straipsnio nuostata į nacionalinę teisę perkelta</w:t>
      </w:r>
      <w:r w:rsidR="002C62BC" w:rsidRPr="004456A8">
        <w:rPr>
          <w:szCs w:val="24"/>
        </w:rPr>
        <w:t xml:space="preserve"> visiškai</w:t>
      </w:r>
      <w:r w:rsidRPr="004456A8">
        <w:rPr>
          <w:szCs w:val="24"/>
        </w:rPr>
        <w:t xml:space="preserve">. </w:t>
      </w:r>
    </w:p>
    <w:p w14:paraId="5FCB872F" w14:textId="77777777" w:rsidR="00B3186C" w:rsidRPr="004456A8" w:rsidRDefault="00B3186C" w:rsidP="00B3186C">
      <w:pPr>
        <w:ind w:firstLine="851"/>
        <w:jc w:val="both"/>
        <w:rPr>
          <w:b/>
          <w:szCs w:val="24"/>
          <w:highlight w:val="lightGray"/>
        </w:rPr>
      </w:pPr>
    </w:p>
    <w:p w14:paraId="1E0DFB88" w14:textId="77777777" w:rsidR="00F24A79" w:rsidRPr="004456A8" w:rsidRDefault="00B3186C" w:rsidP="00B3186C">
      <w:pPr>
        <w:ind w:firstLine="851"/>
        <w:jc w:val="both"/>
        <w:rPr>
          <w:b/>
          <w:szCs w:val="24"/>
        </w:rPr>
      </w:pPr>
      <w:r w:rsidRPr="004456A8">
        <w:rPr>
          <w:b/>
          <w:szCs w:val="24"/>
        </w:rPr>
        <w:t>15. Dėl 57 straipsnio, kuriame nustatyta, kad mokestinių nusikaltimų apibrėžčių nacionalinėje teisėje skirtumai neriboja keitimosi informacija ir netrukdo FŽP teikti pagalbos kitam FŽP, kiek tai įma</w:t>
      </w:r>
      <w:r w:rsidR="00F24A79" w:rsidRPr="004456A8">
        <w:rPr>
          <w:b/>
          <w:szCs w:val="24"/>
        </w:rPr>
        <w:t>noma pagal jų nacionalinę teisę</w:t>
      </w:r>
    </w:p>
    <w:p w14:paraId="197741A3" w14:textId="77777777" w:rsidR="00B3186C" w:rsidRPr="004456A8" w:rsidRDefault="00B3186C" w:rsidP="00B3186C">
      <w:pPr>
        <w:ind w:firstLine="851"/>
        <w:jc w:val="both"/>
        <w:rPr>
          <w:i/>
          <w:szCs w:val="24"/>
        </w:rPr>
      </w:pPr>
      <w:r w:rsidRPr="004456A8">
        <w:rPr>
          <w:szCs w:val="24"/>
        </w:rPr>
        <w:lastRenderedPageBreak/>
        <w:t xml:space="preserve">Nuostata: </w:t>
      </w:r>
      <w:r w:rsidRPr="004456A8">
        <w:rPr>
          <w:i/>
          <w:szCs w:val="24"/>
        </w:rPr>
        <w:t xml:space="preserve">„Mokestinių nusikaltimų apibrėžčių nacionalinėje teisėje skirtumai netrukdo FŽP kiek įmanoma pagal jų nacionalinę teisę keistis informacija su kitu </w:t>
      </w:r>
      <w:r w:rsidR="00F24A79" w:rsidRPr="004456A8">
        <w:rPr>
          <w:i/>
          <w:szCs w:val="24"/>
        </w:rPr>
        <w:t>FŽP arba jam suteikti pagalbą.“</w:t>
      </w:r>
    </w:p>
    <w:p w14:paraId="0F1DCAA8" w14:textId="77777777" w:rsidR="00B3186C" w:rsidRPr="004456A8" w:rsidRDefault="00B3186C" w:rsidP="00B3186C">
      <w:pPr>
        <w:ind w:firstLine="851"/>
        <w:jc w:val="both"/>
        <w:rPr>
          <w:szCs w:val="24"/>
        </w:rPr>
      </w:pPr>
      <w:r w:rsidRPr="004456A8">
        <w:rPr>
          <w:szCs w:val="24"/>
        </w:rPr>
        <w:t>Direktyvos 2015/849 57 straipsnio nuostatą nacionalinėje teisėje užtikrina 2008 m. balandžio 8 d. sutartis, kuria Finansinių nusikaltimų tyrimo tarnyba prie Lietuvos Respublikos vidaus reikalų ministerijos prisijungė prie Egmonto grupės finansinės žvalgybos padalinių chartijos.</w:t>
      </w:r>
    </w:p>
    <w:p w14:paraId="04F44A9A" w14:textId="77777777" w:rsidR="00B3186C" w:rsidRPr="004456A8" w:rsidRDefault="00B3186C" w:rsidP="00B3186C">
      <w:pPr>
        <w:ind w:firstLine="851"/>
        <w:jc w:val="both"/>
        <w:rPr>
          <w:szCs w:val="24"/>
        </w:rPr>
      </w:pPr>
      <w:r w:rsidRPr="004456A8">
        <w:rPr>
          <w:szCs w:val="24"/>
        </w:rPr>
        <w:t xml:space="preserve">Visi Egmonto grupės finansinės žvalgybos padalinių chartijos nariai, remdamiesi abipusiškumo principu ar tarpusavio sutarimu bei laikydamiesi pagrindinių Pasikeitimo informacija principuose įtvirtintų reikalavimų, skatina kiek įmanoma sklandesnį bendradarbiavimą ir keitimąsi informacija su kitais Egmonto grupės FŽP: laisvas keitimasis informacija analizės FŽP lygiu tikslais; informacijos neplatinimas ir nenaudojimas jokiais kitais tikslais be išankstinio informaciją teikiančio FŽP sutikimo ir informacijos konfidencialumo apsauga. Pasikeitimo informacija principų 24 punktas nustato Direktyvos 2015/849 57 straipsniui analogišką nuostatą. </w:t>
      </w:r>
    </w:p>
    <w:p w14:paraId="2ADEB8EF" w14:textId="77777777" w:rsidR="00B3186C" w:rsidRPr="004456A8" w:rsidRDefault="00B3186C" w:rsidP="00B3186C">
      <w:pPr>
        <w:ind w:firstLine="851"/>
        <w:jc w:val="both"/>
        <w:rPr>
          <w:szCs w:val="24"/>
        </w:rPr>
      </w:pPr>
      <w:r w:rsidRPr="004456A8">
        <w:rPr>
          <w:szCs w:val="24"/>
        </w:rPr>
        <w:t xml:space="preserve">Atsižvelgiant į tai, kad mokestinių nusikaltimų apibrėžčių skirtumai netrukdo Lietuvos FŽP keistis informacija su užsienio valstybės FŽP arba jiems suteikti pagalbą, </w:t>
      </w:r>
      <w:r w:rsidR="00AB02A9" w:rsidRPr="004456A8">
        <w:rPr>
          <w:szCs w:val="24"/>
        </w:rPr>
        <w:t xml:space="preserve">laikome, kad </w:t>
      </w:r>
      <w:r w:rsidRPr="004456A8">
        <w:rPr>
          <w:szCs w:val="24"/>
        </w:rPr>
        <w:t>Direktyvos 2015/849 57 straipsnio nuostata į nacionalinę teisę perkelta</w:t>
      </w:r>
      <w:r w:rsidR="00AB02A9" w:rsidRPr="004456A8">
        <w:rPr>
          <w:szCs w:val="24"/>
        </w:rPr>
        <w:t xml:space="preserve"> visiškai</w:t>
      </w:r>
      <w:r w:rsidRPr="004456A8">
        <w:rPr>
          <w:szCs w:val="24"/>
        </w:rPr>
        <w:t xml:space="preserve">. </w:t>
      </w:r>
    </w:p>
    <w:p w14:paraId="3D696B23" w14:textId="77777777" w:rsidR="00B3186C" w:rsidRPr="004456A8" w:rsidRDefault="00B3186C" w:rsidP="00B3186C">
      <w:pPr>
        <w:ind w:firstLine="851"/>
        <w:jc w:val="both"/>
        <w:rPr>
          <w:szCs w:val="24"/>
        </w:rPr>
      </w:pPr>
    </w:p>
    <w:p w14:paraId="103FEE0B" w14:textId="77777777" w:rsidR="00AB02A9" w:rsidRPr="004456A8" w:rsidRDefault="00B3186C" w:rsidP="00B3186C">
      <w:pPr>
        <w:ind w:firstLine="851"/>
        <w:jc w:val="both"/>
        <w:rPr>
          <w:b/>
          <w:szCs w:val="24"/>
        </w:rPr>
      </w:pPr>
      <w:r w:rsidRPr="004456A8">
        <w:rPr>
          <w:b/>
          <w:szCs w:val="24"/>
        </w:rPr>
        <w:t>16. Dėl 60 straipsnio 5 dalies a–c punktų d</w:t>
      </w:r>
      <w:r w:rsidR="00AB02A9" w:rsidRPr="004456A8">
        <w:rPr>
          <w:b/>
          <w:szCs w:val="24"/>
        </w:rPr>
        <w:t>ėl juridinių asmenų atsakomybės</w:t>
      </w:r>
    </w:p>
    <w:p w14:paraId="7F9BC4AE" w14:textId="77777777" w:rsidR="00B3186C" w:rsidRPr="004456A8" w:rsidRDefault="00B3186C" w:rsidP="00B3186C">
      <w:pPr>
        <w:ind w:firstLine="851"/>
        <w:jc w:val="both"/>
        <w:rPr>
          <w:szCs w:val="24"/>
        </w:rPr>
      </w:pPr>
      <w:r w:rsidRPr="004456A8">
        <w:rPr>
          <w:szCs w:val="24"/>
        </w:rPr>
        <w:t>Nuostata: „</w:t>
      </w:r>
      <w:r w:rsidRPr="004456A8">
        <w:rPr>
          <w:i/>
          <w:szCs w:val="24"/>
        </w:rPr>
        <w:t>Valstybės narės užtikrina, kad juridinius asmenis būtų galima traukti atsakomybėn už 59 straipsnio 1 dalyje nurodytus pažeidimus, kuriuos juridinio asmens naudai padarė bet koks asmuo, veikdamas tiek individualiai, tiek kaip to juridinio asmens organo dalis ir tame juridiniame asmenyje einantis vadovaujamas pareigas, remdamasis: a) įgaliojimu atstovauti juridiniam asmeniui; b) įgaliojimais juridinio asmens vardu priimti sprendimus arba c) įgaliojimais vykdyti kontrolę juridinio asmens struktūroje.</w:t>
      </w:r>
      <w:r w:rsidR="00AB02A9" w:rsidRPr="004456A8">
        <w:rPr>
          <w:szCs w:val="24"/>
        </w:rPr>
        <w:t>“</w:t>
      </w:r>
    </w:p>
    <w:p w14:paraId="300237C6" w14:textId="477624E8" w:rsidR="00EA4236" w:rsidRPr="004456A8" w:rsidRDefault="00B3186C" w:rsidP="00B3186C">
      <w:pPr>
        <w:ind w:firstLine="851"/>
        <w:jc w:val="both"/>
        <w:rPr>
          <w:szCs w:val="24"/>
        </w:rPr>
      </w:pPr>
      <w:r w:rsidRPr="004456A8">
        <w:rPr>
          <w:szCs w:val="24"/>
        </w:rPr>
        <w:t xml:space="preserve">Direktyvos 2015/849  60 straipsnio 5 dalies nuostatą nacionalinėje teisėje užtikrina PPTFPĮ 39, 40 straipsniai ir Administracinių nusižengimų kodekso 198 straipsnis, pagal kuriuos užtikrinama, kad juridinius asmenis būtų galima traukti atsakomybėn už Direktyvos 2015/849 59 straipsnio 1 dalyje nurodytus pažeidimus. </w:t>
      </w:r>
      <w:r w:rsidR="00C31E7F" w:rsidRPr="004456A8">
        <w:rPr>
          <w:szCs w:val="24"/>
        </w:rPr>
        <w:t xml:space="preserve">Dėl </w:t>
      </w:r>
      <w:r w:rsidRPr="004456A8">
        <w:rPr>
          <w:szCs w:val="24"/>
        </w:rPr>
        <w:t>Direktyvos 2015/849  60 straipsnio 5 dalies papildomai nurodome pastabą</w:t>
      </w:r>
      <w:r w:rsidR="000E7FDC" w:rsidRPr="004456A8">
        <w:rPr>
          <w:szCs w:val="24"/>
        </w:rPr>
        <w:t xml:space="preserve">, kad </w:t>
      </w:r>
      <w:r w:rsidR="008F13BE" w:rsidRPr="004456A8">
        <w:rPr>
          <w:szCs w:val="24"/>
        </w:rPr>
        <w:t>p</w:t>
      </w:r>
      <w:r w:rsidRPr="004456A8">
        <w:rPr>
          <w:szCs w:val="24"/>
        </w:rPr>
        <w:t>agal Lietuvos teisės jurisprudenciją</w:t>
      </w:r>
      <w:r w:rsidR="009F6844" w:rsidRPr="004456A8">
        <w:rPr>
          <w:szCs w:val="24"/>
        </w:rPr>
        <w:t xml:space="preserve"> ir nacionalinę praktiką</w:t>
      </w:r>
      <w:r w:rsidRPr="004456A8">
        <w:rPr>
          <w:szCs w:val="24"/>
        </w:rPr>
        <w:t>, juridinis asmuo atsako už fizinio asmens padarytas nusikalstamas veikas tik tuo atveju, jeigu nusikalstamą veiką juridinio asmens naudai arba interesais padarė fizinis asmuo, veikęs individualiai ar juridinio asmens vardu, jeigu jis, eidamas vadovaujančias pareigas juridiniame asmenyje, turėjo teisę: 1) atstovauti juridiniam asmeniui arba 2) priimti sprendimus juridinio asmens vardu, arba 3) kontroliuoti juridinio asmens veiklą. Juridinis asmuo gali atsakyti už nusikalstamas veikas ir tuo atveju, jeigu jas juridinio asmens naudai padarė juridinio asmens darbuotojas ar įgaliotas atstovas šio straipsnio 2 dalyje nurodyto asmens nurodymu ar leidimu arba dėl nepakankamos priežiūros arba kontrolės.</w:t>
      </w:r>
    </w:p>
    <w:p w14:paraId="0B969C69" w14:textId="77777777" w:rsidR="00C375B5" w:rsidRPr="004456A8" w:rsidRDefault="00C375B5" w:rsidP="00B3186C">
      <w:pPr>
        <w:ind w:firstLine="851"/>
        <w:jc w:val="both"/>
        <w:rPr>
          <w:szCs w:val="24"/>
        </w:rPr>
      </w:pPr>
    </w:p>
    <w:p w14:paraId="60227381" w14:textId="77777777" w:rsidR="00EA4236" w:rsidRPr="004456A8" w:rsidRDefault="00EA4236" w:rsidP="00EA4236">
      <w:pPr>
        <w:ind w:firstLine="851"/>
        <w:jc w:val="both"/>
        <w:rPr>
          <w:color w:val="000000" w:themeColor="text1"/>
          <w:szCs w:val="24"/>
        </w:rPr>
      </w:pPr>
      <w:r w:rsidRPr="004456A8">
        <w:rPr>
          <w:color w:val="000000" w:themeColor="text1"/>
          <w:szCs w:val="24"/>
        </w:rPr>
        <w:t xml:space="preserve">Lietuvos Respublikos vidaus reikalų ministerija nedelsdama pateiks papildomą informaciją ir paaiškinimus, jeigu Europos Komisijai iškiltų daugiau klausimų dėl Direktyvos </w:t>
      </w:r>
      <w:r w:rsidRPr="004456A8">
        <w:rPr>
          <w:rStyle w:val="tablecellcolumn"/>
          <w:szCs w:val="24"/>
        </w:rPr>
        <w:t xml:space="preserve">2015/849 </w:t>
      </w:r>
      <w:r w:rsidRPr="004456A8">
        <w:rPr>
          <w:color w:val="000000" w:themeColor="text1"/>
          <w:szCs w:val="24"/>
        </w:rPr>
        <w:t xml:space="preserve">perkėlimo ir  įgyvendinimo Lietuvos nacionalinėje teisėje. Tikimės, kad, atsižvelgdama į pateiktą informaciją, Europos Komisija nutrauks pradėtą Europos Sąjungos teisės pažeidimo procedūrą Nr. </w:t>
      </w:r>
      <w:r w:rsidRPr="004456A8">
        <w:rPr>
          <w:szCs w:val="24"/>
        </w:rPr>
        <w:t>Nr. 2017/0377.</w:t>
      </w:r>
    </w:p>
    <w:p w14:paraId="438CBA07" w14:textId="77777777" w:rsidR="00B038B2" w:rsidRPr="004456A8" w:rsidRDefault="00B038B2" w:rsidP="00B3186C">
      <w:pPr>
        <w:rPr>
          <w:szCs w:val="24"/>
        </w:rPr>
      </w:pPr>
    </w:p>
    <w:p w14:paraId="7748E1E6" w14:textId="77777777" w:rsidR="00EA4236" w:rsidRPr="004456A8" w:rsidRDefault="00EA4236" w:rsidP="00EA4236">
      <w:pPr>
        <w:ind w:firstLine="851"/>
        <w:jc w:val="both"/>
        <w:rPr>
          <w:szCs w:val="24"/>
        </w:rPr>
      </w:pPr>
      <w:r w:rsidRPr="004456A8">
        <w:rPr>
          <w:szCs w:val="24"/>
        </w:rPr>
        <w:t>PRIDEDAMA:</w:t>
      </w:r>
    </w:p>
    <w:p w14:paraId="420F338F" w14:textId="701BC32B" w:rsidR="00EA4236" w:rsidRPr="004456A8" w:rsidRDefault="00EA4236" w:rsidP="00EA4236">
      <w:pPr>
        <w:pStyle w:val="Sraopastraipa"/>
        <w:numPr>
          <w:ilvl w:val="0"/>
          <w:numId w:val="2"/>
        </w:numPr>
        <w:ind w:left="0" w:firstLine="851"/>
        <w:jc w:val="both"/>
        <w:rPr>
          <w:rStyle w:val="tablecellcolumn"/>
          <w:szCs w:val="24"/>
        </w:rPr>
      </w:pPr>
      <w:r w:rsidRPr="004456A8">
        <w:rPr>
          <w:szCs w:val="24"/>
        </w:rPr>
        <w:t>Atitikties lentelė</w:t>
      </w:r>
      <w:r w:rsidR="0078673B" w:rsidRPr="004456A8">
        <w:rPr>
          <w:rStyle w:val="tablecellcolumn"/>
          <w:szCs w:val="24"/>
        </w:rPr>
        <w:t xml:space="preserve">, </w:t>
      </w:r>
      <w:r w:rsidR="0007267A" w:rsidRPr="004456A8">
        <w:rPr>
          <w:rStyle w:val="tablecellcolumn"/>
          <w:szCs w:val="24"/>
        </w:rPr>
        <w:t>26</w:t>
      </w:r>
      <w:r w:rsidR="00C31E7F" w:rsidRPr="004456A8">
        <w:rPr>
          <w:rStyle w:val="tablecellcolumn"/>
          <w:szCs w:val="24"/>
        </w:rPr>
        <w:t xml:space="preserve"> lapai</w:t>
      </w:r>
      <w:r w:rsidRPr="004456A8">
        <w:rPr>
          <w:rStyle w:val="tablecellcolumn"/>
          <w:szCs w:val="24"/>
        </w:rPr>
        <w:t>;</w:t>
      </w:r>
    </w:p>
    <w:p w14:paraId="5C39CA4B" w14:textId="7F12AD74" w:rsidR="00B3186C" w:rsidRPr="004456A8" w:rsidRDefault="00B3186C" w:rsidP="00EA4236">
      <w:pPr>
        <w:pStyle w:val="Sraopastraipa"/>
        <w:numPr>
          <w:ilvl w:val="0"/>
          <w:numId w:val="2"/>
        </w:numPr>
        <w:ind w:left="0" w:firstLine="851"/>
        <w:jc w:val="both"/>
        <w:rPr>
          <w:szCs w:val="24"/>
        </w:rPr>
      </w:pPr>
      <w:r w:rsidRPr="004456A8">
        <w:rPr>
          <w:szCs w:val="24"/>
        </w:rPr>
        <w:t>Egmonto grupės finansinės žvalgybos padalinių chartijos Pas</w:t>
      </w:r>
      <w:r w:rsidR="00DC3E49" w:rsidRPr="004456A8">
        <w:rPr>
          <w:szCs w:val="24"/>
        </w:rPr>
        <w:t>ikeitimo informacija principai</w:t>
      </w:r>
      <w:r w:rsidRPr="004456A8">
        <w:rPr>
          <w:szCs w:val="24"/>
        </w:rPr>
        <w:t>, 6 lapai.</w:t>
      </w:r>
    </w:p>
    <w:p w14:paraId="301274D1" w14:textId="49534E3E" w:rsidR="006D48B2" w:rsidRPr="004456A8" w:rsidRDefault="006D48B2" w:rsidP="009364DC">
      <w:pPr>
        <w:pStyle w:val="Antrats"/>
        <w:tabs>
          <w:tab w:val="clear" w:pos="4153"/>
          <w:tab w:val="clear" w:pos="8306"/>
        </w:tabs>
        <w:jc w:val="both"/>
        <w:rPr>
          <w:color w:val="000000" w:themeColor="text1"/>
          <w:szCs w:val="24"/>
        </w:rPr>
      </w:pPr>
    </w:p>
    <w:p w14:paraId="4F183A09" w14:textId="77777777" w:rsidR="00681ADF" w:rsidRPr="004456A8" w:rsidRDefault="00681ADF" w:rsidP="00D74F08">
      <w:pPr>
        <w:pStyle w:val="Antrats"/>
        <w:tabs>
          <w:tab w:val="clear" w:pos="4153"/>
          <w:tab w:val="clear" w:pos="8306"/>
        </w:tabs>
        <w:ind w:right="-1"/>
        <w:jc w:val="both"/>
        <w:rPr>
          <w:color w:val="000000" w:themeColor="text1"/>
          <w:szCs w:val="24"/>
        </w:rPr>
      </w:pPr>
    </w:p>
    <w:p w14:paraId="7CDCC5A9" w14:textId="48B9A9B2" w:rsidR="00304ED5" w:rsidRPr="004456A8" w:rsidRDefault="00BC7E7E" w:rsidP="00683C72">
      <w:pPr>
        <w:pStyle w:val="Antrats"/>
        <w:tabs>
          <w:tab w:val="clear" w:pos="4153"/>
          <w:tab w:val="clear" w:pos="8306"/>
        </w:tabs>
        <w:rPr>
          <w:szCs w:val="24"/>
        </w:rPr>
      </w:pPr>
      <w:r w:rsidRPr="004456A8">
        <w:rPr>
          <w:color w:val="000000" w:themeColor="text1"/>
          <w:szCs w:val="24"/>
        </w:rPr>
        <w:t>Vidaus reikalų ministras</w:t>
      </w:r>
      <w:r w:rsidRPr="004456A8">
        <w:rPr>
          <w:color w:val="000000" w:themeColor="text1"/>
          <w:szCs w:val="24"/>
        </w:rPr>
        <w:tab/>
      </w:r>
      <w:r w:rsidRPr="004456A8">
        <w:rPr>
          <w:color w:val="000000" w:themeColor="text1"/>
          <w:szCs w:val="24"/>
        </w:rPr>
        <w:tab/>
      </w:r>
      <w:r w:rsidRPr="004456A8">
        <w:rPr>
          <w:color w:val="000000" w:themeColor="text1"/>
          <w:szCs w:val="24"/>
        </w:rPr>
        <w:tab/>
      </w:r>
      <w:r w:rsidRPr="004456A8">
        <w:rPr>
          <w:color w:val="000000" w:themeColor="text1"/>
          <w:szCs w:val="24"/>
        </w:rPr>
        <w:tab/>
      </w:r>
      <w:r w:rsidRPr="004456A8">
        <w:rPr>
          <w:color w:val="000000" w:themeColor="text1"/>
          <w:szCs w:val="24"/>
        </w:rPr>
        <w:tab/>
      </w:r>
      <w:r w:rsidRPr="004456A8">
        <w:rPr>
          <w:color w:val="000000" w:themeColor="text1"/>
          <w:szCs w:val="24"/>
        </w:rPr>
        <w:tab/>
      </w:r>
      <w:r w:rsidRPr="004456A8">
        <w:rPr>
          <w:color w:val="000000" w:themeColor="text1"/>
          <w:szCs w:val="24"/>
        </w:rPr>
        <w:tab/>
      </w:r>
      <w:r w:rsidRPr="004456A8">
        <w:rPr>
          <w:color w:val="000000" w:themeColor="text1"/>
          <w:szCs w:val="24"/>
        </w:rPr>
        <w:tab/>
        <w:t>Eimutis Misiūnas</w:t>
      </w:r>
    </w:p>
    <w:p w14:paraId="16973D5A" w14:textId="77777777" w:rsidR="00BC7E7E" w:rsidRPr="004456A8" w:rsidRDefault="00BC7E7E" w:rsidP="00683C72">
      <w:pPr>
        <w:pStyle w:val="Antrats"/>
        <w:tabs>
          <w:tab w:val="clear" w:pos="4153"/>
          <w:tab w:val="clear" w:pos="8306"/>
        </w:tabs>
        <w:rPr>
          <w:szCs w:val="24"/>
        </w:rPr>
      </w:pPr>
    </w:p>
    <w:p w14:paraId="3C97E75F" w14:textId="77777777" w:rsidR="00BC693E" w:rsidRPr="004456A8" w:rsidRDefault="00BC693E" w:rsidP="00683C72">
      <w:pPr>
        <w:pStyle w:val="Antrats"/>
        <w:tabs>
          <w:tab w:val="clear" w:pos="4153"/>
          <w:tab w:val="clear" w:pos="8306"/>
        </w:tabs>
        <w:rPr>
          <w:szCs w:val="24"/>
        </w:rPr>
      </w:pPr>
    </w:p>
    <w:p w14:paraId="5EF8C6E4" w14:textId="77777777" w:rsidR="00194F9D" w:rsidRPr="004456A8" w:rsidRDefault="00194F9D" w:rsidP="00683C72">
      <w:pPr>
        <w:pStyle w:val="Antrats"/>
        <w:tabs>
          <w:tab w:val="clear" w:pos="4153"/>
          <w:tab w:val="clear" w:pos="8306"/>
        </w:tabs>
        <w:rPr>
          <w:szCs w:val="24"/>
        </w:rPr>
      </w:pPr>
    </w:p>
    <w:p w14:paraId="66CAE29B" w14:textId="62000D0A" w:rsidR="00F9604F" w:rsidRPr="004456A8" w:rsidRDefault="00BC693E" w:rsidP="00924828">
      <w:pPr>
        <w:rPr>
          <w:rStyle w:val="Hipersaitas"/>
          <w:color w:val="auto"/>
          <w:szCs w:val="24"/>
          <w:u w:val="none"/>
          <w:lang w:val="en-US"/>
        </w:rPr>
      </w:pPr>
      <w:r w:rsidRPr="004456A8">
        <w:rPr>
          <w:szCs w:val="24"/>
        </w:rPr>
        <w:t xml:space="preserve">Simona Jankauskaitė, tel. 271 8415, el. p. </w:t>
      </w:r>
      <w:hyperlink r:id="rId14" w:history="1">
        <w:r w:rsidRPr="004456A8">
          <w:rPr>
            <w:rStyle w:val="Hipersaitas"/>
            <w:color w:val="auto"/>
            <w:szCs w:val="24"/>
            <w:u w:val="none"/>
          </w:rPr>
          <w:t>simona.jankauskaite</w:t>
        </w:r>
        <w:r w:rsidRPr="004456A8">
          <w:rPr>
            <w:rStyle w:val="Hipersaitas"/>
            <w:color w:val="auto"/>
            <w:szCs w:val="24"/>
            <w:u w:val="none"/>
            <w:lang w:val="en-US"/>
          </w:rPr>
          <w:t>@</w:t>
        </w:r>
        <w:proofErr w:type="spellStart"/>
        <w:r w:rsidRPr="004456A8">
          <w:rPr>
            <w:rStyle w:val="Hipersaitas"/>
            <w:color w:val="auto"/>
            <w:szCs w:val="24"/>
            <w:u w:val="none"/>
            <w:lang w:val="en-US"/>
          </w:rPr>
          <w:t>vrm.lt</w:t>
        </w:r>
        <w:proofErr w:type="spellEnd"/>
      </w:hyperlink>
    </w:p>
    <w:sectPr w:rsidR="00F9604F" w:rsidRPr="004456A8" w:rsidSect="00B9797A">
      <w:headerReference w:type="even" r:id="rId15"/>
      <w:headerReference w:type="default" r:id="rId16"/>
      <w:headerReference w:type="first" r:id="rId17"/>
      <w:footerReference w:type="first" r:id="rId18"/>
      <w:pgSz w:w="11906" w:h="16838" w:code="9"/>
      <w:pgMar w:top="1103" w:right="567" w:bottom="1134" w:left="1560" w:header="567" w:footer="44"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149088" w16cid:durableId="202A54BA"/>
  <w16cid:commentId w16cid:paraId="6EADF8B9" w16cid:durableId="202A60B2"/>
  <w16cid:commentId w16cid:paraId="1C662740" w16cid:durableId="202A552E"/>
  <w16cid:commentId w16cid:paraId="7FEEBCBC" w16cid:durableId="202A77F1"/>
  <w16cid:commentId w16cid:paraId="1B5FF6D8" w16cid:durableId="202A7A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F68D1" w14:textId="77777777" w:rsidR="00C565B2" w:rsidRDefault="00C565B2">
      <w:r>
        <w:separator/>
      </w:r>
    </w:p>
  </w:endnote>
  <w:endnote w:type="continuationSeparator" w:id="0">
    <w:p w14:paraId="731258E8" w14:textId="77777777" w:rsidR="00C565B2" w:rsidRDefault="00C5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D5020" w14:textId="77777777" w:rsidR="00574080" w:rsidRDefault="00BC693E" w:rsidP="00BC693E">
    <w:pPr>
      <w:tabs>
        <w:tab w:val="left" w:pos="1465"/>
        <w:tab w:val="right" w:pos="9779"/>
      </w:tabs>
      <w:rPr>
        <w:rStyle w:val="Hipersaitas"/>
        <w:color w:val="auto"/>
        <w:u w:val="none"/>
        <w:lang w:val="en-US"/>
      </w:rPr>
    </w:pPr>
    <w:r>
      <w:rPr>
        <w:rStyle w:val="Hipersaitas"/>
        <w:color w:val="auto"/>
        <w:u w:val="none"/>
        <w:lang w:val="en-US"/>
      </w:rPr>
      <w:tab/>
    </w:r>
    <w:r>
      <w:rPr>
        <w:rStyle w:val="Hipersaitas"/>
        <w:color w:val="auto"/>
        <w:u w:val="none"/>
        <w:lang w:val="en-US"/>
      </w:rPr>
      <w:tab/>
    </w:r>
  </w:p>
  <w:p w14:paraId="4E37B277" w14:textId="77777777" w:rsidR="009570B2" w:rsidRDefault="009570B2" w:rsidP="00446A1A">
    <w:pPr>
      <w:rPr>
        <w:rStyle w:val="Hipersaitas"/>
        <w:color w:val="auto"/>
        <w:u w:val="none"/>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6958B" w14:textId="77777777" w:rsidR="00C565B2" w:rsidRDefault="00C565B2">
      <w:r>
        <w:separator/>
      </w:r>
    </w:p>
  </w:footnote>
  <w:footnote w:type="continuationSeparator" w:id="0">
    <w:p w14:paraId="4A323065" w14:textId="77777777" w:rsidR="00C565B2" w:rsidRDefault="00C565B2">
      <w:r>
        <w:continuationSeparator/>
      </w:r>
    </w:p>
  </w:footnote>
  <w:footnote w:id="1">
    <w:p w14:paraId="043136D1" w14:textId="77777777" w:rsidR="00B3186C" w:rsidRPr="001C5FF3" w:rsidRDefault="00B3186C" w:rsidP="00B3186C">
      <w:pPr>
        <w:pStyle w:val="Puslapioinaostekstas"/>
        <w:rPr>
          <w:lang w:val="lt-LT"/>
        </w:rPr>
      </w:pPr>
      <w:r>
        <w:rPr>
          <w:rStyle w:val="Puslapioinaosnuoroda"/>
        </w:rPr>
        <w:footnoteRef/>
      </w:r>
      <w:r>
        <w:t xml:space="preserve"> </w:t>
      </w:r>
      <w:hyperlink r:id="rId1" w:history="1">
        <w:r w:rsidRPr="001C5FF3">
          <w:rPr>
            <w:rStyle w:val="Hipersaitas"/>
            <w:rFonts w:ascii="Times New Roman" w:hAnsi="Times New Roman"/>
          </w:rPr>
          <w:t>https://egmontgroup.org/en/document-library/8</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B91A1" w14:textId="77777777" w:rsidR="00CA0C06" w:rsidRDefault="00533D5B" w:rsidP="00CA0C06">
    <w:pPr>
      <w:pStyle w:val="Antrats"/>
      <w:framePr w:wrap="around" w:vAnchor="text" w:hAnchor="margin" w:xAlign="center" w:y="1"/>
      <w:rPr>
        <w:rStyle w:val="Puslapionumeris"/>
      </w:rPr>
    </w:pPr>
    <w:r>
      <w:rPr>
        <w:rStyle w:val="Puslapionumeris"/>
      </w:rPr>
      <w:fldChar w:fldCharType="begin"/>
    </w:r>
    <w:r w:rsidR="00304ED5">
      <w:rPr>
        <w:rStyle w:val="Puslapionumeris"/>
      </w:rPr>
      <w:instrText xml:space="preserve">PAGE  </w:instrText>
    </w:r>
    <w:r>
      <w:rPr>
        <w:rStyle w:val="Puslapionumeris"/>
      </w:rPr>
      <w:fldChar w:fldCharType="separate"/>
    </w:r>
    <w:r w:rsidR="00304ED5">
      <w:rPr>
        <w:rStyle w:val="Puslapionumeris"/>
        <w:noProof/>
      </w:rPr>
      <w:t>1</w:t>
    </w:r>
    <w:r>
      <w:rPr>
        <w:rStyle w:val="Puslapionumeris"/>
      </w:rPr>
      <w:fldChar w:fldCharType="end"/>
    </w:r>
  </w:p>
  <w:p w14:paraId="1D5EBDA9" w14:textId="77777777" w:rsidR="00CA0C06" w:rsidRDefault="00C565B2">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793937"/>
      <w:docPartObj>
        <w:docPartGallery w:val="Page Numbers (Top of Page)"/>
        <w:docPartUnique/>
      </w:docPartObj>
    </w:sdtPr>
    <w:sdtEndPr>
      <w:rPr>
        <w:noProof/>
      </w:rPr>
    </w:sdtEndPr>
    <w:sdtContent>
      <w:p w14:paraId="2055151E" w14:textId="77777777" w:rsidR="00C8720A" w:rsidRDefault="00533D5B" w:rsidP="009570B2">
        <w:pPr>
          <w:pStyle w:val="Antrats"/>
          <w:jc w:val="center"/>
        </w:pPr>
        <w:r w:rsidRPr="00C8720A">
          <w:rPr>
            <w:sz w:val="21"/>
          </w:rPr>
          <w:fldChar w:fldCharType="begin"/>
        </w:r>
        <w:r w:rsidR="00C8720A" w:rsidRPr="00C8720A">
          <w:rPr>
            <w:sz w:val="21"/>
          </w:rPr>
          <w:instrText xml:space="preserve"> PAGE   \* MERGEFORMAT </w:instrText>
        </w:r>
        <w:r w:rsidRPr="00C8720A">
          <w:rPr>
            <w:sz w:val="21"/>
          </w:rPr>
          <w:fldChar w:fldCharType="separate"/>
        </w:r>
        <w:r w:rsidR="007774E2">
          <w:rPr>
            <w:noProof/>
            <w:sz w:val="21"/>
          </w:rPr>
          <w:t>9</w:t>
        </w:r>
        <w:r w:rsidRPr="00C8720A">
          <w:rPr>
            <w:noProof/>
            <w:sz w:val="21"/>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8451" w14:textId="01221146" w:rsidR="008765F1" w:rsidRPr="008765F1" w:rsidRDefault="006D33C7" w:rsidP="008765F1">
    <w:pPr>
      <w:pStyle w:val="Antrats"/>
      <w:jc w:val="right"/>
      <w:rPr>
        <w:b/>
      </w:rPr>
    </w:pPr>
    <w:r>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17F7F"/>
    <w:multiLevelType w:val="hybridMultilevel"/>
    <w:tmpl w:val="C12A0428"/>
    <w:lvl w:ilvl="0" w:tplc="6ABAFF8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AD2499F"/>
    <w:multiLevelType w:val="hybridMultilevel"/>
    <w:tmpl w:val="46328342"/>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ED5"/>
    <w:rsid w:val="00015913"/>
    <w:rsid w:val="00015E57"/>
    <w:rsid w:val="00020CB8"/>
    <w:rsid w:val="00025772"/>
    <w:rsid w:val="00034D63"/>
    <w:rsid w:val="000371FE"/>
    <w:rsid w:val="0003760A"/>
    <w:rsid w:val="000432FD"/>
    <w:rsid w:val="0005756F"/>
    <w:rsid w:val="0007267A"/>
    <w:rsid w:val="00080437"/>
    <w:rsid w:val="000860C7"/>
    <w:rsid w:val="000B6D23"/>
    <w:rsid w:val="000D139E"/>
    <w:rsid w:val="000D59DC"/>
    <w:rsid w:val="000D700B"/>
    <w:rsid w:val="000E1530"/>
    <w:rsid w:val="000E7FDC"/>
    <w:rsid w:val="000F1571"/>
    <w:rsid w:val="000F2BCE"/>
    <w:rsid w:val="000F7995"/>
    <w:rsid w:val="001066BF"/>
    <w:rsid w:val="00111783"/>
    <w:rsid w:val="001141FC"/>
    <w:rsid w:val="00121D42"/>
    <w:rsid w:val="00141B93"/>
    <w:rsid w:val="00142418"/>
    <w:rsid w:val="0015507B"/>
    <w:rsid w:val="001679C7"/>
    <w:rsid w:val="00171D01"/>
    <w:rsid w:val="00174F2E"/>
    <w:rsid w:val="0017616C"/>
    <w:rsid w:val="00181BB3"/>
    <w:rsid w:val="00191F07"/>
    <w:rsid w:val="00194F9D"/>
    <w:rsid w:val="001A6E57"/>
    <w:rsid w:val="001B6290"/>
    <w:rsid w:val="001C1A60"/>
    <w:rsid w:val="001C5306"/>
    <w:rsid w:val="001C5F19"/>
    <w:rsid w:val="001D0D36"/>
    <w:rsid w:val="001F498D"/>
    <w:rsid w:val="002053E8"/>
    <w:rsid w:val="00207064"/>
    <w:rsid w:val="00207845"/>
    <w:rsid w:val="002174A5"/>
    <w:rsid w:val="00222368"/>
    <w:rsid w:val="00224A22"/>
    <w:rsid w:val="00237D7D"/>
    <w:rsid w:val="002419D9"/>
    <w:rsid w:val="00252420"/>
    <w:rsid w:val="00252F81"/>
    <w:rsid w:val="00255BDE"/>
    <w:rsid w:val="0027288B"/>
    <w:rsid w:val="002746CF"/>
    <w:rsid w:val="0028139C"/>
    <w:rsid w:val="00286BBA"/>
    <w:rsid w:val="0029313F"/>
    <w:rsid w:val="002A3970"/>
    <w:rsid w:val="002A3E02"/>
    <w:rsid w:val="002C07C2"/>
    <w:rsid w:val="002C62BC"/>
    <w:rsid w:val="002D017A"/>
    <w:rsid w:val="002D3B60"/>
    <w:rsid w:val="002E1250"/>
    <w:rsid w:val="002E3735"/>
    <w:rsid w:val="002F3E80"/>
    <w:rsid w:val="00304ED5"/>
    <w:rsid w:val="00334863"/>
    <w:rsid w:val="00343735"/>
    <w:rsid w:val="00344FD5"/>
    <w:rsid w:val="00376AD9"/>
    <w:rsid w:val="00381014"/>
    <w:rsid w:val="003838C5"/>
    <w:rsid w:val="00391B8F"/>
    <w:rsid w:val="00394F83"/>
    <w:rsid w:val="00397478"/>
    <w:rsid w:val="003A13A8"/>
    <w:rsid w:val="003B72C3"/>
    <w:rsid w:val="003C1DDD"/>
    <w:rsid w:val="003D248E"/>
    <w:rsid w:val="003F652D"/>
    <w:rsid w:val="0040724D"/>
    <w:rsid w:val="00414186"/>
    <w:rsid w:val="00421F22"/>
    <w:rsid w:val="004243D5"/>
    <w:rsid w:val="004456A8"/>
    <w:rsid w:val="00446A1A"/>
    <w:rsid w:val="00447EA8"/>
    <w:rsid w:val="0045168E"/>
    <w:rsid w:val="00464765"/>
    <w:rsid w:val="00474603"/>
    <w:rsid w:val="00475A71"/>
    <w:rsid w:val="0048478F"/>
    <w:rsid w:val="004852C4"/>
    <w:rsid w:val="00487CFE"/>
    <w:rsid w:val="004A412F"/>
    <w:rsid w:val="004B1883"/>
    <w:rsid w:val="004B4406"/>
    <w:rsid w:val="004C1119"/>
    <w:rsid w:val="004C159C"/>
    <w:rsid w:val="004C17CD"/>
    <w:rsid w:val="004C18A8"/>
    <w:rsid w:val="004C29FB"/>
    <w:rsid w:val="004E3496"/>
    <w:rsid w:val="004E69B4"/>
    <w:rsid w:val="004F0B0E"/>
    <w:rsid w:val="004F37D3"/>
    <w:rsid w:val="004F5C7A"/>
    <w:rsid w:val="004F6D62"/>
    <w:rsid w:val="005016DD"/>
    <w:rsid w:val="00504981"/>
    <w:rsid w:val="00504F59"/>
    <w:rsid w:val="00506992"/>
    <w:rsid w:val="00510BD5"/>
    <w:rsid w:val="0051143D"/>
    <w:rsid w:val="0051691F"/>
    <w:rsid w:val="00520DD7"/>
    <w:rsid w:val="0052124D"/>
    <w:rsid w:val="005338D1"/>
    <w:rsid w:val="00533D5B"/>
    <w:rsid w:val="00535760"/>
    <w:rsid w:val="00546AE3"/>
    <w:rsid w:val="0055034E"/>
    <w:rsid w:val="00550EB9"/>
    <w:rsid w:val="005672B1"/>
    <w:rsid w:val="0056753E"/>
    <w:rsid w:val="00572BF7"/>
    <w:rsid w:val="0057320B"/>
    <w:rsid w:val="00574080"/>
    <w:rsid w:val="00582D5B"/>
    <w:rsid w:val="00586AEC"/>
    <w:rsid w:val="005B62D0"/>
    <w:rsid w:val="005B7E79"/>
    <w:rsid w:val="005C0041"/>
    <w:rsid w:val="005C3730"/>
    <w:rsid w:val="005C449A"/>
    <w:rsid w:val="005E53CD"/>
    <w:rsid w:val="005F00D6"/>
    <w:rsid w:val="005F365B"/>
    <w:rsid w:val="005F3E6F"/>
    <w:rsid w:val="005F5EA9"/>
    <w:rsid w:val="005F60B8"/>
    <w:rsid w:val="006001D6"/>
    <w:rsid w:val="00601DD4"/>
    <w:rsid w:val="00603BAF"/>
    <w:rsid w:val="006170F0"/>
    <w:rsid w:val="00632820"/>
    <w:rsid w:val="00632983"/>
    <w:rsid w:val="00636810"/>
    <w:rsid w:val="006453B7"/>
    <w:rsid w:val="00650ED8"/>
    <w:rsid w:val="00671313"/>
    <w:rsid w:val="00671B3A"/>
    <w:rsid w:val="00681ADF"/>
    <w:rsid w:val="00683C72"/>
    <w:rsid w:val="00697FA3"/>
    <w:rsid w:val="006B5074"/>
    <w:rsid w:val="006D33C7"/>
    <w:rsid w:val="006D48B2"/>
    <w:rsid w:val="006E2C5E"/>
    <w:rsid w:val="006F23D8"/>
    <w:rsid w:val="006F621D"/>
    <w:rsid w:val="0070027A"/>
    <w:rsid w:val="00703AC1"/>
    <w:rsid w:val="0072121D"/>
    <w:rsid w:val="00730D86"/>
    <w:rsid w:val="00734135"/>
    <w:rsid w:val="00736851"/>
    <w:rsid w:val="007567AA"/>
    <w:rsid w:val="00760DF3"/>
    <w:rsid w:val="00775490"/>
    <w:rsid w:val="007774E2"/>
    <w:rsid w:val="00781D59"/>
    <w:rsid w:val="00782914"/>
    <w:rsid w:val="0078673B"/>
    <w:rsid w:val="0078766C"/>
    <w:rsid w:val="007A379A"/>
    <w:rsid w:val="007A721C"/>
    <w:rsid w:val="007B2D5A"/>
    <w:rsid w:val="007C7BA9"/>
    <w:rsid w:val="007C7E9F"/>
    <w:rsid w:val="007D4375"/>
    <w:rsid w:val="007E3275"/>
    <w:rsid w:val="007E7843"/>
    <w:rsid w:val="007F6144"/>
    <w:rsid w:val="00805167"/>
    <w:rsid w:val="00810250"/>
    <w:rsid w:val="00811326"/>
    <w:rsid w:val="00815C2C"/>
    <w:rsid w:val="0082204B"/>
    <w:rsid w:val="008247C9"/>
    <w:rsid w:val="008273E6"/>
    <w:rsid w:val="00830847"/>
    <w:rsid w:val="008362ED"/>
    <w:rsid w:val="00843F82"/>
    <w:rsid w:val="00845F6B"/>
    <w:rsid w:val="008507B8"/>
    <w:rsid w:val="00855D94"/>
    <w:rsid w:val="00856BA0"/>
    <w:rsid w:val="008765F1"/>
    <w:rsid w:val="0088256A"/>
    <w:rsid w:val="00885E0A"/>
    <w:rsid w:val="008A6613"/>
    <w:rsid w:val="008C2329"/>
    <w:rsid w:val="008C647A"/>
    <w:rsid w:val="008F13BE"/>
    <w:rsid w:val="0090722A"/>
    <w:rsid w:val="00920775"/>
    <w:rsid w:val="00924828"/>
    <w:rsid w:val="00934405"/>
    <w:rsid w:val="009364DC"/>
    <w:rsid w:val="009570B2"/>
    <w:rsid w:val="009700A2"/>
    <w:rsid w:val="009705F0"/>
    <w:rsid w:val="00972A99"/>
    <w:rsid w:val="00982B6E"/>
    <w:rsid w:val="00982CD4"/>
    <w:rsid w:val="009859ED"/>
    <w:rsid w:val="0099464B"/>
    <w:rsid w:val="009B0D77"/>
    <w:rsid w:val="009B138C"/>
    <w:rsid w:val="009D0511"/>
    <w:rsid w:val="009E4A08"/>
    <w:rsid w:val="009E6187"/>
    <w:rsid w:val="009F6844"/>
    <w:rsid w:val="00A13FBA"/>
    <w:rsid w:val="00A34B1F"/>
    <w:rsid w:val="00A3753D"/>
    <w:rsid w:val="00A44E2A"/>
    <w:rsid w:val="00A51D0F"/>
    <w:rsid w:val="00A5282F"/>
    <w:rsid w:val="00A54326"/>
    <w:rsid w:val="00A82E19"/>
    <w:rsid w:val="00A8774C"/>
    <w:rsid w:val="00A9054C"/>
    <w:rsid w:val="00A914C8"/>
    <w:rsid w:val="00AA6855"/>
    <w:rsid w:val="00AB02A9"/>
    <w:rsid w:val="00AB59DD"/>
    <w:rsid w:val="00AC6D45"/>
    <w:rsid w:val="00AC7CB8"/>
    <w:rsid w:val="00AE4017"/>
    <w:rsid w:val="00AE7522"/>
    <w:rsid w:val="00AF38E6"/>
    <w:rsid w:val="00B01D6E"/>
    <w:rsid w:val="00B038B2"/>
    <w:rsid w:val="00B241D4"/>
    <w:rsid w:val="00B2550C"/>
    <w:rsid w:val="00B3186C"/>
    <w:rsid w:val="00B5395A"/>
    <w:rsid w:val="00B626A5"/>
    <w:rsid w:val="00B6499D"/>
    <w:rsid w:val="00B701B1"/>
    <w:rsid w:val="00B72A0B"/>
    <w:rsid w:val="00B941CF"/>
    <w:rsid w:val="00B9797A"/>
    <w:rsid w:val="00BB2AEB"/>
    <w:rsid w:val="00BB533F"/>
    <w:rsid w:val="00BC693E"/>
    <w:rsid w:val="00BC7E7E"/>
    <w:rsid w:val="00BD083B"/>
    <w:rsid w:val="00BE2C1E"/>
    <w:rsid w:val="00BE4815"/>
    <w:rsid w:val="00C0057B"/>
    <w:rsid w:val="00C12E89"/>
    <w:rsid w:val="00C31E7F"/>
    <w:rsid w:val="00C320A3"/>
    <w:rsid w:val="00C375B5"/>
    <w:rsid w:val="00C42F59"/>
    <w:rsid w:val="00C565B2"/>
    <w:rsid w:val="00C667C7"/>
    <w:rsid w:val="00C73500"/>
    <w:rsid w:val="00C8720A"/>
    <w:rsid w:val="00C929D3"/>
    <w:rsid w:val="00C92A9B"/>
    <w:rsid w:val="00C9452B"/>
    <w:rsid w:val="00CB1078"/>
    <w:rsid w:val="00CB6071"/>
    <w:rsid w:val="00CB770C"/>
    <w:rsid w:val="00CC048B"/>
    <w:rsid w:val="00CC0DD9"/>
    <w:rsid w:val="00CE7099"/>
    <w:rsid w:val="00CF7DBB"/>
    <w:rsid w:val="00D17FB7"/>
    <w:rsid w:val="00D236A5"/>
    <w:rsid w:val="00D344FE"/>
    <w:rsid w:val="00D34809"/>
    <w:rsid w:val="00D35AD0"/>
    <w:rsid w:val="00D60DB9"/>
    <w:rsid w:val="00D61914"/>
    <w:rsid w:val="00D72D23"/>
    <w:rsid w:val="00D74035"/>
    <w:rsid w:val="00D74F08"/>
    <w:rsid w:val="00D807A6"/>
    <w:rsid w:val="00D9335E"/>
    <w:rsid w:val="00DA2363"/>
    <w:rsid w:val="00DB0567"/>
    <w:rsid w:val="00DC13B0"/>
    <w:rsid w:val="00DC2B0D"/>
    <w:rsid w:val="00DC3E49"/>
    <w:rsid w:val="00DE5A4F"/>
    <w:rsid w:val="00DE70DC"/>
    <w:rsid w:val="00E022A7"/>
    <w:rsid w:val="00E0729E"/>
    <w:rsid w:val="00E0772A"/>
    <w:rsid w:val="00E10DDE"/>
    <w:rsid w:val="00E117EF"/>
    <w:rsid w:val="00E26DA9"/>
    <w:rsid w:val="00E40EEA"/>
    <w:rsid w:val="00E5009B"/>
    <w:rsid w:val="00E65403"/>
    <w:rsid w:val="00E956EE"/>
    <w:rsid w:val="00EA4236"/>
    <w:rsid w:val="00EB53EA"/>
    <w:rsid w:val="00EC3CD7"/>
    <w:rsid w:val="00EC7419"/>
    <w:rsid w:val="00ED53E3"/>
    <w:rsid w:val="00ED5EDA"/>
    <w:rsid w:val="00EF11AB"/>
    <w:rsid w:val="00EF20C5"/>
    <w:rsid w:val="00EF65DD"/>
    <w:rsid w:val="00F07915"/>
    <w:rsid w:val="00F16E57"/>
    <w:rsid w:val="00F24A79"/>
    <w:rsid w:val="00F3676B"/>
    <w:rsid w:val="00F5264E"/>
    <w:rsid w:val="00F62786"/>
    <w:rsid w:val="00F64C62"/>
    <w:rsid w:val="00F80A89"/>
    <w:rsid w:val="00F80AE4"/>
    <w:rsid w:val="00F9604F"/>
    <w:rsid w:val="00FC32B4"/>
    <w:rsid w:val="00FD24D6"/>
    <w:rsid w:val="00FE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96AD6"/>
  <w15:docId w15:val="{E29D43D8-3558-424B-801B-6ABB12D8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4ED5"/>
    <w:pPr>
      <w:spacing w:line="240" w:lineRule="auto"/>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Char"/>
    <w:basedOn w:val="prastasis"/>
    <w:link w:val="AntratsDiagrama"/>
    <w:uiPriority w:val="99"/>
    <w:rsid w:val="00304ED5"/>
    <w:pPr>
      <w:tabs>
        <w:tab w:val="center" w:pos="4153"/>
        <w:tab w:val="right" w:pos="8306"/>
      </w:tabs>
    </w:pPr>
  </w:style>
  <w:style w:type="character" w:customStyle="1" w:styleId="AntratsDiagrama">
    <w:name w:val="Antraštės Diagrama"/>
    <w:aliases w:val=" Char Diagrama,Char Diagrama"/>
    <w:basedOn w:val="Numatytasispastraiposriftas"/>
    <w:link w:val="Antrats"/>
    <w:uiPriority w:val="99"/>
    <w:rsid w:val="00304ED5"/>
    <w:rPr>
      <w:rFonts w:eastAsia="Times New Roman" w:cs="Times New Roman"/>
      <w:szCs w:val="20"/>
      <w:lang w:val="lt-LT"/>
    </w:rPr>
  </w:style>
  <w:style w:type="paragraph" w:styleId="Antrat">
    <w:name w:val="caption"/>
    <w:basedOn w:val="prastasis"/>
    <w:next w:val="prastasis"/>
    <w:qFormat/>
    <w:rsid w:val="00304ED5"/>
    <w:pPr>
      <w:jc w:val="center"/>
    </w:pPr>
    <w:rPr>
      <w:b/>
      <w:sz w:val="28"/>
    </w:rPr>
  </w:style>
  <w:style w:type="character" w:styleId="Puslapionumeris">
    <w:name w:val="page number"/>
    <w:basedOn w:val="Numatytasispastraiposriftas"/>
    <w:rsid w:val="00304ED5"/>
  </w:style>
  <w:style w:type="character" w:styleId="Hipersaitas">
    <w:name w:val="Hyperlink"/>
    <w:basedOn w:val="Numatytasispastraiposriftas"/>
    <w:rsid w:val="00304ED5"/>
    <w:rPr>
      <w:color w:val="0000FF"/>
      <w:u w:val="single"/>
    </w:rPr>
  </w:style>
  <w:style w:type="paragraph" w:styleId="Debesliotekstas">
    <w:name w:val="Balloon Text"/>
    <w:basedOn w:val="prastasis"/>
    <w:link w:val="DebesliotekstasDiagrama"/>
    <w:uiPriority w:val="99"/>
    <w:semiHidden/>
    <w:unhideWhenUsed/>
    <w:rsid w:val="00D17FB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7FB7"/>
    <w:rPr>
      <w:rFonts w:ascii="Tahoma" w:eastAsia="Times New Roman" w:hAnsi="Tahoma" w:cs="Tahoma"/>
      <w:sz w:val="16"/>
      <w:szCs w:val="16"/>
      <w:lang w:val="en-GB"/>
    </w:rPr>
  </w:style>
  <w:style w:type="paragraph" w:styleId="Porat">
    <w:name w:val="footer"/>
    <w:basedOn w:val="prastasis"/>
    <w:link w:val="PoratDiagrama"/>
    <w:uiPriority w:val="99"/>
    <w:unhideWhenUsed/>
    <w:rsid w:val="00C8720A"/>
    <w:pPr>
      <w:tabs>
        <w:tab w:val="center" w:pos="4819"/>
        <w:tab w:val="right" w:pos="9638"/>
      </w:tabs>
    </w:pPr>
  </w:style>
  <w:style w:type="character" w:customStyle="1" w:styleId="PoratDiagrama">
    <w:name w:val="Poraštė Diagrama"/>
    <w:basedOn w:val="Numatytasispastraiposriftas"/>
    <w:link w:val="Porat"/>
    <w:uiPriority w:val="99"/>
    <w:rsid w:val="00C8720A"/>
    <w:rPr>
      <w:rFonts w:eastAsia="Times New Roman" w:cs="Times New Roman"/>
      <w:szCs w:val="20"/>
      <w:lang w:val="en-GB"/>
    </w:rPr>
  </w:style>
  <w:style w:type="character" w:styleId="Komentaronuoroda">
    <w:name w:val="annotation reference"/>
    <w:basedOn w:val="Numatytasispastraiposriftas"/>
    <w:uiPriority w:val="99"/>
    <w:semiHidden/>
    <w:unhideWhenUsed/>
    <w:rsid w:val="001141FC"/>
    <w:rPr>
      <w:sz w:val="16"/>
      <w:szCs w:val="16"/>
    </w:rPr>
  </w:style>
  <w:style w:type="paragraph" w:styleId="Komentarotekstas">
    <w:name w:val="annotation text"/>
    <w:basedOn w:val="prastasis"/>
    <w:link w:val="KomentarotekstasDiagrama"/>
    <w:uiPriority w:val="99"/>
    <w:unhideWhenUsed/>
    <w:rsid w:val="001141FC"/>
    <w:rPr>
      <w:sz w:val="20"/>
    </w:rPr>
  </w:style>
  <w:style w:type="character" w:customStyle="1" w:styleId="KomentarotekstasDiagrama">
    <w:name w:val="Komentaro tekstas Diagrama"/>
    <w:basedOn w:val="Numatytasispastraiposriftas"/>
    <w:link w:val="Komentarotekstas"/>
    <w:uiPriority w:val="99"/>
    <w:rsid w:val="001141FC"/>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141FC"/>
    <w:rPr>
      <w:b/>
      <w:bCs/>
    </w:rPr>
  </w:style>
  <w:style w:type="character" w:customStyle="1" w:styleId="KomentarotemaDiagrama">
    <w:name w:val="Komentaro tema Diagrama"/>
    <w:basedOn w:val="KomentarotekstasDiagrama"/>
    <w:link w:val="Komentarotema"/>
    <w:uiPriority w:val="99"/>
    <w:semiHidden/>
    <w:rsid w:val="001141FC"/>
    <w:rPr>
      <w:rFonts w:eastAsia="Times New Roman" w:cs="Times New Roman"/>
      <w:b/>
      <w:bCs/>
      <w:sz w:val="20"/>
      <w:szCs w:val="20"/>
      <w:lang w:val="en-GB"/>
    </w:rPr>
  </w:style>
  <w:style w:type="character" w:customStyle="1" w:styleId="tablecellcolumn">
    <w:name w:val="tablecellcolumn"/>
    <w:basedOn w:val="Numatytasispastraiposriftas"/>
    <w:rsid w:val="00E117EF"/>
  </w:style>
  <w:style w:type="table" w:styleId="Lentelstinklelis">
    <w:name w:val="Table Grid"/>
    <w:basedOn w:val="prastojilentel"/>
    <w:uiPriority w:val="59"/>
    <w:rsid w:val="00E077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B3186C"/>
    <w:rPr>
      <w:rFonts w:asciiTheme="minorHAnsi" w:eastAsiaTheme="minorHAnsi" w:hAnsiTheme="minorHAnsi" w:cstheme="minorBidi"/>
      <w:sz w:val="20"/>
      <w:lang w:val="en-US"/>
    </w:rPr>
  </w:style>
  <w:style w:type="character" w:customStyle="1" w:styleId="PuslapioinaostekstasDiagrama">
    <w:name w:val="Puslapio išnašos tekstas Diagrama"/>
    <w:basedOn w:val="Numatytasispastraiposriftas"/>
    <w:link w:val="Puslapioinaostekstas"/>
    <w:uiPriority w:val="99"/>
    <w:semiHidden/>
    <w:rsid w:val="00B3186C"/>
    <w:rPr>
      <w:rFonts w:asciiTheme="minorHAnsi" w:hAnsiTheme="minorHAnsi"/>
      <w:sz w:val="20"/>
      <w:szCs w:val="20"/>
    </w:rPr>
  </w:style>
  <w:style w:type="character" w:styleId="Puslapioinaosnuoroda">
    <w:name w:val="footnote reference"/>
    <w:basedOn w:val="Numatytasispastraiposriftas"/>
    <w:uiPriority w:val="99"/>
    <w:semiHidden/>
    <w:unhideWhenUsed/>
    <w:rsid w:val="00B3186C"/>
    <w:rPr>
      <w:vertAlign w:val="superscript"/>
    </w:rPr>
  </w:style>
  <w:style w:type="paragraph" w:styleId="Sraopastraipa">
    <w:name w:val="List Paragraph"/>
    <w:basedOn w:val="prastasis"/>
    <w:uiPriority w:val="34"/>
    <w:qFormat/>
    <w:rsid w:val="00EA4236"/>
    <w:pPr>
      <w:ind w:left="720"/>
      <w:contextualSpacing/>
    </w:pPr>
  </w:style>
  <w:style w:type="character" w:styleId="Perirtashipersaitas">
    <w:name w:val="FollowedHyperlink"/>
    <w:basedOn w:val="Numatytasispastraiposriftas"/>
    <w:uiPriority w:val="99"/>
    <w:semiHidden/>
    <w:unhideWhenUsed/>
    <w:rsid w:val="004C159C"/>
    <w:rPr>
      <w:color w:val="800080" w:themeColor="followedHyperlink"/>
      <w:u w:val="single"/>
    </w:rPr>
  </w:style>
  <w:style w:type="paragraph" w:styleId="Paprastasistekstas">
    <w:name w:val="Plain Text"/>
    <w:basedOn w:val="prastasis"/>
    <w:link w:val="PaprastasistekstasDiagrama"/>
    <w:uiPriority w:val="99"/>
    <w:unhideWhenUsed/>
    <w:rsid w:val="00AB59DD"/>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AB59DD"/>
    <w:rPr>
      <w:rFonts w:ascii="Calibri" w:hAnsi="Calibri"/>
      <w:sz w:val="22"/>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5359">
      <w:bodyDiv w:val="1"/>
      <w:marLeft w:val="0"/>
      <w:marRight w:val="0"/>
      <w:marTop w:val="0"/>
      <w:marBottom w:val="0"/>
      <w:divBdr>
        <w:top w:val="none" w:sz="0" w:space="0" w:color="auto"/>
        <w:left w:val="none" w:sz="0" w:space="0" w:color="auto"/>
        <w:bottom w:val="none" w:sz="0" w:space="0" w:color="auto"/>
        <w:right w:val="none" w:sz="0" w:space="0" w:color="auto"/>
      </w:divBdr>
    </w:div>
    <w:div w:id="1154760257">
      <w:bodyDiv w:val="1"/>
      <w:marLeft w:val="0"/>
      <w:marRight w:val="0"/>
      <w:marTop w:val="0"/>
      <w:marBottom w:val="0"/>
      <w:divBdr>
        <w:top w:val="none" w:sz="0" w:space="0" w:color="auto"/>
        <w:left w:val="none" w:sz="0" w:space="0" w:color="auto"/>
        <w:bottom w:val="none" w:sz="0" w:space="0" w:color="auto"/>
        <w:right w:val="none" w:sz="0" w:space="0" w:color="auto"/>
      </w:divBdr>
    </w:div>
    <w:div w:id="1352074156">
      <w:bodyDiv w:val="1"/>
      <w:marLeft w:val="0"/>
      <w:marRight w:val="0"/>
      <w:marTop w:val="0"/>
      <w:marBottom w:val="0"/>
      <w:divBdr>
        <w:top w:val="none" w:sz="0" w:space="0" w:color="auto"/>
        <w:left w:val="none" w:sz="0" w:space="0" w:color="auto"/>
        <w:bottom w:val="none" w:sz="0" w:space="0" w:color="auto"/>
        <w:right w:val="none" w:sz="0" w:space="0" w:color="auto"/>
      </w:divBdr>
    </w:div>
    <w:div w:id="196916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drasisd@vrm.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mona.jankauskaite@vrm.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gmontgroup.org/en/document-library/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72882FCB9648243AB7C52045FDACE98" ma:contentTypeVersion="2" ma:contentTypeDescription="Kurkite naują dokumentą." ma:contentTypeScope="" ma:versionID="cc63e9841ec0a98bd107c93d81e431fa">
  <xsd:schema xmlns:xsd="http://www.w3.org/2001/XMLSchema" xmlns:p="http://schemas.microsoft.com/office/2006/metadata/properties" xmlns:ns2="6863dd24-119a-4906-ab6f-a85a352993ff" targetNamespace="http://schemas.microsoft.com/office/2006/metadata/properties" ma:root="true" ma:fieldsID="c57c43523021fb5a39fc48cfb153fcdd" ns2:_="">
    <xsd:import namespace="6863dd24-119a-4906-ab6f-a85a352993ff"/>
    <xsd:element name="properties">
      <xsd:complexType>
        <xsd:sequence>
          <xsd:element name="documentManagement">
            <xsd:complexType>
              <xsd:all>
                <xsd:element ref="ns2:Blanko_x0020_tipas"/>
              </xsd:all>
            </xsd:complexType>
          </xsd:element>
        </xsd:sequence>
      </xsd:complexType>
    </xsd:element>
  </xsd:schema>
  <xsd:schema xmlns:xsd="http://www.w3.org/2001/XMLSchema" xmlns:dms="http://schemas.microsoft.com/office/2006/documentManagement/types" targetNamespace="6863dd24-119a-4906-ab6f-a85a352993ff" elementFormDefault="qualified">
    <xsd:import namespace="http://schemas.microsoft.com/office/2006/documentManagement/types"/>
    <xsd:element name="Blanko_x0020_tipas" ma:index="8" ma:displayName="Blanko tipas" ma:default="PAGD" ma:format="Dropdown" ma:internalName="Blanko_x0020_tipas">
      <xsd:simpleType>
        <xsd:restriction base="dms:Choice">
          <xsd:enumeration value="PAGD"/>
          <xsd:enumeration value="VRM"/>
          <xsd:enumeration value="Kit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Blanko_x0020_tipas xmlns="6863dd24-119a-4906-ab6f-a85a352993ff">VRM</Blanko_x0020_tipa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8C5B-1E01-465A-AE31-7E42C338C7FE}">
  <ds:schemaRefs>
    <ds:schemaRef ds:uri="http://schemas.microsoft.com/sharepoint/v3/contenttype/forms"/>
  </ds:schemaRefs>
</ds:datastoreItem>
</file>

<file path=customXml/itemProps2.xml><?xml version="1.0" encoding="utf-8"?>
<ds:datastoreItem xmlns:ds="http://schemas.openxmlformats.org/officeDocument/2006/customXml" ds:itemID="{64E2B2EC-A0FE-4138-8F4B-86C025DF1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3dd24-119a-4906-ab6f-a85a352993f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3B9F2A-6CE8-4EAB-A69E-63B039ADAB85}">
  <ds:schemaRefs>
    <ds:schemaRef ds:uri="http://schemas.microsoft.com/office/2006/metadata/properties"/>
    <ds:schemaRef ds:uri="6863dd24-119a-4906-ab6f-a85a352993ff"/>
  </ds:schemaRefs>
</ds:datastoreItem>
</file>

<file path=customXml/itemProps4.xml><?xml version="1.0" encoding="utf-8"?>
<ds:datastoreItem xmlns:ds="http://schemas.openxmlformats.org/officeDocument/2006/customXml" ds:itemID="{C6E8AE5D-FC01-4D76-A24D-6888F704C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24148</Words>
  <Characters>13765</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VRM  lankas 2014</vt:lpstr>
      <vt:lpstr>VRM  lankas 2014</vt:lpstr>
    </vt:vector>
  </TitlesOfParts>
  <Company>Hewlett-Packard Company</Company>
  <LinksUpToDate>false</LinksUpToDate>
  <CharactersWithSpaces>37838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VRM  lankas 2014</dc:title>
  <dc:creator>m05493</dc:creator>
  <cp:lastModifiedBy>Simona Jankauskaitė</cp:lastModifiedBy>
  <cp:revision>32</cp:revision>
  <cp:lastPrinted>2016-01-14T11:58:00Z</cp:lastPrinted>
  <dcterms:created xsi:type="dcterms:W3CDTF">2019-03-19T07:24:00Z</dcterms:created>
  <dcterms:modified xsi:type="dcterms:W3CDTF">2019-03-19T08:33:00Z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0x010100172882FCB9648243AB7C52045FDACE98</vt:lpwstr>
  </property>
</Properties>
</file>