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46" w:rsidRPr="002F602E" w:rsidRDefault="00523C46" w:rsidP="00523C46">
      <w:pPr>
        <w:spacing w:after="0" w:line="240" w:lineRule="auto"/>
        <w:jc w:val="center"/>
        <w:rPr>
          <w:rFonts w:eastAsia="Calibri" w:cs="Times New Roman"/>
          <w:b/>
          <w:sz w:val="26"/>
          <w:szCs w:val="26"/>
        </w:rPr>
      </w:pPr>
      <w:r w:rsidRPr="002F602E">
        <w:rPr>
          <w:rFonts w:eastAsia="Calibri" w:cs="Times New Roman"/>
          <w:b/>
          <w:sz w:val="26"/>
          <w:szCs w:val="26"/>
        </w:rPr>
        <w:t>PAŽYMA</w:t>
      </w:r>
    </w:p>
    <w:p w:rsidR="00523C46" w:rsidRPr="002F602E" w:rsidRDefault="00523C46" w:rsidP="00523C46">
      <w:pPr>
        <w:spacing w:after="0" w:line="240" w:lineRule="auto"/>
        <w:ind w:firstLine="720"/>
        <w:jc w:val="center"/>
        <w:rPr>
          <w:rFonts w:eastAsia="Calibri" w:cs="Times New Roman"/>
          <w:b/>
          <w:sz w:val="26"/>
          <w:szCs w:val="26"/>
        </w:rPr>
      </w:pPr>
      <w:r w:rsidRPr="002F602E">
        <w:rPr>
          <w:rFonts w:eastAsia="Calibri" w:cs="Times New Roman"/>
          <w:b/>
          <w:sz w:val="26"/>
          <w:szCs w:val="26"/>
        </w:rPr>
        <w:t xml:space="preserve">Dėl š. m. </w:t>
      </w:r>
      <w:r w:rsidR="00C57A83" w:rsidRPr="002F602E">
        <w:rPr>
          <w:rFonts w:eastAsia="Calibri" w:cs="Times New Roman"/>
          <w:b/>
          <w:sz w:val="26"/>
          <w:szCs w:val="26"/>
        </w:rPr>
        <w:t>gegužės 17</w:t>
      </w:r>
      <w:r w:rsidRPr="002F602E">
        <w:rPr>
          <w:rFonts w:eastAsia="Calibri" w:cs="Times New Roman"/>
          <w:b/>
          <w:sz w:val="26"/>
          <w:szCs w:val="26"/>
        </w:rPr>
        <w:t xml:space="preserve"> d. Ekonomikos ir finansų reikalų (ECOFIN) taryboje svarstomų klausimų</w:t>
      </w:r>
    </w:p>
    <w:p w:rsidR="00523C46" w:rsidRPr="002F602E" w:rsidRDefault="00523C46" w:rsidP="00523C46">
      <w:pPr>
        <w:spacing w:after="0" w:line="240" w:lineRule="auto"/>
        <w:ind w:firstLine="720"/>
        <w:jc w:val="both"/>
        <w:rPr>
          <w:rFonts w:eastAsia="Calibri" w:cs="Times New Roman"/>
          <w:szCs w:val="24"/>
        </w:rPr>
      </w:pPr>
    </w:p>
    <w:p w:rsidR="00DD2365" w:rsidRPr="002F602E" w:rsidRDefault="00DD2365" w:rsidP="00523C46">
      <w:pPr>
        <w:spacing w:after="0" w:line="240" w:lineRule="auto"/>
        <w:ind w:firstLine="720"/>
        <w:jc w:val="both"/>
        <w:rPr>
          <w:rFonts w:eastAsia="Calibri" w:cs="Times New Roman"/>
          <w:szCs w:val="24"/>
        </w:rPr>
      </w:pPr>
    </w:p>
    <w:p w:rsidR="00523C46" w:rsidRPr="002F602E" w:rsidRDefault="00C57A83" w:rsidP="0064710E">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cs="Times New Roman"/>
          <w:iCs/>
          <w:szCs w:val="24"/>
        </w:rPr>
      </w:pPr>
      <w:r w:rsidRPr="002F602E">
        <w:rPr>
          <w:rFonts w:cs="Times New Roman"/>
          <w:b/>
          <w:iCs/>
          <w:szCs w:val="24"/>
        </w:rPr>
        <w:t xml:space="preserve">Akcizai </w:t>
      </w:r>
      <w:r w:rsidRPr="002F602E">
        <w:rPr>
          <w:rFonts w:cs="Times New Roman"/>
          <w:i/>
          <w:iCs/>
          <w:szCs w:val="24"/>
        </w:rPr>
        <w:t>(politinis sutarimas)</w:t>
      </w:r>
    </w:p>
    <w:p w:rsidR="00523C46" w:rsidRPr="002F602E" w:rsidRDefault="00523C46" w:rsidP="00523C46">
      <w:pPr>
        <w:spacing w:after="0" w:line="240" w:lineRule="auto"/>
        <w:ind w:firstLine="720"/>
        <w:jc w:val="both"/>
        <w:rPr>
          <w:rFonts w:eastAsia="Calibri" w:cs="Times New Roman"/>
          <w:b/>
          <w:szCs w:val="24"/>
        </w:rPr>
      </w:pPr>
    </w:p>
    <w:p w:rsidR="001205F2" w:rsidRPr="002F602E" w:rsidRDefault="006D0DD1" w:rsidP="001205F2">
      <w:pPr>
        <w:autoSpaceDE w:val="0"/>
        <w:autoSpaceDN w:val="0"/>
        <w:adjustRightInd w:val="0"/>
        <w:spacing w:after="0" w:line="240" w:lineRule="auto"/>
        <w:contextualSpacing/>
        <w:jc w:val="both"/>
        <w:rPr>
          <w:rFonts w:cs="Times New Roman"/>
          <w:szCs w:val="24"/>
        </w:rPr>
      </w:pPr>
      <w:r w:rsidRPr="002F602E">
        <w:rPr>
          <w:rFonts w:cs="Times New Roman"/>
          <w:b/>
          <w:szCs w:val="24"/>
          <w:u w:val="single"/>
        </w:rPr>
        <w:t>Klausimo esmė.</w:t>
      </w:r>
      <w:r w:rsidR="000463FC" w:rsidRPr="002F602E">
        <w:rPr>
          <w:rFonts w:cs="Times New Roman"/>
          <w:szCs w:val="24"/>
        </w:rPr>
        <w:t xml:space="preserve"> </w:t>
      </w:r>
      <w:r w:rsidR="001205F2" w:rsidRPr="002F602E">
        <w:rPr>
          <w:rFonts w:cs="Times New Roman"/>
          <w:szCs w:val="24"/>
        </w:rPr>
        <w:t xml:space="preserve">ECOFIN posėdžio metu planuojama siekti </w:t>
      </w:r>
      <w:r w:rsidR="001205F2" w:rsidRPr="002F602E">
        <w:rPr>
          <w:rFonts w:cs="Times New Roman"/>
          <w:szCs w:val="24"/>
        </w:rPr>
        <w:t>politinio sutarimo</w:t>
      </w:r>
      <w:r w:rsidR="001205F2" w:rsidRPr="002F602E">
        <w:rPr>
          <w:rFonts w:cs="Times New Roman"/>
          <w:szCs w:val="24"/>
        </w:rPr>
        <w:t xml:space="preserve"> dėl pasiūlymų akcizų srityje: </w:t>
      </w:r>
    </w:p>
    <w:p w:rsidR="001205F2" w:rsidRPr="002F602E" w:rsidRDefault="001205F2" w:rsidP="001205F2">
      <w:pPr>
        <w:spacing w:after="0" w:line="240" w:lineRule="auto"/>
        <w:jc w:val="both"/>
        <w:rPr>
          <w:rFonts w:cs="Times New Roman"/>
          <w:szCs w:val="24"/>
        </w:rPr>
      </w:pPr>
      <w:r w:rsidRPr="002F602E">
        <w:rPr>
          <w:rFonts w:cs="Times New Roman"/>
          <w:szCs w:val="24"/>
          <w:u w:val="single"/>
        </w:rPr>
        <w:t>Alkoholinių gėrimų akcizų direktyvos pataisų</w:t>
      </w:r>
      <w:r w:rsidRPr="002F602E">
        <w:rPr>
          <w:rFonts w:cs="Times New Roman"/>
          <w:szCs w:val="24"/>
        </w:rPr>
        <w:t xml:space="preserve"> tikslas: </w:t>
      </w:r>
    </w:p>
    <w:p w:rsidR="001205F2" w:rsidRPr="002F602E" w:rsidRDefault="001205F2" w:rsidP="001205F2">
      <w:pPr>
        <w:spacing w:after="0" w:line="240" w:lineRule="auto"/>
        <w:jc w:val="both"/>
        <w:rPr>
          <w:rFonts w:cs="Times New Roman"/>
          <w:szCs w:val="24"/>
        </w:rPr>
      </w:pPr>
      <w:r w:rsidRPr="005D6A77">
        <w:rPr>
          <w:rFonts w:cs="Times New Roman"/>
          <w:b/>
          <w:szCs w:val="24"/>
        </w:rPr>
        <w:t>1)</w:t>
      </w:r>
      <w:r w:rsidRPr="002F602E">
        <w:rPr>
          <w:rFonts w:cs="Times New Roman"/>
          <w:szCs w:val="24"/>
        </w:rPr>
        <w:t xml:space="preserve"> nustatyti, kad skaičiuojant alaus akcizus taikant Plato skalės laipsnių skaičių būtų vertinami visi alaus gamybos procese naudojami ingredientai, kurie įdėti ir po alaus fermentacijos proceso, (</w:t>
      </w:r>
      <w:r w:rsidRPr="002F602E">
        <w:rPr>
          <w:rFonts w:cs="Times New Roman"/>
          <w:i/>
          <w:szCs w:val="24"/>
        </w:rPr>
        <w:t>Pastaba.</w:t>
      </w:r>
      <w:r w:rsidRPr="002F602E">
        <w:rPr>
          <w:rFonts w:cs="Times New Roman"/>
          <w:szCs w:val="24"/>
        </w:rPr>
        <w:t xml:space="preserve"> Lietuvoje akcizai skaičiuojami taikant kitą galimą pagal ES teisę akcizų už alų skaičiavimo metodą - pagal alkoholio koncentraciją aluje už 1 procentą faktinės tūrinės alkoholio koncentracijos skaičiuojant už produkto hektolitrą, o ne pagal Plato sistemą); </w:t>
      </w:r>
    </w:p>
    <w:p w:rsidR="001205F2" w:rsidRPr="002F602E" w:rsidRDefault="001205F2" w:rsidP="001205F2">
      <w:pPr>
        <w:autoSpaceDE w:val="0"/>
        <w:autoSpaceDN w:val="0"/>
        <w:adjustRightInd w:val="0"/>
        <w:spacing w:after="0" w:line="240" w:lineRule="auto"/>
        <w:jc w:val="both"/>
        <w:rPr>
          <w:rFonts w:cs="Times New Roman"/>
          <w:color w:val="000000"/>
          <w:szCs w:val="24"/>
        </w:rPr>
      </w:pPr>
      <w:r w:rsidRPr="005D6A77">
        <w:rPr>
          <w:rFonts w:cs="Times New Roman"/>
          <w:b/>
          <w:color w:val="000000"/>
          <w:szCs w:val="24"/>
        </w:rPr>
        <w:t>2)</w:t>
      </w:r>
      <w:r w:rsidRPr="002F602E">
        <w:rPr>
          <w:rFonts w:cs="Times New Roman"/>
          <w:color w:val="000000"/>
          <w:szCs w:val="24"/>
        </w:rPr>
        <w:t xml:space="preserve"> numatyti galimybę valstybėms narėms taikyti sumažintus akcizų tarifus alkoholiniams gėrimams, kurio alkoholio koncentracija neviršija 3,5 proc. (šiuo metu taikoma 2,8 proc. riba);</w:t>
      </w:r>
    </w:p>
    <w:p w:rsidR="001205F2" w:rsidRPr="002F602E" w:rsidRDefault="001205F2" w:rsidP="001205F2">
      <w:pPr>
        <w:autoSpaceDE w:val="0"/>
        <w:autoSpaceDN w:val="0"/>
        <w:adjustRightInd w:val="0"/>
        <w:spacing w:after="0" w:line="240" w:lineRule="auto"/>
        <w:jc w:val="both"/>
        <w:rPr>
          <w:rFonts w:cs="Times New Roman"/>
          <w:color w:val="000000"/>
          <w:szCs w:val="24"/>
        </w:rPr>
      </w:pPr>
      <w:r w:rsidRPr="005D6A77">
        <w:rPr>
          <w:rFonts w:cs="Times New Roman"/>
          <w:b/>
          <w:color w:val="000000"/>
          <w:szCs w:val="24"/>
        </w:rPr>
        <w:t>3)</w:t>
      </w:r>
      <w:r w:rsidRPr="002F602E">
        <w:rPr>
          <w:rFonts w:cs="Times New Roman"/>
          <w:color w:val="000000"/>
          <w:szCs w:val="24"/>
        </w:rPr>
        <w:t xml:space="preserve"> </w:t>
      </w:r>
      <w:r w:rsidRPr="002F602E">
        <w:rPr>
          <w:rFonts w:cs="Times New Roman"/>
          <w:szCs w:val="24"/>
        </w:rPr>
        <w:t xml:space="preserve">numatyti galimybę valstybėms narėms taikyti sumažintus akcizų tarifus </w:t>
      </w:r>
      <w:r w:rsidRPr="002F602E">
        <w:rPr>
          <w:rFonts w:cs="Times New Roman"/>
          <w:color w:val="000000"/>
          <w:szCs w:val="24"/>
        </w:rPr>
        <w:t>(tačiau ne mažesnius negu 50 % už standartinį nacionalinį akcizų tarifą tokiems gėrimams)</w:t>
      </w:r>
      <w:r w:rsidRPr="002F602E">
        <w:rPr>
          <w:rFonts w:cs="Times New Roman"/>
          <w:szCs w:val="24"/>
        </w:rPr>
        <w:t xml:space="preserve"> mažųjų gamintojų </w:t>
      </w:r>
      <w:r w:rsidRPr="002F602E">
        <w:rPr>
          <w:rFonts w:cs="Times New Roman"/>
          <w:color w:val="000000"/>
          <w:szCs w:val="24"/>
        </w:rPr>
        <w:t>gaminamiems:</w:t>
      </w:r>
    </w:p>
    <w:p w:rsidR="001205F2" w:rsidRPr="002F602E" w:rsidRDefault="001205F2" w:rsidP="001205F2">
      <w:pPr>
        <w:autoSpaceDE w:val="0"/>
        <w:autoSpaceDN w:val="0"/>
        <w:adjustRightInd w:val="0"/>
        <w:spacing w:after="0" w:line="240" w:lineRule="auto"/>
        <w:jc w:val="both"/>
        <w:rPr>
          <w:rFonts w:cs="Times New Roman"/>
          <w:color w:val="000000"/>
          <w:szCs w:val="24"/>
        </w:rPr>
      </w:pPr>
      <w:r w:rsidRPr="002F602E">
        <w:rPr>
          <w:rFonts w:cs="Times New Roman"/>
          <w:color w:val="000000"/>
          <w:szCs w:val="24"/>
        </w:rPr>
        <w:t xml:space="preserve">- visiems fermentuotiems gėrimams, kurių alkoholio koncentracija ne didesnė nei 8,5 </w:t>
      </w:r>
      <w:r w:rsidRPr="002F602E">
        <w:rPr>
          <w:rFonts w:cs="Times New Roman"/>
          <w:color w:val="000000"/>
          <w:szCs w:val="24"/>
          <w:lang w:val="en-US"/>
        </w:rPr>
        <w:t>%</w:t>
      </w:r>
      <w:r w:rsidRPr="002F602E">
        <w:rPr>
          <w:rFonts w:cs="Times New Roman"/>
          <w:color w:val="000000"/>
          <w:szCs w:val="24"/>
        </w:rPr>
        <w:t xml:space="preserve"> (kur mažaisiais gamintojais būtų laikomi asmenys per metus pagaminantys ne daugiau kaip 15000 hl);</w:t>
      </w:r>
    </w:p>
    <w:p w:rsidR="001205F2" w:rsidRPr="002F602E" w:rsidRDefault="001205F2" w:rsidP="001205F2">
      <w:pPr>
        <w:autoSpaceDE w:val="0"/>
        <w:autoSpaceDN w:val="0"/>
        <w:adjustRightInd w:val="0"/>
        <w:spacing w:after="0" w:line="240" w:lineRule="auto"/>
        <w:jc w:val="both"/>
        <w:rPr>
          <w:rFonts w:cs="Times New Roman"/>
          <w:color w:val="000000"/>
          <w:szCs w:val="24"/>
        </w:rPr>
      </w:pPr>
      <w:r w:rsidRPr="002F602E">
        <w:rPr>
          <w:rFonts w:cs="Times New Roman"/>
          <w:color w:val="000000"/>
          <w:szCs w:val="24"/>
        </w:rPr>
        <w:t xml:space="preserve">- vynui (kur mažaisiais gamintojais būtų laikomi asmenys per metus pagaminantys ne mažiau kaip [1000 ar 20000] hl. </w:t>
      </w:r>
      <w:r w:rsidRPr="002F602E">
        <w:rPr>
          <w:rFonts w:cs="Times New Roman"/>
          <w:i/>
          <w:color w:val="000000"/>
          <w:szCs w:val="24"/>
        </w:rPr>
        <w:t>Pastaba</w:t>
      </w:r>
      <w:r w:rsidRPr="002F602E">
        <w:rPr>
          <w:rFonts w:cs="Times New Roman"/>
          <w:color w:val="000000"/>
          <w:szCs w:val="24"/>
        </w:rPr>
        <w:t>. Šios dvi ribos pateikiamos diskusijoms);</w:t>
      </w:r>
    </w:p>
    <w:p w:rsidR="001205F2" w:rsidRPr="002F602E" w:rsidRDefault="001205F2" w:rsidP="001205F2">
      <w:pPr>
        <w:autoSpaceDE w:val="0"/>
        <w:autoSpaceDN w:val="0"/>
        <w:adjustRightInd w:val="0"/>
        <w:spacing w:after="0" w:line="240" w:lineRule="auto"/>
        <w:jc w:val="both"/>
        <w:rPr>
          <w:rFonts w:cs="Times New Roman"/>
          <w:color w:val="000000"/>
          <w:szCs w:val="24"/>
        </w:rPr>
      </w:pPr>
      <w:r w:rsidRPr="002F602E">
        <w:rPr>
          <w:rFonts w:cs="Times New Roman"/>
          <w:color w:val="000000"/>
          <w:szCs w:val="24"/>
        </w:rPr>
        <w:t xml:space="preserve">- tarpiniams produktams, kurių alkoholio koncentracija ne didesnė nei 15 </w:t>
      </w:r>
      <w:r w:rsidRPr="002F602E">
        <w:rPr>
          <w:rFonts w:cs="Times New Roman"/>
          <w:color w:val="000000"/>
          <w:szCs w:val="24"/>
          <w:lang w:val="en-US"/>
        </w:rPr>
        <w:t>%</w:t>
      </w:r>
      <w:r w:rsidRPr="002F602E">
        <w:rPr>
          <w:rFonts w:cs="Times New Roman"/>
          <w:color w:val="000000"/>
          <w:szCs w:val="24"/>
        </w:rPr>
        <w:t xml:space="preserve">  (kur mažaisiais gamintojais būtų laikomi asmenys per metus pagaminantys ne daugiau kaip 50 hl).</w:t>
      </w:r>
    </w:p>
    <w:p w:rsidR="001205F2" w:rsidRPr="002F602E" w:rsidRDefault="001205F2" w:rsidP="001205F2">
      <w:pPr>
        <w:autoSpaceDE w:val="0"/>
        <w:autoSpaceDN w:val="0"/>
        <w:adjustRightInd w:val="0"/>
        <w:spacing w:after="0" w:line="240" w:lineRule="auto"/>
        <w:jc w:val="both"/>
        <w:rPr>
          <w:rFonts w:cs="Times New Roman"/>
          <w:color w:val="000000"/>
          <w:szCs w:val="24"/>
        </w:rPr>
      </w:pPr>
      <w:r w:rsidRPr="005D6A77">
        <w:rPr>
          <w:rFonts w:cs="Times New Roman"/>
          <w:b/>
          <w:color w:val="000000"/>
          <w:szCs w:val="24"/>
        </w:rPr>
        <w:t>4)</w:t>
      </w:r>
      <w:r w:rsidRPr="002F602E">
        <w:rPr>
          <w:rFonts w:cs="Times New Roman"/>
          <w:color w:val="000000"/>
          <w:szCs w:val="24"/>
        </w:rPr>
        <w:t xml:space="preserve"> ES mastu Europos Komisijos įgyvendinamuoju teisės aktu nustatyti sertifikato, patvirtinančio mažojo alkoholinių gėrimų statusą, akcizų lengvatos taikymo tikslais (įskaitant galimybę valstybėms narėms leisti asmenims patiems patvirtinti mažojo gamintojo statusą </w:t>
      </w:r>
      <w:r w:rsidRPr="002F602E">
        <w:rPr>
          <w:rFonts w:cs="Times New Roman"/>
          <w:i/>
          <w:color w:val="000000"/>
          <w:szCs w:val="24"/>
        </w:rPr>
        <w:t>(„</w:t>
      </w:r>
      <w:proofErr w:type="spellStart"/>
      <w:r w:rsidRPr="002F602E">
        <w:rPr>
          <w:rFonts w:cs="Times New Roman"/>
          <w:i/>
          <w:color w:val="000000"/>
          <w:szCs w:val="24"/>
        </w:rPr>
        <w:t>self-sertification“</w:t>
      </w:r>
      <w:r w:rsidRPr="002F602E">
        <w:rPr>
          <w:rFonts w:cs="Times New Roman"/>
          <w:color w:val="000000"/>
          <w:szCs w:val="24"/>
        </w:rPr>
        <w:t>);</w:t>
      </w:r>
      <w:proofErr w:type="spellEnd"/>
    </w:p>
    <w:p w:rsidR="001205F2" w:rsidRPr="002F602E" w:rsidRDefault="001205F2" w:rsidP="001205F2">
      <w:pPr>
        <w:autoSpaceDE w:val="0"/>
        <w:autoSpaceDN w:val="0"/>
        <w:adjustRightInd w:val="0"/>
        <w:spacing w:after="0" w:line="240" w:lineRule="auto"/>
        <w:jc w:val="both"/>
        <w:rPr>
          <w:rFonts w:cs="Times New Roman"/>
          <w:color w:val="000000"/>
          <w:szCs w:val="24"/>
        </w:rPr>
      </w:pPr>
      <w:r w:rsidRPr="005D6A77">
        <w:rPr>
          <w:rFonts w:cs="Times New Roman"/>
          <w:b/>
          <w:color w:val="000000"/>
          <w:szCs w:val="24"/>
        </w:rPr>
        <w:t>5)</w:t>
      </w:r>
      <w:r w:rsidRPr="002F602E">
        <w:rPr>
          <w:rFonts w:cs="Times New Roman"/>
          <w:color w:val="000000"/>
          <w:szCs w:val="24"/>
        </w:rPr>
        <w:t xml:space="preserve"> numatyti galimybę taikyti akcizų lengvatas (sumažintus tarifus ar visišką atleidimą) etilo alkoholiui [konkretus dydis paliekamas diskusijoms], kurį privatus asmuo savo šeimos vartojimui (ne pardavimui) pagamina iš savo išaugintų vaisių naudodamas paprastą įrangą;</w:t>
      </w:r>
    </w:p>
    <w:p w:rsidR="001205F2" w:rsidRPr="002F602E" w:rsidRDefault="001205F2" w:rsidP="001205F2">
      <w:pPr>
        <w:autoSpaceDE w:val="0"/>
        <w:autoSpaceDN w:val="0"/>
        <w:adjustRightInd w:val="0"/>
        <w:spacing w:after="0" w:line="240" w:lineRule="auto"/>
        <w:jc w:val="both"/>
        <w:rPr>
          <w:rFonts w:cs="Times New Roman"/>
          <w:szCs w:val="24"/>
        </w:rPr>
      </w:pPr>
      <w:r w:rsidRPr="005D6A77">
        <w:rPr>
          <w:rFonts w:cs="Times New Roman"/>
          <w:b/>
          <w:szCs w:val="24"/>
        </w:rPr>
        <w:t>6)</w:t>
      </w:r>
      <w:r w:rsidRPr="002F602E">
        <w:rPr>
          <w:rFonts w:cs="Times New Roman"/>
          <w:szCs w:val="24"/>
        </w:rPr>
        <w:t xml:space="preserve"> nustatyti galimybę valstybėms narėms, pasirinkti, kad akcizai už alkoholinius gėrimus  (vyną, kitus fermentuotus gėrimus, tarpinius produktus, etilo alkoholį) būtų skaičiuojami už alkoholio laipsnį produkte (kaip kad šiuo metu taikoma alaus atveju) su sąlyga, kad taikomi akcizų tarifai atitiks minimalius pagal ES teisę nurodytų produktų apmokestinimo lygiu; </w:t>
      </w:r>
    </w:p>
    <w:p w:rsidR="001205F2" w:rsidRPr="002F602E" w:rsidRDefault="001205F2" w:rsidP="001205F2">
      <w:pPr>
        <w:autoSpaceDE w:val="0"/>
        <w:autoSpaceDN w:val="0"/>
        <w:adjustRightInd w:val="0"/>
        <w:spacing w:after="0" w:line="240" w:lineRule="auto"/>
        <w:jc w:val="both"/>
        <w:rPr>
          <w:rFonts w:cs="Times New Roman"/>
          <w:szCs w:val="24"/>
        </w:rPr>
      </w:pPr>
      <w:r w:rsidRPr="005D6A77">
        <w:rPr>
          <w:rFonts w:cs="Times New Roman"/>
          <w:b/>
          <w:szCs w:val="24"/>
        </w:rPr>
        <w:t>7)</w:t>
      </w:r>
      <w:r w:rsidRPr="002F602E">
        <w:rPr>
          <w:rFonts w:cs="Times New Roman"/>
          <w:szCs w:val="24"/>
        </w:rPr>
        <w:t xml:space="preserve"> dalinai denatūruoto etilo alkoholio atveju nustatyti, kad:</w:t>
      </w:r>
    </w:p>
    <w:p w:rsidR="001205F2" w:rsidRPr="002F602E" w:rsidRDefault="001205F2" w:rsidP="001205F2">
      <w:pPr>
        <w:autoSpaceDE w:val="0"/>
        <w:autoSpaceDN w:val="0"/>
        <w:adjustRightInd w:val="0"/>
        <w:spacing w:after="0" w:line="240" w:lineRule="auto"/>
        <w:jc w:val="both"/>
        <w:rPr>
          <w:rFonts w:cs="Times New Roman"/>
          <w:szCs w:val="24"/>
        </w:rPr>
      </w:pPr>
      <w:r w:rsidRPr="002F602E">
        <w:rPr>
          <w:rFonts w:cs="Times New Roman"/>
          <w:szCs w:val="24"/>
        </w:rPr>
        <w:t>- atleidimas būtų taikomas dalinai denatūruotam etilo alkoholiui, kuris naudojamas ne tik žmonių vartojimui neskirto produkto gamybai, bet ir naudojamas tokiai gamybai naudojamos įrangos valymui;</w:t>
      </w:r>
    </w:p>
    <w:p w:rsidR="001205F2" w:rsidRPr="002F602E" w:rsidRDefault="001205F2" w:rsidP="001205F2">
      <w:pPr>
        <w:autoSpaceDE w:val="0"/>
        <w:autoSpaceDN w:val="0"/>
        <w:adjustRightInd w:val="0"/>
        <w:spacing w:after="0" w:line="240" w:lineRule="auto"/>
        <w:jc w:val="both"/>
        <w:rPr>
          <w:rFonts w:cs="Times New Roman"/>
          <w:szCs w:val="24"/>
        </w:rPr>
      </w:pPr>
      <w:r w:rsidRPr="002F602E">
        <w:rPr>
          <w:rFonts w:cs="Times New Roman"/>
          <w:szCs w:val="24"/>
        </w:rPr>
        <w:t>- kompiuterinę gabenimo priežiūrą (EMCS) siūloma taikyti tik kai gabenamas grynas dalinai denatūruotas etilo alkoholis, kuris dar nėra panaudotas ne žmonių vartojimui skirto produkto gamybai;</w:t>
      </w:r>
    </w:p>
    <w:p w:rsidR="001205F2" w:rsidRPr="002F602E" w:rsidRDefault="001205F2" w:rsidP="001205F2">
      <w:pPr>
        <w:autoSpaceDE w:val="0"/>
        <w:autoSpaceDN w:val="0"/>
        <w:adjustRightInd w:val="0"/>
        <w:spacing w:after="0" w:line="240" w:lineRule="auto"/>
        <w:jc w:val="both"/>
        <w:rPr>
          <w:rFonts w:cs="Times New Roman"/>
          <w:szCs w:val="24"/>
        </w:rPr>
      </w:pPr>
      <w:r w:rsidRPr="005D6A77">
        <w:rPr>
          <w:rFonts w:cs="Times New Roman"/>
          <w:b/>
          <w:szCs w:val="24"/>
        </w:rPr>
        <w:t>8)</w:t>
      </w:r>
      <w:r w:rsidRPr="002F602E">
        <w:rPr>
          <w:rFonts w:cs="Times New Roman"/>
          <w:szCs w:val="24"/>
        </w:rPr>
        <w:t xml:space="preserve"> numatyti galimybę valstybėms narėms nuo akcizų atleisti etilo alkoholį, kuris naudojamas maisto papildų, kaip jie apibrėžti Direktyvoje 2002/46/EB, gamyboje, kai toks produktas tiekiamas rinkai pakuotėje ne didesnėje nei </w:t>
      </w:r>
      <w:r w:rsidRPr="002F602E">
        <w:rPr>
          <w:rFonts w:cs="Times New Roman"/>
          <w:szCs w:val="24"/>
          <w:lang w:val="en-GB"/>
        </w:rPr>
        <w:t>0,1 l.</w:t>
      </w:r>
    </w:p>
    <w:p w:rsidR="001205F2" w:rsidRPr="002F602E" w:rsidRDefault="001205F2" w:rsidP="001205F2">
      <w:pPr>
        <w:autoSpaceDE w:val="0"/>
        <w:autoSpaceDN w:val="0"/>
        <w:adjustRightInd w:val="0"/>
        <w:spacing w:after="0" w:line="240" w:lineRule="auto"/>
        <w:contextualSpacing/>
        <w:jc w:val="both"/>
        <w:rPr>
          <w:rFonts w:cs="Times New Roman"/>
          <w:szCs w:val="24"/>
          <w:u w:val="single"/>
        </w:rPr>
      </w:pPr>
    </w:p>
    <w:p w:rsidR="001205F2" w:rsidRPr="002F602E" w:rsidRDefault="001205F2" w:rsidP="001205F2">
      <w:pPr>
        <w:autoSpaceDE w:val="0"/>
        <w:autoSpaceDN w:val="0"/>
        <w:adjustRightInd w:val="0"/>
        <w:spacing w:after="0" w:line="240" w:lineRule="auto"/>
        <w:contextualSpacing/>
        <w:jc w:val="both"/>
        <w:rPr>
          <w:rFonts w:cs="Times New Roman"/>
          <w:szCs w:val="24"/>
        </w:rPr>
      </w:pPr>
      <w:r w:rsidRPr="002F602E">
        <w:rPr>
          <w:rFonts w:cs="Times New Roman"/>
          <w:szCs w:val="24"/>
          <w:u w:val="single"/>
        </w:rPr>
        <w:t>Bendrosios akcizų tvarkos</w:t>
      </w:r>
      <w:r w:rsidRPr="002F602E">
        <w:rPr>
          <w:rFonts w:cs="Times New Roman"/>
          <w:szCs w:val="24"/>
          <w:u w:val="single"/>
        </w:rPr>
        <w:t xml:space="preserve"> </w:t>
      </w:r>
      <w:r w:rsidRPr="002F602E">
        <w:rPr>
          <w:rFonts w:cs="Times New Roman"/>
          <w:szCs w:val="24"/>
          <w:u w:val="single"/>
        </w:rPr>
        <w:t>pasiūlymu</w:t>
      </w:r>
      <w:r w:rsidRPr="002F602E">
        <w:rPr>
          <w:rFonts w:cs="Times New Roman"/>
          <w:szCs w:val="24"/>
        </w:rPr>
        <w:t xml:space="preserve"> siūloma:</w:t>
      </w:r>
    </w:p>
    <w:p w:rsidR="001205F2" w:rsidRPr="002F602E" w:rsidRDefault="001205F2" w:rsidP="002F602E">
      <w:pPr>
        <w:spacing w:after="0" w:line="240" w:lineRule="auto"/>
        <w:jc w:val="both"/>
        <w:rPr>
          <w:rFonts w:cs="Times New Roman"/>
          <w:szCs w:val="24"/>
        </w:rPr>
      </w:pPr>
      <w:r w:rsidRPr="005D6A77">
        <w:rPr>
          <w:rFonts w:cs="Times New Roman"/>
          <w:b/>
          <w:szCs w:val="24"/>
        </w:rPr>
        <w:t>1</w:t>
      </w:r>
      <w:r w:rsidR="005D6A77">
        <w:rPr>
          <w:rFonts w:cs="Times New Roman"/>
          <w:szCs w:val="24"/>
        </w:rPr>
        <w:t>)</w:t>
      </w:r>
      <w:r w:rsidRPr="002F602E">
        <w:rPr>
          <w:rFonts w:cs="Times New Roman"/>
          <w:b/>
          <w:szCs w:val="24"/>
        </w:rPr>
        <w:t xml:space="preserve"> </w:t>
      </w:r>
      <w:r w:rsidRPr="002F602E">
        <w:rPr>
          <w:rFonts w:cs="Times New Roman"/>
          <w:szCs w:val="24"/>
        </w:rPr>
        <w:t>suderinti direktyvos nuostatas su galiojančiomis muitų teisės aktų nuostatomis bei užtikrinti tinkamus duomenų mainus tarp akcizų (EMCS) ir muitų (ECS) informacinių sistemų:</w:t>
      </w:r>
    </w:p>
    <w:p w:rsidR="001205F2" w:rsidRPr="002F602E" w:rsidRDefault="001205F2" w:rsidP="002F602E">
      <w:pPr>
        <w:spacing w:after="0" w:line="240" w:lineRule="auto"/>
        <w:jc w:val="both"/>
        <w:rPr>
          <w:rFonts w:cs="Times New Roman"/>
          <w:szCs w:val="24"/>
        </w:rPr>
      </w:pPr>
      <w:r w:rsidRPr="002F602E">
        <w:rPr>
          <w:rFonts w:cs="Times New Roman"/>
          <w:szCs w:val="24"/>
        </w:rPr>
        <w:t xml:space="preserve">- patikslinti akcizais apmokestinamų prekių (AAP) importo sąvoka, nustatant, kad tokių prekių importu laikomas prekių išleidimas į laisvą apyvartą, kaip tai apibrėžta Europos Tarybos ir Tarybos reglamento (ES) Nr. 953/2013, kuriuo nustatomas Sąjungos muitinės kodeksas, 201 straipsnio nuostatose (t. y. kai prekės įgauna Europos Sąjungos prekių statusą); </w:t>
      </w:r>
    </w:p>
    <w:p w:rsidR="001205F2" w:rsidRPr="002F602E" w:rsidRDefault="001205F2" w:rsidP="002F602E">
      <w:pPr>
        <w:spacing w:after="0" w:line="240" w:lineRule="auto"/>
        <w:jc w:val="both"/>
        <w:rPr>
          <w:rFonts w:cs="Times New Roman"/>
          <w:szCs w:val="24"/>
        </w:rPr>
      </w:pPr>
      <w:r w:rsidRPr="002F602E">
        <w:rPr>
          <w:rFonts w:cs="Times New Roman"/>
          <w:szCs w:val="24"/>
        </w:rPr>
        <w:t xml:space="preserve">- nustatyti akcizų prievolę už neteisėtai įvežtas AAP, kur neteisėtu įvežimu būtų laikomas prekių įvežimas į Sąjungos teritoriją, kurios nebuvo išleistos į laisvą apyvartą pagal Reglamento Nr. 953/2013 201 str., ir </w:t>
      </w:r>
      <w:r w:rsidRPr="002F602E">
        <w:rPr>
          <w:rFonts w:cs="Times New Roman"/>
          <w:szCs w:val="24"/>
        </w:rPr>
        <w:lastRenderedPageBreak/>
        <w:t>už kurias pagal to pateis reglamento 79 straipsnio 1 dalį yra atsiradusi ar būtų atsiradusi skola muitinei, jei prekės būtų apmokestintos muitais;</w:t>
      </w:r>
    </w:p>
    <w:p w:rsidR="001205F2" w:rsidRPr="002F602E" w:rsidRDefault="001205F2" w:rsidP="002F602E">
      <w:pPr>
        <w:spacing w:after="0" w:line="240" w:lineRule="auto"/>
        <w:jc w:val="both"/>
        <w:rPr>
          <w:rFonts w:cs="Times New Roman"/>
          <w:szCs w:val="24"/>
        </w:rPr>
      </w:pPr>
      <w:r w:rsidRPr="002F602E">
        <w:rPr>
          <w:rFonts w:cs="Times New Roman"/>
          <w:szCs w:val="24"/>
        </w:rPr>
        <w:t>- nustatoma galimybė AAP, kurioms taikomas akcizų mokėjimo laikino atidėjimo režimas, taikant išorinio tranzito procedūrą, kaip ji apibrėžta Komisijos deleguotojo reglamento (ES) 2015/2446 189 straipsnyje, gabenti iš akcizais apmokestinamų prekių sandėlio į muitinės išvežimo įstaigą (</w:t>
      </w:r>
      <w:proofErr w:type="spellStart"/>
      <w:r w:rsidRPr="002F602E">
        <w:rPr>
          <w:rFonts w:cs="Times New Roman"/>
          <w:i/>
          <w:szCs w:val="24"/>
        </w:rPr>
        <w:t>customs</w:t>
      </w:r>
      <w:proofErr w:type="spellEnd"/>
      <w:r w:rsidRPr="002F602E">
        <w:rPr>
          <w:rFonts w:cs="Times New Roman"/>
          <w:i/>
          <w:szCs w:val="24"/>
        </w:rPr>
        <w:t xml:space="preserve"> </w:t>
      </w:r>
      <w:proofErr w:type="spellStart"/>
      <w:r w:rsidRPr="002F602E">
        <w:rPr>
          <w:rFonts w:cs="Times New Roman"/>
          <w:i/>
          <w:szCs w:val="24"/>
        </w:rPr>
        <w:t>office</w:t>
      </w:r>
      <w:proofErr w:type="spellEnd"/>
      <w:r w:rsidRPr="002F602E">
        <w:rPr>
          <w:rFonts w:cs="Times New Roman"/>
          <w:i/>
          <w:szCs w:val="24"/>
        </w:rPr>
        <w:t xml:space="preserve"> </w:t>
      </w:r>
      <w:proofErr w:type="spellStart"/>
      <w:r w:rsidRPr="002F602E">
        <w:rPr>
          <w:rFonts w:cs="Times New Roman"/>
          <w:i/>
          <w:szCs w:val="24"/>
        </w:rPr>
        <w:t>of</w:t>
      </w:r>
      <w:proofErr w:type="spellEnd"/>
      <w:r w:rsidRPr="002F602E">
        <w:rPr>
          <w:rFonts w:cs="Times New Roman"/>
          <w:i/>
          <w:szCs w:val="24"/>
        </w:rPr>
        <w:t xml:space="preserve"> </w:t>
      </w:r>
      <w:proofErr w:type="spellStart"/>
      <w:r w:rsidRPr="002F602E">
        <w:rPr>
          <w:rFonts w:cs="Times New Roman"/>
          <w:i/>
          <w:szCs w:val="24"/>
        </w:rPr>
        <w:t>exit</w:t>
      </w:r>
      <w:proofErr w:type="spellEnd"/>
      <w:r w:rsidRPr="002F602E">
        <w:rPr>
          <w:rFonts w:cs="Times New Roman"/>
          <w:szCs w:val="24"/>
        </w:rPr>
        <w:t xml:space="preserve"> ), kuri yra ir išvykimo muitinės įstaiga (</w:t>
      </w:r>
      <w:proofErr w:type="spellStart"/>
      <w:r w:rsidRPr="002F602E">
        <w:rPr>
          <w:rFonts w:cs="Times New Roman"/>
          <w:i/>
          <w:szCs w:val="24"/>
        </w:rPr>
        <w:t>customs</w:t>
      </w:r>
      <w:proofErr w:type="spellEnd"/>
      <w:r w:rsidRPr="002F602E">
        <w:rPr>
          <w:rFonts w:cs="Times New Roman"/>
          <w:i/>
          <w:szCs w:val="24"/>
        </w:rPr>
        <w:t xml:space="preserve"> </w:t>
      </w:r>
      <w:proofErr w:type="spellStart"/>
      <w:r w:rsidRPr="002F602E">
        <w:rPr>
          <w:rFonts w:cs="Times New Roman"/>
          <w:i/>
          <w:szCs w:val="24"/>
        </w:rPr>
        <w:t>office</w:t>
      </w:r>
      <w:proofErr w:type="spellEnd"/>
      <w:r w:rsidRPr="002F602E">
        <w:rPr>
          <w:rFonts w:cs="Times New Roman"/>
          <w:i/>
          <w:szCs w:val="24"/>
        </w:rPr>
        <w:t xml:space="preserve"> </w:t>
      </w:r>
      <w:proofErr w:type="spellStart"/>
      <w:r w:rsidRPr="002F602E">
        <w:rPr>
          <w:rFonts w:cs="Times New Roman"/>
          <w:i/>
          <w:szCs w:val="24"/>
        </w:rPr>
        <w:t>of</w:t>
      </w:r>
      <w:proofErr w:type="spellEnd"/>
      <w:r w:rsidRPr="002F602E">
        <w:rPr>
          <w:rFonts w:cs="Times New Roman"/>
          <w:i/>
          <w:szCs w:val="24"/>
        </w:rPr>
        <w:t xml:space="preserve"> </w:t>
      </w:r>
      <w:proofErr w:type="spellStart"/>
      <w:r w:rsidRPr="002F602E">
        <w:rPr>
          <w:rFonts w:cs="Times New Roman"/>
          <w:i/>
          <w:szCs w:val="24"/>
        </w:rPr>
        <w:t>departure</w:t>
      </w:r>
      <w:proofErr w:type="spellEnd"/>
      <w:r w:rsidRPr="002F602E">
        <w:rPr>
          <w:rFonts w:cs="Times New Roman"/>
          <w:szCs w:val="24"/>
        </w:rPr>
        <w:t>);</w:t>
      </w:r>
    </w:p>
    <w:p w:rsidR="001205F2" w:rsidRPr="002F602E" w:rsidRDefault="005D6A77" w:rsidP="002F602E">
      <w:pPr>
        <w:spacing w:after="0" w:line="240" w:lineRule="auto"/>
        <w:jc w:val="both"/>
        <w:rPr>
          <w:rFonts w:cs="Times New Roman"/>
          <w:szCs w:val="24"/>
        </w:rPr>
      </w:pPr>
      <w:r>
        <w:rPr>
          <w:rFonts w:cs="Times New Roman"/>
          <w:b/>
          <w:szCs w:val="24"/>
        </w:rPr>
        <w:t>2)</w:t>
      </w:r>
      <w:r w:rsidR="001205F2" w:rsidRPr="002F602E">
        <w:rPr>
          <w:rFonts w:cs="Times New Roman"/>
          <w:szCs w:val="24"/>
        </w:rPr>
        <w:t xml:space="preserve"> įtraukti į kompiuterinę akcizais apmokestinamų prekių gabenimo ir kontrolės sistemą (EMCS) AAP, kurioms panaikintas akcizų mokėjimo laikino atidėjimo režimas ir kurios gabenamos komerciniais tikslais į kitą valstybę narę, gabenimą, kartu nustatant reikalavimą parengti elektroninį supaprastintą AAP gabenimo dokumentą, išskiriant tokių prekių siuntėjus (sertifikuotus siuntėjus) ir gavėjus (sertifikuotus gavėjus), reglamentuojant šių asmenų mokestines prievoles, jų vykdymo užtikrinimą. Akcizais apmokestinamų prekių sandėlių savininkai ir registruoti siuntėjai šiuo atveju galėtų veikti kaip sertifikuoti siuntėjai ir sertifikuoti gavėjai; </w:t>
      </w:r>
    </w:p>
    <w:p w:rsidR="001205F2" w:rsidRPr="002F602E" w:rsidRDefault="005D6A77" w:rsidP="002F602E">
      <w:pPr>
        <w:spacing w:after="0" w:line="240" w:lineRule="auto"/>
        <w:jc w:val="both"/>
        <w:rPr>
          <w:rFonts w:cs="Times New Roman"/>
          <w:b/>
          <w:szCs w:val="24"/>
        </w:rPr>
      </w:pPr>
      <w:r>
        <w:rPr>
          <w:rFonts w:cs="Times New Roman"/>
          <w:b/>
          <w:szCs w:val="24"/>
        </w:rPr>
        <w:t>3)</w:t>
      </w:r>
      <w:r w:rsidR="001205F2" w:rsidRPr="002F602E">
        <w:rPr>
          <w:rFonts w:cs="Times New Roman"/>
          <w:b/>
          <w:szCs w:val="24"/>
        </w:rPr>
        <w:t xml:space="preserve"> </w:t>
      </w:r>
      <w:r w:rsidR="001205F2" w:rsidRPr="002F602E">
        <w:rPr>
          <w:rFonts w:cs="Times New Roman"/>
          <w:szCs w:val="24"/>
        </w:rPr>
        <w:t xml:space="preserve">numatyti galimybę valstybėms narėms nusistatyti, kad </w:t>
      </w:r>
      <w:r w:rsidR="001205F2" w:rsidRPr="002F602E">
        <w:rPr>
          <w:rFonts w:cs="Times New Roman"/>
          <w:color w:val="000000"/>
          <w:szCs w:val="24"/>
        </w:rPr>
        <w:t>fizinio asmens įsigyjami ir įvežami iš kitos valstybės narės tabako ir alkoholio produktai yra apmokestinami, jei viršija tam tikrus kiekius ir asmuo negali įrodyti, kad šie produktai yra skirti išimtinai asmeninėms reikmėms;</w:t>
      </w:r>
    </w:p>
    <w:p w:rsidR="001205F2" w:rsidRPr="002F602E" w:rsidRDefault="005D6A77" w:rsidP="002F602E">
      <w:pPr>
        <w:spacing w:after="0" w:line="240" w:lineRule="auto"/>
        <w:jc w:val="both"/>
        <w:rPr>
          <w:rFonts w:cs="Times New Roman"/>
          <w:szCs w:val="24"/>
        </w:rPr>
      </w:pPr>
      <w:r>
        <w:rPr>
          <w:rFonts w:cs="Times New Roman"/>
          <w:b/>
          <w:szCs w:val="24"/>
        </w:rPr>
        <w:t>4)</w:t>
      </w:r>
      <w:r w:rsidR="001205F2" w:rsidRPr="002F602E">
        <w:rPr>
          <w:rFonts w:cs="Times New Roman"/>
          <w:szCs w:val="24"/>
        </w:rPr>
        <w:t xml:space="preserve"> atlikti kitus pakeitimus:</w:t>
      </w:r>
    </w:p>
    <w:p w:rsidR="001205F2" w:rsidRPr="002F602E" w:rsidRDefault="001205F2" w:rsidP="002F602E">
      <w:pPr>
        <w:spacing w:after="0" w:line="240" w:lineRule="auto"/>
        <w:jc w:val="both"/>
        <w:rPr>
          <w:rFonts w:cs="Times New Roman"/>
          <w:szCs w:val="24"/>
        </w:rPr>
      </w:pPr>
      <w:r w:rsidRPr="002F602E">
        <w:rPr>
          <w:rFonts w:cs="Times New Roman"/>
          <w:szCs w:val="24"/>
        </w:rPr>
        <w:t>- patikslinti nuostatos dėl akcizų netaikymo tam AAP kiekiui, kuris gabenimo taikant akcizų mokėjimo laikino atidėjimo režimą metu nepasiekia paskirties vietos ir kuris neviršija natūralios netekties normų, kurių galimas dydis (pvz., procentine išraiška)  ir kiti susiję dalykai (pvz., normų nustatymo metodas) būtų nustatomi Europos Komisijos įgyvendinamuoju teisės aktu;</w:t>
      </w:r>
    </w:p>
    <w:p w:rsidR="001205F2" w:rsidRPr="002F602E" w:rsidRDefault="001205F2" w:rsidP="002F602E">
      <w:pPr>
        <w:spacing w:after="0" w:line="240" w:lineRule="auto"/>
        <w:jc w:val="both"/>
        <w:rPr>
          <w:rFonts w:cs="Times New Roman"/>
          <w:szCs w:val="24"/>
        </w:rPr>
      </w:pPr>
      <w:r w:rsidRPr="002F602E">
        <w:rPr>
          <w:rFonts w:cs="Times New Roman"/>
          <w:szCs w:val="24"/>
        </w:rPr>
        <w:t xml:space="preserve">- nustatyti alternatyvių įrodymų, patvirtinančių kad AAP yra gautos paskirties vietoje, sąrašą tais atvejais, kai negaunamas elektroninis pranešimas apie tokių prekių gavimą; </w:t>
      </w:r>
    </w:p>
    <w:p w:rsidR="001205F2" w:rsidRPr="002F602E" w:rsidRDefault="001205F2" w:rsidP="002F602E">
      <w:pPr>
        <w:spacing w:after="0" w:line="240" w:lineRule="auto"/>
        <w:jc w:val="both"/>
        <w:rPr>
          <w:rFonts w:cs="Times New Roman"/>
          <w:szCs w:val="24"/>
        </w:rPr>
      </w:pPr>
      <w:r w:rsidRPr="002F602E">
        <w:rPr>
          <w:rFonts w:cs="Times New Roman"/>
          <w:szCs w:val="24"/>
        </w:rPr>
        <w:t>-  patikslinti nuostatas, numatančias kad Europos Komisija įgyvendinamaisiais teisės aktais patvirtinta atleidimo nuo akcizų sertifikato formą tais atvejais, kai AAP yra skirtos naudoti diplomatinių ir konsulinių santykių, NATO ir tarptautinių organizacijų kontekste (kartu išlaikant galimybę naudoti šį sertifikatą ir atleidimo tikslais kitų netiesioginių mokesčių srityje) numatant, kad šiame sertifikate turi būti pateikiama informacija apie AAP kiekį, vertę, kilmę;</w:t>
      </w:r>
    </w:p>
    <w:p w:rsidR="001205F2" w:rsidRPr="002F602E" w:rsidRDefault="001205F2" w:rsidP="002F602E">
      <w:pPr>
        <w:spacing w:after="0" w:line="240" w:lineRule="auto"/>
        <w:jc w:val="both"/>
        <w:rPr>
          <w:rFonts w:cs="Times New Roman"/>
          <w:szCs w:val="24"/>
        </w:rPr>
      </w:pPr>
      <w:r w:rsidRPr="002F602E">
        <w:rPr>
          <w:rFonts w:cs="Times New Roman"/>
          <w:szCs w:val="24"/>
        </w:rPr>
        <w:t>- atsisakyti reikalavimo pateikti garantiją tais atvejais, kai energiniai produktai yra gabenami vamzdynais, išskyrus tinkamai pagrįstais atvejais.</w:t>
      </w:r>
    </w:p>
    <w:p w:rsidR="001205F2" w:rsidRPr="002F602E" w:rsidRDefault="001205F2" w:rsidP="002F602E">
      <w:pPr>
        <w:spacing w:after="0" w:line="240" w:lineRule="auto"/>
        <w:jc w:val="both"/>
        <w:rPr>
          <w:rFonts w:cs="Times New Roman"/>
          <w:b/>
          <w:szCs w:val="24"/>
        </w:rPr>
      </w:pPr>
      <w:r w:rsidRPr="002F602E">
        <w:rPr>
          <w:rFonts w:cs="Times New Roman"/>
          <w:szCs w:val="24"/>
        </w:rPr>
        <w:t xml:space="preserve">Kartu yra teikiamas </w:t>
      </w:r>
      <w:r w:rsidRPr="002F602E">
        <w:rPr>
          <w:rFonts w:cs="Times New Roman"/>
          <w:szCs w:val="24"/>
          <w:u w:val="single"/>
        </w:rPr>
        <w:t>pasiūlymas pakeičiantis Reglamentą (EB) Nr. 389/2012 dėl administracinio bendradarbiavimo akcizų srityje, susijusį su elektroninio registro turiniu</w:t>
      </w:r>
      <w:r w:rsidRPr="002F602E">
        <w:rPr>
          <w:rFonts w:cs="Times New Roman"/>
          <w:szCs w:val="24"/>
        </w:rPr>
        <w:t>, kuriuo siekiama įgyvendinti  pasiūlymo dėl Tarybos direktyvos dėl bendros akcizų tvarkos nuostatas dėl sertifikuotų siuntėjų ir sertifikuotų gavėjų, taip pat siūloma numatyti asmenų registravimą centrinėje informacinėje duomenų bazėje (šiuo metu toks registravimas taikomas tik sandėlių savininkams, registruotiems gavėjams ir registruotiems siuntėjams, turintiems teisę gauti, laikyti ir išsiųsti AAP, kurioms taikomas akcizų mokėjimo laikino atidėjimo režimas).</w:t>
      </w:r>
      <w:r w:rsidRPr="002F602E">
        <w:rPr>
          <w:rFonts w:cs="Times New Roman"/>
          <w:b/>
          <w:szCs w:val="24"/>
        </w:rPr>
        <w:t xml:space="preserve">  </w:t>
      </w:r>
    </w:p>
    <w:p w:rsidR="000463FC" w:rsidRPr="002F602E" w:rsidRDefault="000463FC" w:rsidP="002F602E">
      <w:pPr>
        <w:spacing w:after="0" w:line="240" w:lineRule="auto"/>
        <w:contextualSpacing/>
        <w:rPr>
          <w:rFonts w:cs="Times New Roman"/>
          <w:szCs w:val="24"/>
        </w:rPr>
      </w:pPr>
      <w:r w:rsidRPr="002F602E">
        <w:rPr>
          <w:rFonts w:cs="Times New Roman"/>
          <w:b/>
          <w:bCs/>
          <w:szCs w:val="24"/>
          <w:u w:val="single"/>
        </w:rPr>
        <w:t>Lietuvos pozicija.</w:t>
      </w:r>
      <w:r w:rsidRPr="002F602E">
        <w:rPr>
          <w:rFonts w:cs="Times New Roman"/>
          <w:szCs w:val="24"/>
        </w:rPr>
        <w:t xml:space="preserve"> </w:t>
      </w:r>
      <w:r w:rsidR="001205F2" w:rsidRPr="002F602E">
        <w:rPr>
          <w:rFonts w:cs="Times New Roman"/>
          <w:szCs w:val="24"/>
        </w:rPr>
        <w:t>Pritarti kompromisui.</w:t>
      </w:r>
    </w:p>
    <w:p w:rsidR="005C3976" w:rsidRPr="002F602E" w:rsidRDefault="005C3976" w:rsidP="002F602E">
      <w:pPr>
        <w:spacing w:after="0" w:line="240" w:lineRule="auto"/>
        <w:jc w:val="both"/>
        <w:rPr>
          <w:rFonts w:cs="Times New Roman"/>
          <w:szCs w:val="24"/>
        </w:rPr>
      </w:pPr>
    </w:p>
    <w:p w:rsidR="00561308" w:rsidRPr="002F602E" w:rsidRDefault="00561308" w:rsidP="002F602E">
      <w:pPr>
        <w:spacing w:after="0" w:line="240" w:lineRule="auto"/>
        <w:jc w:val="both"/>
        <w:rPr>
          <w:rFonts w:cs="Times New Roman"/>
          <w:szCs w:val="24"/>
        </w:rPr>
      </w:pPr>
    </w:p>
    <w:p w:rsidR="0084520E" w:rsidRPr="002F602E" w:rsidRDefault="00341355" w:rsidP="005C3976">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sidRPr="002F602E">
        <w:rPr>
          <w:rFonts w:cs="Times New Roman"/>
          <w:b/>
          <w:szCs w:val="24"/>
        </w:rPr>
        <w:t>Komisijos pasiūlymas dėl Ekonominės ir pinigų sąjungos struktūros: tolesnis Reformų rėm</w:t>
      </w:r>
      <w:r w:rsidR="00C81C48" w:rsidRPr="002F602E">
        <w:rPr>
          <w:rFonts w:cs="Times New Roman"/>
          <w:b/>
          <w:szCs w:val="24"/>
        </w:rPr>
        <w:t>imo programa</w:t>
      </w:r>
      <w:r w:rsidR="005C3976" w:rsidRPr="002F602E">
        <w:rPr>
          <w:rFonts w:cs="Times New Roman"/>
          <w:b/>
          <w:szCs w:val="24"/>
        </w:rPr>
        <w:t xml:space="preserve"> </w:t>
      </w:r>
      <w:r w:rsidR="005C3976" w:rsidRPr="002F602E">
        <w:rPr>
          <w:rFonts w:cs="Times New Roman"/>
          <w:i/>
          <w:szCs w:val="24"/>
        </w:rPr>
        <w:t>(</w:t>
      </w:r>
      <w:r w:rsidR="00C57A83" w:rsidRPr="002F602E">
        <w:rPr>
          <w:rFonts w:cs="Times New Roman"/>
          <w:i/>
          <w:szCs w:val="24"/>
        </w:rPr>
        <w:t>politiniai debatai</w:t>
      </w:r>
      <w:r w:rsidR="005C3976" w:rsidRPr="002F602E">
        <w:rPr>
          <w:rFonts w:cs="Times New Roman"/>
          <w:i/>
          <w:szCs w:val="24"/>
        </w:rPr>
        <w:t>)</w:t>
      </w:r>
    </w:p>
    <w:p w:rsidR="0084520E" w:rsidRPr="002F602E" w:rsidRDefault="0084520E" w:rsidP="00827E85">
      <w:pPr>
        <w:spacing w:after="0" w:line="240" w:lineRule="auto"/>
        <w:jc w:val="both"/>
        <w:rPr>
          <w:rFonts w:eastAsia="Calibri" w:cs="Times New Roman"/>
          <w:b/>
          <w:noProof/>
          <w:szCs w:val="24"/>
          <w:u w:val="single"/>
          <w:lang w:bidi="lt-LT"/>
        </w:rPr>
      </w:pPr>
    </w:p>
    <w:p w:rsidR="005D6A77" w:rsidRDefault="005D6A77" w:rsidP="005D6A77">
      <w:pPr>
        <w:spacing w:after="0" w:line="240" w:lineRule="auto"/>
        <w:contextualSpacing/>
        <w:jc w:val="both"/>
        <w:rPr>
          <w:rFonts w:eastAsia="Times New Roman" w:cs="Times New Roman"/>
          <w:szCs w:val="24"/>
          <w:lang w:eastAsia="pl-PL"/>
        </w:rPr>
      </w:pPr>
      <w:r w:rsidRPr="00C81C48">
        <w:rPr>
          <w:b/>
          <w:u w:val="single"/>
        </w:rPr>
        <w:t>Klausimo esmė.</w:t>
      </w:r>
      <w:r w:rsidRPr="00C81C48">
        <w:t xml:space="preserve"> </w:t>
      </w:r>
      <w:r>
        <w:rPr>
          <w:rFonts w:eastAsia="Times New Roman" w:cs="Times New Roman"/>
          <w:szCs w:val="24"/>
          <w:lang w:eastAsia="pl-PL"/>
        </w:rPr>
        <w:t>Komisijos pasiūlymas dėl Reformų rėmimo programos pateiktas 2018 m. gegužės mėn. Komisijos pasiūlymų dėl kitos ES daugiametės finansinės programos kontekste. Pažymėtina, kad Tarybos darbo grupės lygmeniu klausimas dar nėra pradėtas svartyti, nes Euro grupė, vykdydama euro zonos šalių vadovų (</w:t>
      </w:r>
      <w:r w:rsidRPr="0068109C">
        <w:rPr>
          <w:rFonts w:eastAsia="Times New Roman" w:cs="Times New Roman"/>
          <w:i/>
          <w:szCs w:val="24"/>
          <w:lang w:eastAsia="pl-PL"/>
        </w:rPr>
        <w:t xml:space="preserve">Euro </w:t>
      </w:r>
      <w:proofErr w:type="spellStart"/>
      <w:r w:rsidRPr="0068109C">
        <w:rPr>
          <w:rFonts w:eastAsia="Times New Roman" w:cs="Times New Roman"/>
          <w:i/>
          <w:szCs w:val="24"/>
          <w:lang w:eastAsia="pl-PL"/>
        </w:rPr>
        <w:t>summit</w:t>
      </w:r>
      <w:proofErr w:type="spellEnd"/>
      <w:r>
        <w:rPr>
          <w:rFonts w:eastAsia="Times New Roman" w:cs="Times New Roman"/>
          <w:szCs w:val="24"/>
          <w:lang w:eastAsia="pl-PL"/>
        </w:rPr>
        <w:t xml:space="preserve">) 2018 m. gruodžio 14 d. susitikimo sprendimus, 2019 m. birželio mėn. turi pateikti pasiūlymus dėl ES biudžetinio instrumento konvergencijai ir konkurencingumui euro zonoje didinti. Nuo šių pasiūlymų priklausys ar naujas instrumentas pilnai, ar iš dalies pakeis Europos Komisijos siūlomą programą. </w:t>
      </w:r>
    </w:p>
    <w:p w:rsidR="005D6A77" w:rsidRPr="00A81298" w:rsidRDefault="005D6A77" w:rsidP="005D6A77">
      <w:pPr>
        <w:spacing w:after="0" w:line="240" w:lineRule="auto"/>
        <w:contextualSpacing/>
        <w:jc w:val="both"/>
        <w:rPr>
          <w:rFonts w:eastAsia="Times New Roman" w:cs="Times New Roman"/>
          <w:szCs w:val="24"/>
          <w:lang w:eastAsia="pl-PL"/>
        </w:rPr>
      </w:pPr>
      <w:r>
        <w:rPr>
          <w:rFonts w:eastAsia="Times New Roman" w:cs="Times New Roman"/>
          <w:szCs w:val="24"/>
          <w:lang w:eastAsia="pl-PL"/>
        </w:rPr>
        <w:t>Pagal Europos Komisijos pasiūlymą, p</w:t>
      </w:r>
      <w:r w:rsidRPr="00A81298">
        <w:rPr>
          <w:rFonts w:eastAsia="Times New Roman" w:cs="Times New Roman"/>
          <w:szCs w:val="24"/>
          <w:lang w:eastAsia="pl-PL"/>
        </w:rPr>
        <w:t>rogramą sudaro šios priemonės:</w:t>
      </w:r>
    </w:p>
    <w:p w:rsidR="005D6A77" w:rsidRPr="00A81298" w:rsidRDefault="005D6A77" w:rsidP="005D6A77">
      <w:pPr>
        <w:spacing w:after="0" w:line="240" w:lineRule="auto"/>
        <w:contextualSpacing/>
        <w:jc w:val="both"/>
        <w:rPr>
          <w:rFonts w:eastAsia="Times New Roman" w:cs="Times New Roman"/>
          <w:b/>
          <w:szCs w:val="24"/>
          <w:lang w:eastAsia="pl-PL"/>
        </w:rPr>
      </w:pPr>
      <w:r w:rsidRPr="00A81298">
        <w:rPr>
          <w:rFonts w:eastAsia="Times New Roman" w:cs="Times New Roman"/>
          <w:b/>
          <w:szCs w:val="24"/>
          <w:lang w:eastAsia="pl-PL"/>
        </w:rPr>
        <w:t>1) Reformų įgyvendinimo priemonė</w:t>
      </w:r>
    </w:p>
    <w:p w:rsidR="005D6A77" w:rsidRPr="00A81298" w:rsidRDefault="005D6A77" w:rsidP="005D6A77">
      <w:pPr>
        <w:spacing w:after="0" w:line="240" w:lineRule="auto"/>
        <w:contextualSpacing/>
        <w:jc w:val="both"/>
        <w:rPr>
          <w:rFonts w:eastAsia="Times New Roman" w:cs="Times New Roman"/>
          <w:szCs w:val="24"/>
          <w:lang w:eastAsia="pl-PL"/>
        </w:rPr>
      </w:pPr>
      <w:r w:rsidRPr="00A81298">
        <w:rPr>
          <w:rFonts w:eastAsia="Times New Roman" w:cs="Times New Roman"/>
          <w:szCs w:val="24"/>
          <w:u w:val="single"/>
          <w:lang w:eastAsia="pl-PL"/>
        </w:rPr>
        <w:t>Tikslas</w:t>
      </w:r>
      <w:r w:rsidRPr="00A81298">
        <w:rPr>
          <w:rFonts w:eastAsia="Times New Roman" w:cs="Times New Roman"/>
          <w:szCs w:val="24"/>
          <w:lang w:eastAsia="pl-PL"/>
        </w:rPr>
        <w:t xml:space="preserve"> – teikti finansinę paramą pagrindinėms reformoms, nustatytoms Europos semestro kontekste.</w:t>
      </w:r>
    </w:p>
    <w:p w:rsidR="005D6A77" w:rsidRPr="00A81298" w:rsidRDefault="005D6A77" w:rsidP="005D6A77">
      <w:pPr>
        <w:spacing w:after="0" w:line="240" w:lineRule="auto"/>
        <w:contextualSpacing/>
        <w:jc w:val="both"/>
        <w:rPr>
          <w:rFonts w:eastAsia="Times New Roman" w:cs="Times New Roman"/>
          <w:szCs w:val="24"/>
          <w:lang w:eastAsia="pl-PL"/>
        </w:rPr>
      </w:pPr>
      <w:r w:rsidRPr="00A81298">
        <w:rPr>
          <w:rFonts w:eastAsia="Times New Roman" w:cs="Times New Roman"/>
          <w:szCs w:val="24"/>
          <w:u w:val="single"/>
          <w:lang w:eastAsia="pl-PL"/>
        </w:rPr>
        <w:t>Apimtis</w:t>
      </w:r>
      <w:r w:rsidRPr="00A81298">
        <w:rPr>
          <w:rFonts w:eastAsia="Times New Roman" w:cs="Times New Roman"/>
          <w:szCs w:val="24"/>
          <w:lang w:eastAsia="pl-PL"/>
        </w:rPr>
        <w:t xml:space="preserve"> – taikoma visoms valstybėms narėms (VN). Biudžetas naujame MFF – 22 mlrd. EUR. </w:t>
      </w:r>
    </w:p>
    <w:p w:rsidR="005D6A77" w:rsidRPr="00A81298" w:rsidRDefault="005D6A77" w:rsidP="005D6A77">
      <w:pPr>
        <w:spacing w:after="0" w:line="240" w:lineRule="auto"/>
        <w:contextualSpacing/>
        <w:jc w:val="both"/>
        <w:rPr>
          <w:rFonts w:eastAsia="Times New Roman" w:cs="Times New Roman"/>
          <w:b/>
          <w:szCs w:val="24"/>
          <w:lang w:eastAsia="pl-PL"/>
        </w:rPr>
      </w:pPr>
      <w:r w:rsidRPr="00A81298">
        <w:rPr>
          <w:rFonts w:eastAsia="Times New Roman" w:cs="Times New Roman"/>
          <w:b/>
          <w:szCs w:val="24"/>
          <w:lang w:eastAsia="pl-PL"/>
        </w:rPr>
        <w:t>Tarybos teisininkų</w:t>
      </w:r>
      <w:r w:rsidRPr="00A81298">
        <w:rPr>
          <w:rFonts w:eastAsia="Times New Roman" w:cs="Times New Roman"/>
          <w:szCs w:val="24"/>
          <w:lang w:eastAsia="pl-PL"/>
        </w:rPr>
        <w:t xml:space="preserve"> </w:t>
      </w:r>
      <w:r w:rsidRPr="00A81298">
        <w:rPr>
          <w:rFonts w:eastAsia="Times New Roman" w:cs="Times New Roman"/>
          <w:b/>
          <w:szCs w:val="24"/>
          <w:lang w:eastAsia="pl-PL"/>
        </w:rPr>
        <w:t xml:space="preserve">nuomone siūlomas teisinis pagrindas Reformų įgyvendinimo priemonei nėra visai tinkamas, nes yra susijęs tik su sanglauda, </w:t>
      </w:r>
      <w:r w:rsidRPr="00A81298">
        <w:rPr>
          <w:rFonts w:eastAsia="Times New Roman" w:cs="Times New Roman"/>
          <w:szCs w:val="24"/>
          <w:lang w:eastAsia="pl-PL"/>
        </w:rPr>
        <w:t>o</w:t>
      </w:r>
      <w:r w:rsidRPr="00A81298">
        <w:rPr>
          <w:rFonts w:eastAsia="Times New Roman" w:cs="Times New Roman"/>
          <w:b/>
          <w:szCs w:val="24"/>
          <w:lang w:eastAsia="pl-PL"/>
        </w:rPr>
        <w:t xml:space="preserve"> </w:t>
      </w:r>
      <w:r w:rsidRPr="00A81298">
        <w:rPr>
          <w:rFonts w:eastAsia="Times New Roman" w:cs="Times New Roman"/>
          <w:szCs w:val="24"/>
          <w:lang w:eastAsia="pl-PL" w:bidi="lt-LT"/>
        </w:rPr>
        <w:t xml:space="preserve">pats pasiūlymas susijęs su Europos semestru, t. y, daug platesnės apimties. Kita problema - finansavimo voko paskirstymas tarp VN neturi ryšio su sanglaudos tikslais bei valdymo dalimi (sukuriamas </w:t>
      </w:r>
      <w:proofErr w:type="spellStart"/>
      <w:r w:rsidRPr="00A81298">
        <w:rPr>
          <w:rFonts w:eastAsia="Times New Roman" w:cs="Times New Roman"/>
          <w:szCs w:val="24"/>
          <w:lang w:eastAsia="pl-PL" w:bidi="lt-LT"/>
        </w:rPr>
        <w:t>tarpinstitucinis</w:t>
      </w:r>
      <w:proofErr w:type="spellEnd"/>
      <w:r w:rsidRPr="00A81298">
        <w:rPr>
          <w:rFonts w:eastAsia="Times New Roman" w:cs="Times New Roman"/>
          <w:szCs w:val="24"/>
          <w:lang w:eastAsia="pl-PL" w:bidi="lt-LT"/>
        </w:rPr>
        <w:t xml:space="preserve"> disbalansas tarp EK ir Tarybos). </w:t>
      </w:r>
    </w:p>
    <w:p w:rsidR="005D6A77" w:rsidRPr="00A81298" w:rsidRDefault="005D6A77" w:rsidP="005D6A77">
      <w:pPr>
        <w:spacing w:after="0" w:line="240" w:lineRule="auto"/>
        <w:contextualSpacing/>
        <w:jc w:val="both"/>
        <w:rPr>
          <w:rFonts w:eastAsia="Times New Roman" w:cs="Times New Roman"/>
          <w:b/>
          <w:szCs w:val="24"/>
          <w:lang w:eastAsia="pl-PL"/>
        </w:rPr>
      </w:pPr>
      <w:r w:rsidRPr="00A81298">
        <w:rPr>
          <w:rFonts w:eastAsia="Times New Roman" w:cs="Times New Roman"/>
          <w:b/>
          <w:szCs w:val="24"/>
          <w:lang w:eastAsia="pl-PL"/>
        </w:rPr>
        <w:t>2) Techninės paramos instrumentas</w:t>
      </w:r>
    </w:p>
    <w:p w:rsidR="005D6A77" w:rsidRPr="00A81298" w:rsidRDefault="005D6A77" w:rsidP="005D6A77">
      <w:pPr>
        <w:spacing w:after="0" w:line="240" w:lineRule="auto"/>
        <w:contextualSpacing/>
        <w:jc w:val="both"/>
        <w:rPr>
          <w:rFonts w:eastAsia="Times New Roman" w:cs="Times New Roman"/>
          <w:szCs w:val="24"/>
          <w:lang w:eastAsia="pl-PL"/>
        </w:rPr>
      </w:pPr>
      <w:r w:rsidRPr="00A81298">
        <w:rPr>
          <w:rFonts w:eastAsia="Times New Roman" w:cs="Times New Roman"/>
          <w:szCs w:val="24"/>
          <w:u w:val="single"/>
          <w:lang w:eastAsia="pl-PL"/>
        </w:rPr>
        <w:t>Tikslas</w:t>
      </w:r>
      <w:r w:rsidRPr="00A81298">
        <w:rPr>
          <w:rFonts w:eastAsia="Times New Roman" w:cs="Times New Roman"/>
          <w:szCs w:val="24"/>
          <w:lang w:eastAsia="pl-PL"/>
        </w:rPr>
        <w:t xml:space="preserve"> – padėti VN įgyvendinti reformas ir stiprinti jų administracinius gebėjimus teikiant techninę paramą. </w:t>
      </w:r>
      <w:r w:rsidRPr="00A81298">
        <w:rPr>
          <w:rFonts w:eastAsia="Times New Roman" w:cs="Times New Roman"/>
          <w:szCs w:val="24"/>
          <w:u w:val="single"/>
          <w:lang w:eastAsia="pl-PL"/>
        </w:rPr>
        <w:t>Apimtis</w:t>
      </w:r>
      <w:r w:rsidRPr="00A81298">
        <w:rPr>
          <w:rFonts w:eastAsia="Times New Roman" w:cs="Times New Roman"/>
          <w:szCs w:val="24"/>
          <w:lang w:eastAsia="pl-PL"/>
        </w:rPr>
        <w:t xml:space="preserve"> – taikomas visoms VN. Biudžetas naujame MFF – 840 mln. </w:t>
      </w:r>
      <w:proofErr w:type="spellStart"/>
      <w:r w:rsidRPr="00A81298">
        <w:rPr>
          <w:rFonts w:eastAsia="Times New Roman" w:cs="Times New Roman"/>
          <w:szCs w:val="24"/>
          <w:lang w:eastAsia="pl-PL"/>
        </w:rPr>
        <w:t>eur</w:t>
      </w:r>
      <w:proofErr w:type="spellEnd"/>
      <w:r w:rsidRPr="00A81298">
        <w:rPr>
          <w:rFonts w:eastAsia="Times New Roman" w:cs="Times New Roman"/>
          <w:szCs w:val="24"/>
          <w:lang w:eastAsia="pl-PL"/>
        </w:rPr>
        <w:t xml:space="preserve">. </w:t>
      </w:r>
    </w:p>
    <w:p w:rsidR="005D6A77" w:rsidRPr="00A81298" w:rsidRDefault="005D6A77" w:rsidP="005D6A77">
      <w:pPr>
        <w:spacing w:after="0" w:line="240" w:lineRule="auto"/>
        <w:contextualSpacing/>
        <w:jc w:val="both"/>
        <w:rPr>
          <w:rFonts w:eastAsia="Times New Roman" w:cs="Times New Roman"/>
          <w:szCs w:val="24"/>
          <w:lang w:eastAsia="pl-PL"/>
        </w:rPr>
      </w:pPr>
      <w:r w:rsidRPr="00A81298">
        <w:rPr>
          <w:rFonts w:eastAsia="Times New Roman" w:cs="Times New Roman"/>
          <w:szCs w:val="24"/>
          <w:lang w:eastAsia="pl-PL"/>
        </w:rPr>
        <w:t xml:space="preserve">Yra galimybė VN savanoriškai prisidėti prie šio instrumento finansavimo. </w:t>
      </w:r>
    </w:p>
    <w:p w:rsidR="005D6A77" w:rsidRPr="00A81298" w:rsidRDefault="005D6A77" w:rsidP="005D6A77">
      <w:pPr>
        <w:spacing w:after="0" w:line="240" w:lineRule="auto"/>
        <w:contextualSpacing/>
        <w:jc w:val="both"/>
        <w:rPr>
          <w:rFonts w:eastAsia="Times New Roman" w:cs="Times New Roman"/>
          <w:b/>
          <w:szCs w:val="24"/>
          <w:lang w:eastAsia="pl-PL"/>
        </w:rPr>
      </w:pPr>
      <w:r w:rsidRPr="00A81298">
        <w:rPr>
          <w:rFonts w:eastAsia="Times New Roman" w:cs="Times New Roman"/>
          <w:b/>
          <w:szCs w:val="24"/>
          <w:lang w:eastAsia="pl-PL"/>
        </w:rPr>
        <w:t>3) Konvergencijos priemonė</w:t>
      </w:r>
    </w:p>
    <w:p w:rsidR="005D6A77" w:rsidRPr="00A81298" w:rsidRDefault="005D6A77" w:rsidP="005D6A77">
      <w:pPr>
        <w:spacing w:after="0" w:line="240" w:lineRule="auto"/>
        <w:contextualSpacing/>
        <w:jc w:val="both"/>
        <w:rPr>
          <w:rFonts w:eastAsia="Times New Roman" w:cs="Times New Roman"/>
          <w:szCs w:val="24"/>
          <w:lang w:eastAsia="pl-PL"/>
        </w:rPr>
      </w:pPr>
      <w:r w:rsidRPr="00A81298">
        <w:rPr>
          <w:rFonts w:eastAsia="Times New Roman" w:cs="Times New Roman"/>
          <w:szCs w:val="24"/>
          <w:u w:val="single"/>
          <w:lang w:eastAsia="pl-PL"/>
        </w:rPr>
        <w:t>Tikslas</w:t>
      </w:r>
      <w:r w:rsidRPr="00A81298">
        <w:rPr>
          <w:rFonts w:eastAsia="Times New Roman" w:cs="Times New Roman"/>
          <w:szCs w:val="24"/>
          <w:lang w:eastAsia="pl-PL"/>
        </w:rPr>
        <w:t xml:space="preserve"> – teikti finansinę ir techninę paramą struktūrinių reformų įgyvendinimui VN norinčioms tapti euro zonos (toliau – EZ) narėmis. Ši priemonė nekeičia euro įsivedimo kriterijų.  </w:t>
      </w:r>
    </w:p>
    <w:p w:rsidR="005D6A77" w:rsidRPr="00A81298" w:rsidRDefault="005D6A77" w:rsidP="005D6A77">
      <w:pPr>
        <w:spacing w:after="0" w:line="240" w:lineRule="auto"/>
        <w:contextualSpacing/>
        <w:jc w:val="both"/>
        <w:rPr>
          <w:rFonts w:eastAsia="Times New Roman" w:cs="Times New Roman"/>
          <w:szCs w:val="24"/>
          <w:lang w:eastAsia="pl-PL"/>
        </w:rPr>
      </w:pPr>
      <w:r w:rsidRPr="00A81298">
        <w:rPr>
          <w:rFonts w:eastAsia="Times New Roman" w:cs="Times New Roman"/>
          <w:szCs w:val="24"/>
          <w:u w:val="single"/>
          <w:lang w:eastAsia="pl-PL"/>
        </w:rPr>
        <w:t>Apimtis</w:t>
      </w:r>
      <w:r w:rsidRPr="00A81298">
        <w:rPr>
          <w:rFonts w:eastAsia="Times New Roman" w:cs="Times New Roman"/>
          <w:szCs w:val="24"/>
          <w:lang w:eastAsia="pl-PL"/>
        </w:rPr>
        <w:t xml:space="preserve"> – 2,16 mlrd. </w:t>
      </w:r>
      <w:proofErr w:type="spellStart"/>
      <w:r w:rsidRPr="00A81298">
        <w:rPr>
          <w:rFonts w:eastAsia="Times New Roman" w:cs="Times New Roman"/>
          <w:szCs w:val="24"/>
          <w:lang w:eastAsia="pl-PL"/>
        </w:rPr>
        <w:t>eur</w:t>
      </w:r>
      <w:proofErr w:type="spellEnd"/>
      <w:r w:rsidRPr="00A81298">
        <w:rPr>
          <w:rFonts w:eastAsia="Times New Roman" w:cs="Times New Roman"/>
          <w:szCs w:val="24"/>
          <w:lang w:eastAsia="pl-PL"/>
        </w:rPr>
        <w:t xml:space="preserve">. Parama gali būti teikiama keliomis formomis: a) finansinė parama (2 mlrd. </w:t>
      </w:r>
      <w:proofErr w:type="spellStart"/>
      <w:r w:rsidRPr="00A81298">
        <w:rPr>
          <w:rFonts w:eastAsia="Times New Roman" w:cs="Times New Roman"/>
          <w:szCs w:val="24"/>
          <w:lang w:eastAsia="pl-PL"/>
        </w:rPr>
        <w:t>eur</w:t>
      </w:r>
      <w:proofErr w:type="spellEnd"/>
      <w:r w:rsidRPr="00A81298">
        <w:rPr>
          <w:rFonts w:eastAsia="Times New Roman" w:cs="Times New Roman"/>
          <w:szCs w:val="24"/>
          <w:lang w:eastAsia="pl-PL"/>
        </w:rPr>
        <w:t xml:space="preserve">.); b) techninė parama (160 mln. </w:t>
      </w:r>
      <w:proofErr w:type="spellStart"/>
      <w:r w:rsidRPr="00A81298">
        <w:rPr>
          <w:rFonts w:eastAsia="Times New Roman" w:cs="Times New Roman"/>
          <w:szCs w:val="24"/>
          <w:lang w:eastAsia="pl-PL"/>
        </w:rPr>
        <w:t>eur</w:t>
      </w:r>
      <w:proofErr w:type="spellEnd"/>
      <w:r w:rsidRPr="00A81298">
        <w:rPr>
          <w:rFonts w:eastAsia="Times New Roman" w:cs="Times New Roman"/>
          <w:szCs w:val="24"/>
          <w:lang w:eastAsia="pl-PL"/>
        </w:rPr>
        <w:t xml:space="preserve">). </w:t>
      </w:r>
    </w:p>
    <w:p w:rsidR="005D6A77" w:rsidRPr="00A81298" w:rsidRDefault="005D6A77" w:rsidP="005D6A77">
      <w:pPr>
        <w:spacing w:after="0" w:line="240" w:lineRule="auto"/>
        <w:contextualSpacing/>
        <w:jc w:val="both"/>
        <w:rPr>
          <w:rFonts w:cs="Times New Roman"/>
          <w:szCs w:val="24"/>
        </w:rPr>
      </w:pPr>
      <w:r w:rsidRPr="00C81C48">
        <w:rPr>
          <w:b/>
          <w:bCs/>
          <w:u w:val="single"/>
        </w:rPr>
        <w:t>Lietuvos pozicija.</w:t>
      </w:r>
      <w:r w:rsidRPr="00C81C48">
        <w:t xml:space="preserve"> </w:t>
      </w:r>
      <w:r w:rsidRPr="00A81298">
        <w:rPr>
          <w:rFonts w:cs="Times New Roman"/>
          <w:szCs w:val="24"/>
        </w:rPr>
        <w:t xml:space="preserve">Palaikome Techninės paramos instrumento tęstinumą, tačiau </w:t>
      </w:r>
      <w:r>
        <w:rPr>
          <w:rFonts w:cs="Times New Roman"/>
          <w:szCs w:val="24"/>
        </w:rPr>
        <w:t>dėl kitų siūlomų</w:t>
      </w:r>
      <w:r w:rsidRPr="00A81298">
        <w:rPr>
          <w:rFonts w:cs="Times New Roman"/>
          <w:szCs w:val="24"/>
        </w:rPr>
        <w:t xml:space="preserve"> Ref</w:t>
      </w:r>
      <w:r>
        <w:rPr>
          <w:rFonts w:cs="Times New Roman"/>
          <w:szCs w:val="24"/>
        </w:rPr>
        <w:t>ormų rėmimo programos priemonių (reformų įgyvendinimo priemonės ir konvergencijos instrumento) turime rimtų abejonių</w:t>
      </w:r>
      <w:r w:rsidRPr="00A81298">
        <w:rPr>
          <w:rFonts w:cs="Times New Roman"/>
          <w:szCs w:val="24"/>
        </w:rPr>
        <w:t>.</w:t>
      </w:r>
    </w:p>
    <w:p w:rsidR="005D6A77" w:rsidRPr="00A81298" w:rsidRDefault="005D6A77" w:rsidP="005D6A77">
      <w:pPr>
        <w:spacing w:after="0" w:line="240" w:lineRule="auto"/>
        <w:contextualSpacing/>
        <w:jc w:val="both"/>
        <w:rPr>
          <w:rFonts w:cs="Times New Roman"/>
          <w:szCs w:val="24"/>
        </w:rPr>
      </w:pPr>
      <w:r w:rsidRPr="00A81298">
        <w:rPr>
          <w:rFonts w:cs="Times New Roman"/>
          <w:szCs w:val="24"/>
        </w:rPr>
        <w:t>Nematome ryšio tarp siūlomo paskirstymo mechanizmo, pagrįsto gyventojų skaičiumi, ir struktūrinių reformų poreikio. Taip pat nėra aiški logika, kodėl šalys turi būti apdovanojamos už reformų įgyvendinimą, kurias ir taip turi įgyvendinti.</w:t>
      </w:r>
    </w:p>
    <w:p w:rsidR="005D6A77" w:rsidRPr="00A81298" w:rsidRDefault="005D6A77" w:rsidP="005D6A77">
      <w:pPr>
        <w:spacing w:after="0" w:line="240" w:lineRule="auto"/>
        <w:contextualSpacing/>
        <w:jc w:val="both"/>
        <w:rPr>
          <w:rFonts w:cs="Times New Roman"/>
          <w:szCs w:val="24"/>
        </w:rPr>
      </w:pPr>
      <w:r>
        <w:rPr>
          <w:rFonts w:cs="Times New Roman"/>
          <w:szCs w:val="24"/>
        </w:rPr>
        <w:t>Siūlomos priemonės</w:t>
      </w:r>
      <w:r w:rsidRPr="00A81298">
        <w:rPr>
          <w:rFonts w:cs="Times New Roman"/>
          <w:szCs w:val="24"/>
        </w:rPr>
        <w:t xml:space="preserve"> </w:t>
      </w:r>
      <w:r>
        <w:rPr>
          <w:rFonts w:cs="Times New Roman"/>
          <w:szCs w:val="24"/>
        </w:rPr>
        <w:t>persidengia su Sanglaudos politikos</w:t>
      </w:r>
      <w:r w:rsidRPr="00A81298">
        <w:rPr>
          <w:rFonts w:cs="Times New Roman"/>
          <w:szCs w:val="24"/>
        </w:rPr>
        <w:t xml:space="preserve"> investicijomis. Šiuo metu struktūrines reformas galima vykdyti panaudojant Sanglaudos politikos lėšas, kurių pridėtinė vertė mažinant skirtumus ir didinant sanglaudą tarp VN yra akivaizdi. Tokia praktika turėtų būti tęsiama ir ateityje.</w:t>
      </w:r>
    </w:p>
    <w:p w:rsidR="005D6A77" w:rsidRPr="00A81298" w:rsidRDefault="005D6A77" w:rsidP="005D6A77">
      <w:pPr>
        <w:spacing w:after="0" w:line="240" w:lineRule="auto"/>
        <w:contextualSpacing/>
        <w:jc w:val="both"/>
        <w:rPr>
          <w:rFonts w:cs="Times New Roman"/>
          <w:szCs w:val="24"/>
        </w:rPr>
      </w:pPr>
      <w:r w:rsidRPr="00A81298">
        <w:rPr>
          <w:rFonts w:cs="Times New Roman"/>
          <w:szCs w:val="24"/>
        </w:rPr>
        <w:t>Dėl konvergencijos priemonės, manome, kad ji dubliuoja turimus instrumentus, tą pačią techninę pagalbą ir struktūrinius fondus.</w:t>
      </w:r>
    </w:p>
    <w:p w:rsidR="00C81C48" w:rsidRDefault="00C81C48" w:rsidP="00114A4B">
      <w:pPr>
        <w:autoSpaceDE w:val="0"/>
        <w:autoSpaceDN w:val="0"/>
        <w:adjustRightInd w:val="0"/>
        <w:spacing w:after="0" w:line="240" w:lineRule="auto"/>
        <w:jc w:val="both"/>
        <w:rPr>
          <w:rFonts w:cs="Times New Roman"/>
          <w:b/>
          <w:szCs w:val="24"/>
          <w:u w:val="single"/>
        </w:rPr>
      </w:pPr>
    </w:p>
    <w:p w:rsidR="005D6A77" w:rsidRPr="002F602E" w:rsidRDefault="005D6A77" w:rsidP="00114A4B">
      <w:pPr>
        <w:autoSpaceDE w:val="0"/>
        <w:autoSpaceDN w:val="0"/>
        <w:adjustRightInd w:val="0"/>
        <w:spacing w:after="0" w:line="240" w:lineRule="auto"/>
        <w:jc w:val="both"/>
        <w:rPr>
          <w:rFonts w:cs="Times New Roman"/>
          <w:b/>
          <w:szCs w:val="24"/>
          <w:u w:val="single"/>
        </w:rPr>
      </w:pPr>
    </w:p>
    <w:p w:rsidR="000E0FF2" w:rsidRPr="002F602E" w:rsidRDefault="00C57A83" w:rsidP="000E0FF2">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
          <w:szCs w:val="24"/>
        </w:rPr>
      </w:pPr>
      <w:r w:rsidRPr="002F602E">
        <w:rPr>
          <w:rFonts w:cs="Times New Roman"/>
          <w:b/>
          <w:szCs w:val="24"/>
        </w:rPr>
        <w:t>Tarptautiniai susitikimai</w:t>
      </w:r>
    </w:p>
    <w:p w:rsidR="00827E85" w:rsidRPr="002F602E" w:rsidRDefault="00827E85" w:rsidP="00827E85">
      <w:pPr>
        <w:pStyle w:val="Text1"/>
        <w:tabs>
          <w:tab w:val="left" w:pos="5295"/>
        </w:tabs>
        <w:ind w:left="0" w:right="31"/>
        <w:jc w:val="both"/>
        <w:rPr>
          <w:rFonts w:eastAsiaTheme="minorHAnsi"/>
          <w:szCs w:val="24"/>
          <w:lang w:val="lt-LT"/>
        </w:rPr>
      </w:pPr>
    </w:p>
    <w:p w:rsidR="00C57A83" w:rsidRPr="002F602E" w:rsidRDefault="00C57A83" w:rsidP="00C57A83">
      <w:pPr>
        <w:pStyle w:val="Text1"/>
        <w:tabs>
          <w:tab w:val="left" w:pos="5295"/>
        </w:tabs>
        <w:ind w:left="0" w:right="31"/>
        <w:contextualSpacing/>
        <w:jc w:val="both"/>
        <w:rPr>
          <w:rFonts w:eastAsiaTheme="minorHAnsi"/>
          <w:i/>
          <w:szCs w:val="24"/>
          <w:lang w:val="lt-LT"/>
        </w:rPr>
      </w:pPr>
      <w:r w:rsidRPr="002F602E">
        <w:rPr>
          <w:rFonts w:eastAsiaTheme="minorHAnsi"/>
          <w:b/>
          <w:szCs w:val="24"/>
          <w:lang w:val="lt-LT"/>
        </w:rPr>
        <w:t>a) Tolesnė veikla, susijusi su G20 finansų ministrų ir centrinių bankų valdytojų bei TVF ir Pasaulio banko pavasarinių susitikimų, vykusių š.m. balandžio mėn. Vašingtone</w:t>
      </w:r>
      <w:r w:rsidRPr="002F602E">
        <w:rPr>
          <w:rFonts w:eastAsiaTheme="minorHAnsi"/>
          <w:szCs w:val="24"/>
          <w:lang w:val="lt-LT"/>
        </w:rPr>
        <w:t xml:space="preserve"> </w:t>
      </w:r>
      <w:r w:rsidR="00F80FD8" w:rsidRPr="002F602E">
        <w:rPr>
          <w:rFonts w:eastAsiaTheme="minorHAnsi"/>
          <w:i/>
          <w:szCs w:val="24"/>
          <w:lang w:val="lt-LT"/>
        </w:rPr>
        <w:t>(Pirmininkaujančios šalies ir Europos Komisijos informacija)</w:t>
      </w:r>
    </w:p>
    <w:p w:rsidR="00C57A83" w:rsidRPr="002F602E" w:rsidRDefault="00F80FD8" w:rsidP="00F80FD8">
      <w:pPr>
        <w:autoSpaceDE w:val="0"/>
        <w:autoSpaceDN w:val="0"/>
        <w:adjustRightInd w:val="0"/>
        <w:spacing w:after="0" w:line="240" w:lineRule="auto"/>
        <w:contextualSpacing/>
        <w:jc w:val="both"/>
        <w:rPr>
          <w:rFonts w:eastAsia="Calibri" w:cs="Times New Roman"/>
          <w:iCs/>
          <w:szCs w:val="24"/>
        </w:rPr>
      </w:pPr>
      <w:r w:rsidRPr="002F602E">
        <w:rPr>
          <w:rFonts w:cs="Times New Roman"/>
          <w:b/>
          <w:szCs w:val="24"/>
          <w:u w:val="single"/>
        </w:rPr>
        <w:t>Klausimo esmė.</w:t>
      </w:r>
      <w:r w:rsidRPr="002F602E">
        <w:rPr>
          <w:rFonts w:cs="Times New Roman"/>
          <w:szCs w:val="24"/>
        </w:rPr>
        <w:t xml:space="preserve"> </w:t>
      </w:r>
      <w:r w:rsidR="00C57A83" w:rsidRPr="002F602E">
        <w:rPr>
          <w:rFonts w:eastAsia="Calibri" w:cs="Times New Roman"/>
          <w:iCs/>
          <w:szCs w:val="24"/>
        </w:rPr>
        <w:t>Pirmininkaujanti šalis ir Komisija pristatys informaciją apie G20 finansų ministrų ir centrinių bankų valdytojų susitikimą ir TVF bei Pasaulio Banko pavasarinius susitikimus, vykusius š. m. balandžio mėnesį Vašingtone.</w:t>
      </w:r>
    </w:p>
    <w:p w:rsidR="00C57A83" w:rsidRPr="002F602E" w:rsidRDefault="00C57A83" w:rsidP="00F80FD8">
      <w:pPr>
        <w:pStyle w:val="Text1"/>
        <w:tabs>
          <w:tab w:val="left" w:pos="5295"/>
        </w:tabs>
        <w:ind w:left="0" w:right="31"/>
        <w:contextualSpacing/>
        <w:jc w:val="both"/>
        <w:rPr>
          <w:rFonts w:eastAsiaTheme="minorHAnsi"/>
          <w:szCs w:val="24"/>
          <w:lang w:val="lt-LT"/>
        </w:rPr>
      </w:pPr>
      <w:r w:rsidRPr="002F602E">
        <w:rPr>
          <w:rFonts w:eastAsiaTheme="minorHAnsi"/>
          <w:szCs w:val="24"/>
          <w:lang w:val="lt-LT"/>
        </w:rPr>
        <w:t xml:space="preserve">G20 finansų ministrų ir centrinių bankų valdytojų susitikimo metu buvo aptarta pasaulio ekonomikos situacija ir sulėtėjęs pasaulio ekonomikos augimas. TVF prognozuoja, kad antroje metų pusėje ir 2020 m. augimas bus stipresnis. Siekiant išvengti didesnio sulėtėjimo svarbu užtikrinti tarptautinį bendradarbiavimą ir atvirą stabilią prekybos politiką. Susitikimo metu taip pat aptarti pasaulinių </w:t>
      </w:r>
      <w:proofErr w:type="spellStart"/>
      <w:r w:rsidRPr="002F602E">
        <w:rPr>
          <w:rFonts w:eastAsiaTheme="minorHAnsi"/>
          <w:szCs w:val="24"/>
          <w:lang w:val="lt-LT"/>
        </w:rPr>
        <w:t>disbalansų</w:t>
      </w:r>
      <w:proofErr w:type="spellEnd"/>
      <w:r w:rsidRPr="002F602E">
        <w:rPr>
          <w:rFonts w:eastAsiaTheme="minorHAnsi"/>
          <w:szCs w:val="24"/>
          <w:lang w:val="lt-LT"/>
        </w:rPr>
        <w:t xml:space="preserve">, </w:t>
      </w:r>
      <w:r w:rsidR="005D6A77">
        <w:rPr>
          <w:rFonts w:eastAsiaTheme="minorHAnsi"/>
          <w:szCs w:val="24"/>
          <w:lang w:val="lt-LT"/>
        </w:rPr>
        <w:t>visuomenės</w:t>
      </w:r>
      <w:r w:rsidRPr="002F602E">
        <w:rPr>
          <w:rFonts w:eastAsiaTheme="minorHAnsi"/>
          <w:szCs w:val="24"/>
          <w:lang w:val="lt-LT"/>
        </w:rPr>
        <w:t xml:space="preserve"> senėjimo, investicijų į infrastruktūrą kokybės, tarptautinio apmokestinimo klausimai. Tarptautinės finansų architektūros klausimu šalys aptarė G20 Pripažintų ekspertų grupės rekomendacijų įgyvendinimą ir susitarė, kad pažangos dėl šalių lygmens platformų ir naujų standartizuotų MIGA (Pasaulio Banko grupės Daugiašalė investicijų draudimo agentūra) kontraktų sukūrimo būtų siekiama trumpuoju laikotarpiu.</w:t>
      </w:r>
    </w:p>
    <w:p w:rsidR="00F80FD8" w:rsidRPr="002F602E" w:rsidRDefault="00F80FD8" w:rsidP="00F80FD8">
      <w:pPr>
        <w:pStyle w:val="Text1"/>
        <w:tabs>
          <w:tab w:val="left" w:pos="5295"/>
        </w:tabs>
        <w:ind w:left="0" w:right="31"/>
        <w:contextualSpacing/>
        <w:jc w:val="both"/>
        <w:rPr>
          <w:rFonts w:eastAsiaTheme="minorHAnsi"/>
          <w:szCs w:val="24"/>
          <w:lang w:val="lt-LT"/>
        </w:rPr>
      </w:pPr>
      <w:r w:rsidRPr="002F602E">
        <w:rPr>
          <w:rFonts w:eastAsiaTheme="minorHAnsi"/>
          <w:b/>
          <w:szCs w:val="24"/>
          <w:u w:val="single"/>
          <w:lang w:val="lt-LT"/>
        </w:rPr>
        <w:t>Lietuvos pozicija.</w:t>
      </w:r>
      <w:r w:rsidRPr="002F602E">
        <w:rPr>
          <w:rFonts w:eastAsiaTheme="minorHAnsi"/>
          <w:szCs w:val="24"/>
          <w:lang w:val="lt-LT"/>
        </w:rPr>
        <w:t xml:space="preserve"> Išklausyti pateikiamą informaciją.</w:t>
      </w:r>
    </w:p>
    <w:p w:rsidR="00F80FD8" w:rsidRPr="002F602E" w:rsidRDefault="00F80FD8" w:rsidP="00F80FD8">
      <w:pPr>
        <w:pStyle w:val="Text1"/>
        <w:tabs>
          <w:tab w:val="left" w:pos="5295"/>
        </w:tabs>
        <w:ind w:left="0" w:right="31"/>
        <w:contextualSpacing/>
        <w:jc w:val="both"/>
        <w:rPr>
          <w:rFonts w:eastAsiaTheme="minorHAnsi"/>
          <w:szCs w:val="24"/>
          <w:lang w:val="lt-LT"/>
        </w:rPr>
      </w:pPr>
    </w:p>
    <w:p w:rsidR="00F80FD8" w:rsidRPr="002F602E" w:rsidRDefault="00F80FD8" w:rsidP="00F80FD8">
      <w:pPr>
        <w:pStyle w:val="Text1"/>
        <w:tabs>
          <w:tab w:val="left" w:pos="5295"/>
        </w:tabs>
        <w:ind w:left="0" w:right="31"/>
        <w:contextualSpacing/>
        <w:jc w:val="both"/>
        <w:rPr>
          <w:rFonts w:eastAsiaTheme="minorHAnsi"/>
          <w:szCs w:val="24"/>
          <w:lang w:val="lt-LT"/>
        </w:rPr>
      </w:pPr>
      <w:r w:rsidRPr="002F602E">
        <w:rPr>
          <w:rFonts w:eastAsiaTheme="minorHAnsi"/>
          <w:b/>
          <w:szCs w:val="24"/>
          <w:lang w:val="lt-LT"/>
        </w:rPr>
        <w:t>b) G20 finansų ministrų ir centrinių bankų valdytojų susitikimui, vyksiančiam š.m. birželio mėn. Japonijoje, gairės</w:t>
      </w:r>
      <w:r w:rsidRPr="002F602E">
        <w:rPr>
          <w:rFonts w:eastAsiaTheme="minorHAnsi"/>
          <w:szCs w:val="24"/>
          <w:lang w:val="lt-LT"/>
        </w:rPr>
        <w:t xml:space="preserve"> (patvirtinimas)</w:t>
      </w:r>
    </w:p>
    <w:p w:rsidR="00C57A83" w:rsidRPr="002F602E" w:rsidRDefault="00F80FD8" w:rsidP="00F80FD8">
      <w:pPr>
        <w:pStyle w:val="Text1"/>
        <w:tabs>
          <w:tab w:val="left" w:pos="5295"/>
        </w:tabs>
        <w:ind w:left="0" w:right="31"/>
        <w:contextualSpacing/>
        <w:jc w:val="both"/>
        <w:rPr>
          <w:rFonts w:eastAsiaTheme="minorHAnsi"/>
          <w:szCs w:val="24"/>
          <w:lang w:val="lt-LT"/>
        </w:rPr>
      </w:pPr>
      <w:proofErr w:type="spellStart"/>
      <w:r w:rsidRPr="002F602E">
        <w:rPr>
          <w:rFonts w:eastAsiaTheme="minorHAnsi"/>
          <w:b/>
          <w:szCs w:val="24"/>
          <w:u w:val="single"/>
          <w:lang w:val="lt-LT"/>
        </w:rPr>
        <w:t>Klausimo</w:t>
      </w:r>
      <w:proofErr w:type="spellEnd"/>
      <w:r w:rsidRPr="002F602E">
        <w:rPr>
          <w:rFonts w:eastAsiaTheme="minorHAnsi"/>
          <w:b/>
          <w:szCs w:val="24"/>
          <w:u w:val="single"/>
          <w:lang w:val="lt-LT"/>
        </w:rPr>
        <w:t xml:space="preserve"> </w:t>
      </w:r>
      <w:proofErr w:type="spellStart"/>
      <w:r w:rsidRPr="002F602E">
        <w:rPr>
          <w:rFonts w:eastAsiaTheme="minorHAnsi"/>
          <w:b/>
          <w:szCs w:val="24"/>
          <w:u w:val="single"/>
          <w:lang w:val="lt-LT"/>
        </w:rPr>
        <w:t>esmė</w:t>
      </w:r>
      <w:proofErr w:type="spellEnd"/>
      <w:r w:rsidRPr="002F602E">
        <w:rPr>
          <w:rFonts w:eastAsiaTheme="minorHAnsi"/>
          <w:b/>
          <w:szCs w:val="24"/>
          <w:u w:val="single"/>
          <w:lang w:val="lt-LT"/>
        </w:rPr>
        <w:t>.</w:t>
      </w:r>
      <w:r w:rsidRPr="002F602E">
        <w:rPr>
          <w:rFonts w:eastAsiaTheme="minorHAnsi"/>
          <w:szCs w:val="24"/>
          <w:lang w:val="lt-LT"/>
        </w:rPr>
        <w:t xml:space="preserve"> </w:t>
      </w:r>
      <w:r w:rsidR="00C57A83" w:rsidRPr="002F602E">
        <w:rPr>
          <w:rFonts w:eastAsiaTheme="minorHAnsi"/>
          <w:szCs w:val="24"/>
          <w:lang w:val="lt-LT"/>
        </w:rPr>
        <w:t xml:space="preserve">ECOFIN nariai yra kviečiami pritarti pozicijų gairėms, skirtoms G20 finansų ministrų ir centrinių bankų valdytojų susitikimui, vyksiančiam š. m. birželio mėn. </w:t>
      </w:r>
      <w:proofErr w:type="spellStart"/>
      <w:r w:rsidR="00C57A83" w:rsidRPr="002F602E">
        <w:rPr>
          <w:rFonts w:eastAsiaTheme="minorHAnsi"/>
          <w:szCs w:val="24"/>
          <w:lang w:val="lt-LT"/>
        </w:rPr>
        <w:t>Fukuokoje</w:t>
      </w:r>
      <w:proofErr w:type="spellEnd"/>
      <w:r w:rsidR="00C57A83" w:rsidRPr="002F602E">
        <w:rPr>
          <w:rFonts w:eastAsiaTheme="minorHAnsi"/>
          <w:szCs w:val="24"/>
          <w:lang w:val="lt-LT"/>
        </w:rPr>
        <w:t>, Japonijoje.</w:t>
      </w:r>
    </w:p>
    <w:p w:rsidR="00C57A83" w:rsidRPr="002F602E" w:rsidRDefault="00F80FD8" w:rsidP="00F80FD8">
      <w:pPr>
        <w:spacing w:after="0" w:line="240" w:lineRule="auto"/>
        <w:jc w:val="both"/>
        <w:rPr>
          <w:rFonts w:cs="Times New Roman"/>
          <w:szCs w:val="24"/>
        </w:rPr>
      </w:pPr>
      <w:r w:rsidRPr="002F602E">
        <w:rPr>
          <w:rFonts w:cs="Times New Roman"/>
          <w:b/>
          <w:szCs w:val="24"/>
          <w:u w:val="single"/>
        </w:rPr>
        <w:t>Lietuvos pozicija.</w:t>
      </w:r>
      <w:r w:rsidRPr="002F602E">
        <w:rPr>
          <w:rFonts w:cs="Times New Roman"/>
          <w:szCs w:val="24"/>
        </w:rPr>
        <w:t xml:space="preserve"> </w:t>
      </w:r>
      <w:r w:rsidR="00C57A83" w:rsidRPr="002F602E">
        <w:rPr>
          <w:rFonts w:cs="Times New Roman"/>
          <w:szCs w:val="24"/>
        </w:rPr>
        <w:t>G20 pozicijų gairės dar nėra parengtos, Lietuvos pozicija bus parengta gavus dokumentą.</w:t>
      </w:r>
    </w:p>
    <w:p w:rsidR="00F80FD8" w:rsidRDefault="00F80FD8" w:rsidP="00F80FD8">
      <w:pPr>
        <w:spacing w:after="0" w:line="240" w:lineRule="auto"/>
        <w:jc w:val="both"/>
        <w:rPr>
          <w:rFonts w:cs="Times New Roman"/>
          <w:szCs w:val="24"/>
        </w:rPr>
      </w:pPr>
    </w:p>
    <w:p w:rsidR="00DB34D7" w:rsidRDefault="00DB34D7" w:rsidP="00F80FD8">
      <w:pPr>
        <w:spacing w:after="0" w:line="240" w:lineRule="auto"/>
        <w:jc w:val="both"/>
        <w:rPr>
          <w:rFonts w:cs="Times New Roman"/>
          <w:szCs w:val="24"/>
        </w:rPr>
      </w:pPr>
    </w:p>
    <w:p w:rsidR="00DB34D7" w:rsidRPr="002F602E" w:rsidRDefault="00DB34D7" w:rsidP="00F80FD8">
      <w:pPr>
        <w:spacing w:after="0" w:line="240" w:lineRule="auto"/>
        <w:jc w:val="both"/>
        <w:rPr>
          <w:rFonts w:cs="Times New Roman"/>
          <w:szCs w:val="24"/>
        </w:rPr>
      </w:pPr>
      <w:bookmarkStart w:id="0" w:name="_GoBack"/>
      <w:bookmarkEnd w:id="0"/>
    </w:p>
    <w:p w:rsidR="00A51160" w:rsidRPr="002F602E" w:rsidRDefault="00A51160" w:rsidP="00F80FD8">
      <w:pPr>
        <w:spacing w:after="0" w:line="240" w:lineRule="auto"/>
        <w:jc w:val="both"/>
        <w:rPr>
          <w:rFonts w:cs="Times New Roman"/>
          <w:i/>
          <w:color w:val="FF0000"/>
          <w:szCs w:val="24"/>
        </w:rPr>
      </w:pPr>
      <w:r w:rsidRPr="002F602E">
        <w:rPr>
          <w:rFonts w:cs="Times New Roman"/>
          <w:b/>
          <w:szCs w:val="24"/>
        </w:rPr>
        <w:t xml:space="preserve">c) </w:t>
      </w:r>
      <w:r w:rsidR="00341355" w:rsidRPr="002F602E">
        <w:rPr>
          <w:rFonts w:cs="Times New Roman"/>
          <w:b/>
          <w:szCs w:val="24"/>
        </w:rPr>
        <w:t>Skaitmeninis apmokestinimas tarptautiniu mastu</w:t>
      </w:r>
      <w:r w:rsidR="00341355" w:rsidRPr="002F602E">
        <w:rPr>
          <w:rFonts w:cs="Times New Roman"/>
          <w:szCs w:val="24"/>
        </w:rPr>
        <w:t xml:space="preserve"> </w:t>
      </w:r>
      <w:r w:rsidR="00341355" w:rsidRPr="002F602E">
        <w:rPr>
          <w:rFonts w:cs="Times New Roman"/>
          <w:i/>
          <w:szCs w:val="24"/>
        </w:rPr>
        <w:t>(politiniai debatai)</w:t>
      </w:r>
    </w:p>
    <w:p w:rsidR="002F602E" w:rsidRPr="002F602E" w:rsidRDefault="00341355" w:rsidP="002F602E">
      <w:pPr>
        <w:spacing w:after="0" w:line="240" w:lineRule="auto"/>
        <w:jc w:val="both"/>
        <w:rPr>
          <w:rFonts w:cs="Times New Roman"/>
          <w:color w:val="000000"/>
          <w:szCs w:val="24"/>
        </w:rPr>
      </w:pPr>
      <w:r w:rsidRPr="002F602E">
        <w:rPr>
          <w:rFonts w:cs="Times New Roman"/>
          <w:b/>
          <w:szCs w:val="24"/>
          <w:u w:val="single"/>
        </w:rPr>
        <w:t>Klausimo esmė</w:t>
      </w:r>
      <w:r w:rsidRPr="002F602E">
        <w:rPr>
          <w:rFonts w:cs="Times New Roman"/>
          <w:b/>
          <w:szCs w:val="24"/>
          <w:u w:val="single"/>
        </w:rPr>
        <w:t>.</w:t>
      </w:r>
      <w:r w:rsidRPr="002F602E">
        <w:rPr>
          <w:rFonts w:cs="Times New Roman"/>
          <w:b/>
          <w:szCs w:val="24"/>
        </w:rPr>
        <w:t xml:space="preserve"> </w:t>
      </w:r>
      <w:r w:rsidR="002F602E" w:rsidRPr="002F602E">
        <w:rPr>
          <w:rFonts w:cs="Times New Roman"/>
          <w:color w:val="000000"/>
          <w:szCs w:val="24"/>
        </w:rPr>
        <w:t xml:space="preserve">Siekiant spręsti iššūkius dėl </w:t>
      </w:r>
      <w:proofErr w:type="spellStart"/>
      <w:r w:rsidR="002F602E" w:rsidRPr="002F602E">
        <w:rPr>
          <w:rFonts w:cs="Times New Roman"/>
          <w:color w:val="000000"/>
          <w:szCs w:val="24"/>
        </w:rPr>
        <w:t>skaitmenėjančios</w:t>
      </w:r>
      <w:proofErr w:type="spellEnd"/>
      <w:r w:rsidR="002F602E" w:rsidRPr="002F602E">
        <w:rPr>
          <w:rFonts w:cs="Times New Roman"/>
          <w:color w:val="000000"/>
          <w:szCs w:val="24"/>
        </w:rPr>
        <w:t xml:space="preserve"> ekonomikos mokesčių srityje 2018 m. kovo 21 d. Europos Komisija pateikė pasiūlymus dėl skaitmeninio verslo apmokestinimo Europos Sąjungoje: </w:t>
      </w:r>
    </w:p>
    <w:p w:rsidR="002F602E" w:rsidRPr="002F602E" w:rsidRDefault="002F602E" w:rsidP="002F602E">
      <w:pPr>
        <w:pStyle w:val="Sraopastraipa"/>
        <w:numPr>
          <w:ilvl w:val="0"/>
          <w:numId w:val="17"/>
        </w:numPr>
        <w:spacing w:after="0" w:line="240" w:lineRule="auto"/>
        <w:ind w:left="0" w:firstLine="0"/>
        <w:jc w:val="both"/>
        <w:rPr>
          <w:rFonts w:ascii="Times New Roman" w:hAnsi="Times New Roman" w:cs="Times New Roman"/>
          <w:color w:val="000000"/>
          <w:sz w:val="24"/>
          <w:szCs w:val="24"/>
        </w:rPr>
      </w:pPr>
      <w:r w:rsidRPr="002F602E">
        <w:rPr>
          <w:rFonts w:ascii="Times New Roman" w:hAnsi="Times New Roman" w:cs="Times New Roman"/>
          <w:b/>
          <w:color w:val="000000"/>
          <w:sz w:val="24"/>
          <w:szCs w:val="24"/>
          <w:u w:val="single"/>
        </w:rPr>
        <w:lastRenderedPageBreak/>
        <w:t>Ilgojo laikotarpio pasiūlymą</w:t>
      </w:r>
      <w:r w:rsidRPr="002F602E">
        <w:rPr>
          <w:rFonts w:ascii="Times New Roman" w:hAnsi="Times New Roman" w:cs="Times New Roman"/>
          <w:color w:val="000000"/>
          <w:sz w:val="24"/>
          <w:szCs w:val="24"/>
        </w:rPr>
        <w:t xml:space="preserve"> </w:t>
      </w:r>
      <w:r w:rsidRPr="002F602E">
        <w:rPr>
          <w:rFonts w:ascii="Times New Roman" w:hAnsi="Times New Roman" w:cs="Times New Roman"/>
          <w:b/>
          <w:color w:val="000000"/>
          <w:sz w:val="24"/>
          <w:szCs w:val="24"/>
        </w:rPr>
        <w:t xml:space="preserve">(Pasiūlymas dėl Tarybos direktyvos, kuria nustatomos taisyklės, susijusios su įmonių reikšmingos skaitmeninės </w:t>
      </w:r>
      <w:proofErr w:type="spellStart"/>
      <w:r w:rsidRPr="002F602E">
        <w:rPr>
          <w:rFonts w:ascii="Times New Roman" w:hAnsi="Times New Roman" w:cs="Times New Roman"/>
          <w:b/>
          <w:color w:val="000000"/>
          <w:sz w:val="24"/>
          <w:szCs w:val="24"/>
        </w:rPr>
        <w:t>veiklavietės</w:t>
      </w:r>
      <w:proofErr w:type="spellEnd"/>
      <w:r w:rsidRPr="002F602E">
        <w:rPr>
          <w:rFonts w:ascii="Times New Roman" w:hAnsi="Times New Roman" w:cs="Times New Roman"/>
          <w:b/>
          <w:color w:val="000000"/>
          <w:sz w:val="24"/>
          <w:szCs w:val="24"/>
        </w:rPr>
        <w:t xml:space="preserve"> apmokestinimu </w:t>
      </w:r>
      <w:r w:rsidRPr="002F602E">
        <w:rPr>
          <w:rFonts w:ascii="Times New Roman" w:hAnsi="Times New Roman" w:cs="Times New Roman"/>
          <w:b/>
          <w:i/>
          <w:color w:val="000000"/>
          <w:sz w:val="24"/>
          <w:szCs w:val="24"/>
        </w:rPr>
        <w:t>(</w:t>
      </w:r>
      <w:proofErr w:type="spellStart"/>
      <w:r w:rsidRPr="002F602E">
        <w:rPr>
          <w:rFonts w:ascii="Times New Roman" w:hAnsi="Times New Roman" w:cs="Times New Roman"/>
          <w:b/>
          <w:i/>
          <w:color w:val="000000"/>
          <w:sz w:val="24"/>
          <w:szCs w:val="24"/>
        </w:rPr>
        <w:t>significant</w:t>
      </w:r>
      <w:proofErr w:type="spellEnd"/>
      <w:r w:rsidRPr="002F602E">
        <w:rPr>
          <w:rFonts w:ascii="Times New Roman" w:hAnsi="Times New Roman" w:cs="Times New Roman"/>
          <w:b/>
          <w:i/>
          <w:color w:val="000000"/>
          <w:sz w:val="24"/>
          <w:szCs w:val="24"/>
        </w:rPr>
        <w:t xml:space="preserve"> </w:t>
      </w:r>
      <w:proofErr w:type="spellStart"/>
      <w:r w:rsidRPr="002F602E">
        <w:rPr>
          <w:rFonts w:ascii="Times New Roman" w:hAnsi="Times New Roman" w:cs="Times New Roman"/>
          <w:b/>
          <w:i/>
          <w:color w:val="000000"/>
          <w:sz w:val="24"/>
          <w:szCs w:val="24"/>
        </w:rPr>
        <w:t>digital</w:t>
      </w:r>
      <w:proofErr w:type="spellEnd"/>
      <w:r w:rsidRPr="002F602E">
        <w:rPr>
          <w:rFonts w:ascii="Times New Roman" w:hAnsi="Times New Roman" w:cs="Times New Roman"/>
          <w:b/>
          <w:i/>
          <w:color w:val="000000"/>
          <w:sz w:val="24"/>
          <w:szCs w:val="24"/>
        </w:rPr>
        <w:t xml:space="preserve"> </w:t>
      </w:r>
      <w:proofErr w:type="spellStart"/>
      <w:r w:rsidRPr="002F602E">
        <w:rPr>
          <w:rFonts w:ascii="Times New Roman" w:hAnsi="Times New Roman" w:cs="Times New Roman"/>
          <w:b/>
          <w:i/>
          <w:color w:val="000000"/>
          <w:sz w:val="24"/>
          <w:szCs w:val="24"/>
        </w:rPr>
        <w:t>presence</w:t>
      </w:r>
      <w:proofErr w:type="spellEnd"/>
      <w:r w:rsidRPr="002F602E">
        <w:rPr>
          <w:rFonts w:ascii="Times New Roman" w:hAnsi="Times New Roman" w:cs="Times New Roman"/>
          <w:b/>
          <w:i/>
          <w:color w:val="000000"/>
          <w:sz w:val="24"/>
          <w:szCs w:val="24"/>
        </w:rPr>
        <w:t>)</w:t>
      </w:r>
      <w:r w:rsidRPr="002F602E">
        <w:rPr>
          <w:rFonts w:ascii="Times New Roman" w:hAnsi="Times New Roman" w:cs="Times New Roman"/>
          <w:b/>
          <w:color w:val="000000"/>
          <w:sz w:val="24"/>
          <w:szCs w:val="24"/>
        </w:rPr>
        <w:t>); ir</w:t>
      </w:r>
    </w:p>
    <w:p w:rsidR="002F602E" w:rsidRPr="002F602E" w:rsidRDefault="002F602E" w:rsidP="002F602E">
      <w:pPr>
        <w:pStyle w:val="Sraopastraipa"/>
        <w:numPr>
          <w:ilvl w:val="0"/>
          <w:numId w:val="17"/>
        </w:numPr>
        <w:spacing w:after="0" w:line="240" w:lineRule="auto"/>
        <w:ind w:left="0" w:firstLine="0"/>
        <w:jc w:val="both"/>
        <w:rPr>
          <w:rFonts w:ascii="Times New Roman" w:hAnsi="Times New Roman" w:cs="Times New Roman"/>
          <w:color w:val="000000"/>
          <w:sz w:val="24"/>
          <w:szCs w:val="24"/>
        </w:rPr>
      </w:pPr>
      <w:r w:rsidRPr="002F602E">
        <w:rPr>
          <w:rFonts w:ascii="Times New Roman" w:hAnsi="Times New Roman" w:cs="Times New Roman"/>
          <w:b/>
          <w:color w:val="000000"/>
          <w:sz w:val="24"/>
          <w:szCs w:val="24"/>
          <w:u w:val="single"/>
        </w:rPr>
        <w:t>Trumpojo laikotarpio pasiūlymą</w:t>
      </w:r>
      <w:r w:rsidRPr="002F602E">
        <w:rPr>
          <w:rFonts w:ascii="Times New Roman" w:hAnsi="Times New Roman" w:cs="Times New Roman"/>
          <w:b/>
          <w:color w:val="000000"/>
          <w:sz w:val="24"/>
          <w:szCs w:val="24"/>
        </w:rPr>
        <w:t xml:space="preserve"> (Direktyva dėl tam tikrų skaitmeninių paslaugų apmokestinimo (toliau - DST).</w:t>
      </w:r>
    </w:p>
    <w:p w:rsidR="002F602E" w:rsidRPr="002F602E" w:rsidRDefault="002F602E" w:rsidP="002F602E">
      <w:pPr>
        <w:spacing w:after="0" w:line="240" w:lineRule="auto"/>
        <w:jc w:val="both"/>
        <w:rPr>
          <w:rFonts w:cs="Times New Roman"/>
          <w:color w:val="000000"/>
          <w:szCs w:val="24"/>
        </w:rPr>
      </w:pPr>
      <w:r w:rsidRPr="002F602E">
        <w:rPr>
          <w:rFonts w:cs="Times New Roman"/>
          <w:color w:val="000000"/>
          <w:szCs w:val="24"/>
        </w:rPr>
        <w:t>Iš esmės detalesnės diskusijos 2018-2019 m. Europos Sąjungos lygiu vyko trumpojo laikotarpio pasiūlymo pagrindu. Po 2018 m. gruodžio mėn. ECOFIN diskusijų neradus politinio sutarimo, šio pasiūlymo apimtis susiaurinta, t.y. siūlyta apmokestinti tik skaitmeninės  reklamos talpinimą (</w:t>
      </w:r>
      <w:proofErr w:type="spellStart"/>
      <w:r w:rsidRPr="002F602E">
        <w:rPr>
          <w:rFonts w:cs="Times New Roman"/>
          <w:i/>
          <w:color w:val="000000"/>
          <w:szCs w:val="24"/>
        </w:rPr>
        <w:t>digital</w:t>
      </w:r>
      <w:proofErr w:type="spellEnd"/>
      <w:r w:rsidRPr="002F602E">
        <w:rPr>
          <w:rFonts w:cs="Times New Roman"/>
          <w:i/>
          <w:color w:val="000000"/>
          <w:szCs w:val="24"/>
        </w:rPr>
        <w:t xml:space="preserve"> </w:t>
      </w:r>
      <w:proofErr w:type="spellStart"/>
      <w:r w:rsidRPr="002F602E">
        <w:rPr>
          <w:rFonts w:cs="Times New Roman"/>
          <w:i/>
          <w:color w:val="000000"/>
          <w:szCs w:val="24"/>
        </w:rPr>
        <w:t>advertising</w:t>
      </w:r>
      <w:proofErr w:type="spellEnd"/>
      <w:r w:rsidRPr="002F602E">
        <w:rPr>
          <w:rFonts w:cs="Times New Roman"/>
          <w:i/>
          <w:color w:val="000000"/>
          <w:szCs w:val="24"/>
        </w:rPr>
        <w:t xml:space="preserve"> </w:t>
      </w:r>
      <w:proofErr w:type="spellStart"/>
      <w:r w:rsidRPr="002F602E">
        <w:rPr>
          <w:rFonts w:cs="Times New Roman"/>
          <w:i/>
          <w:color w:val="000000"/>
          <w:szCs w:val="24"/>
        </w:rPr>
        <w:t>tax</w:t>
      </w:r>
      <w:proofErr w:type="spellEnd"/>
      <w:r w:rsidRPr="002F602E">
        <w:rPr>
          <w:rFonts w:cs="Times New Roman"/>
          <w:color w:val="000000"/>
          <w:szCs w:val="24"/>
        </w:rPr>
        <w:t>; DAT).</w:t>
      </w:r>
    </w:p>
    <w:p w:rsidR="002F602E" w:rsidRPr="002F602E" w:rsidRDefault="002F602E" w:rsidP="002F602E">
      <w:pPr>
        <w:spacing w:after="0" w:line="240" w:lineRule="auto"/>
        <w:jc w:val="both"/>
        <w:rPr>
          <w:rFonts w:cs="Times New Roman"/>
          <w:color w:val="000000"/>
          <w:szCs w:val="24"/>
        </w:rPr>
      </w:pPr>
      <w:r w:rsidRPr="002F602E">
        <w:rPr>
          <w:rFonts w:cs="Times New Roman"/>
          <w:color w:val="000000"/>
          <w:szCs w:val="24"/>
        </w:rPr>
        <w:t>Tačiau š. m. kovo 12 d. vykusiame ECOFIN posėdyje  politinio sutarimo dėl DAT pasiekti nepavyko, todėl diskusijos kol kas šiuo klausimu baigtos ir dėmesys bus koncentruojamas į EBPO/G20 diskusijas dėl pasaulinio sprendimo. Tik tokiu atveju, jeigu pasaulinis sprendimas nebūtų rastas iki 2020 m. pabaigos, tuomet ES būtų grįžtama prie DAT/DST pasiūlymo.</w:t>
      </w:r>
    </w:p>
    <w:p w:rsidR="002F602E" w:rsidRPr="002F602E" w:rsidRDefault="002F602E" w:rsidP="002F602E">
      <w:pPr>
        <w:spacing w:after="0" w:line="240" w:lineRule="auto"/>
        <w:jc w:val="both"/>
        <w:rPr>
          <w:rFonts w:cs="Times New Roman"/>
          <w:color w:val="000000"/>
          <w:szCs w:val="24"/>
        </w:rPr>
      </w:pPr>
      <w:r w:rsidRPr="002F602E">
        <w:rPr>
          <w:rFonts w:cs="Times New Roman"/>
          <w:color w:val="000000"/>
          <w:szCs w:val="24"/>
        </w:rPr>
        <w:t xml:space="preserve">Lietuva dalyvavo diskusijose dėl trumpojo laikotarpio pasiūlymo teikdama poziciją, kad tai galėtų būti reikšmingas indėlis pasaulinio lygio sprendimams EBPO. Tačiau kartu buvo išreikštas poreikis vertinti tam tikras </w:t>
      </w:r>
      <w:proofErr w:type="spellStart"/>
      <w:r w:rsidRPr="002F602E">
        <w:rPr>
          <w:rFonts w:cs="Times New Roman"/>
          <w:color w:val="000000"/>
          <w:szCs w:val="24"/>
        </w:rPr>
        <w:t>rizikas</w:t>
      </w:r>
      <w:proofErr w:type="spellEnd"/>
      <w:r w:rsidRPr="002F602E">
        <w:rPr>
          <w:rFonts w:cs="Times New Roman"/>
          <w:color w:val="000000"/>
          <w:szCs w:val="24"/>
        </w:rPr>
        <w:t xml:space="preserve">, tokias kaip: </w:t>
      </w:r>
    </w:p>
    <w:p w:rsidR="002F602E" w:rsidRPr="002F602E" w:rsidRDefault="002F602E" w:rsidP="002F602E">
      <w:pPr>
        <w:tabs>
          <w:tab w:val="left" w:pos="851"/>
        </w:tabs>
        <w:spacing w:after="0" w:line="240" w:lineRule="auto"/>
        <w:jc w:val="both"/>
        <w:rPr>
          <w:rFonts w:cs="Times New Roman"/>
          <w:color w:val="000000"/>
          <w:szCs w:val="24"/>
        </w:rPr>
      </w:pPr>
      <w:r w:rsidRPr="002F602E">
        <w:rPr>
          <w:rFonts w:cs="Times New Roman"/>
          <w:color w:val="000000"/>
          <w:szCs w:val="24"/>
        </w:rPr>
        <w:t>-</w:t>
      </w:r>
      <w:r w:rsidRPr="002F602E">
        <w:rPr>
          <w:rFonts w:cs="Times New Roman"/>
          <w:color w:val="000000"/>
          <w:szCs w:val="24"/>
        </w:rPr>
        <w:tab/>
        <w:t>dvigubo apmokestinimo atsiradimas;</w:t>
      </w:r>
    </w:p>
    <w:p w:rsidR="002F602E" w:rsidRPr="002F602E" w:rsidRDefault="002F602E" w:rsidP="002F602E">
      <w:pPr>
        <w:tabs>
          <w:tab w:val="left" w:pos="851"/>
        </w:tabs>
        <w:spacing w:after="0" w:line="240" w:lineRule="auto"/>
        <w:jc w:val="both"/>
        <w:rPr>
          <w:rFonts w:cs="Times New Roman"/>
          <w:color w:val="000000"/>
          <w:szCs w:val="24"/>
        </w:rPr>
      </w:pPr>
      <w:r w:rsidRPr="002F602E">
        <w:rPr>
          <w:rFonts w:cs="Times New Roman"/>
          <w:color w:val="000000"/>
          <w:szCs w:val="24"/>
        </w:rPr>
        <w:t>-</w:t>
      </w:r>
      <w:r w:rsidRPr="002F602E">
        <w:rPr>
          <w:rFonts w:cs="Times New Roman"/>
          <w:color w:val="000000"/>
          <w:szCs w:val="24"/>
        </w:rPr>
        <w:tab/>
        <w:t>galimas mokesčių naštos perkėlimas vartotojams;</w:t>
      </w:r>
    </w:p>
    <w:p w:rsidR="002F602E" w:rsidRPr="002F602E" w:rsidRDefault="002F602E" w:rsidP="002F602E">
      <w:pPr>
        <w:tabs>
          <w:tab w:val="left" w:pos="851"/>
        </w:tabs>
        <w:spacing w:after="0" w:line="240" w:lineRule="auto"/>
        <w:jc w:val="both"/>
        <w:rPr>
          <w:rFonts w:cs="Times New Roman"/>
          <w:color w:val="000000"/>
          <w:szCs w:val="24"/>
        </w:rPr>
      </w:pPr>
      <w:r w:rsidRPr="002F602E">
        <w:rPr>
          <w:rFonts w:cs="Times New Roman"/>
          <w:color w:val="000000"/>
          <w:szCs w:val="24"/>
        </w:rPr>
        <w:t>-</w:t>
      </w:r>
      <w:r w:rsidRPr="002F602E">
        <w:rPr>
          <w:rFonts w:cs="Times New Roman"/>
          <w:color w:val="000000"/>
          <w:szCs w:val="24"/>
        </w:rPr>
        <w:tab/>
        <w:t>didelė mokesčio administravimo našta  ir dideli  teisės aktų  laikymosi kaštai.</w:t>
      </w:r>
    </w:p>
    <w:p w:rsidR="002F602E" w:rsidRPr="002F602E" w:rsidRDefault="002F602E" w:rsidP="002F602E">
      <w:pPr>
        <w:spacing w:after="0" w:line="240" w:lineRule="auto"/>
        <w:rPr>
          <w:rFonts w:cs="Times New Roman"/>
          <w:szCs w:val="24"/>
        </w:rPr>
      </w:pPr>
    </w:p>
    <w:p w:rsidR="002F602E" w:rsidRPr="002F602E" w:rsidRDefault="002F602E" w:rsidP="002F602E">
      <w:pPr>
        <w:spacing w:after="0" w:line="240" w:lineRule="auto"/>
        <w:jc w:val="both"/>
        <w:rPr>
          <w:rFonts w:cs="Times New Roman"/>
          <w:color w:val="000000"/>
          <w:szCs w:val="24"/>
        </w:rPr>
      </w:pPr>
      <w:r w:rsidRPr="002F602E">
        <w:rPr>
          <w:rFonts w:cs="Times New Roman"/>
          <w:color w:val="000000"/>
          <w:szCs w:val="24"/>
        </w:rPr>
        <w:t>Diskusijos ES lygiu vyko paraleliai su darbu EBPO, kadangi ekonomikos perkėlimas į skaitmeninę erdvę kelia ne tik gaunamų pajamų apmokestinimo užtikrinimo, bet ir platesnius – apmokestinimo teisių padalijimo tarp skirtingų valstybių klausimus.</w:t>
      </w:r>
    </w:p>
    <w:p w:rsidR="002F602E" w:rsidRPr="002F602E" w:rsidRDefault="00341355" w:rsidP="002F602E">
      <w:pPr>
        <w:spacing w:after="0" w:line="240" w:lineRule="auto"/>
        <w:jc w:val="both"/>
        <w:rPr>
          <w:rFonts w:cs="Times New Roman"/>
          <w:color w:val="000000"/>
          <w:szCs w:val="24"/>
        </w:rPr>
      </w:pPr>
      <w:r w:rsidRPr="002F602E">
        <w:rPr>
          <w:rFonts w:cs="Times New Roman"/>
          <w:b/>
          <w:szCs w:val="24"/>
          <w:u w:val="single"/>
        </w:rPr>
        <w:t>Lietuvos pozicija.</w:t>
      </w:r>
      <w:r w:rsidR="002F602E" w:rsidRPr="002F602E">
        <w:rPr>
          <w:rFonts w:cs="Times New Roman"/>
          <w:b/>
          <w:szCs w:val="24"/>
        </w:rPr>
        <w:t xml:space="preserve"> </w:t>
      </w:r>
      <w:r w:rsidR="002F602E" w:rsidRPr="002F602E">
        <w:rPr>
          <w:rFonts w:cs="Times New Roman"/>
          <w:color w:val="000000"/>
          <w:szCs w:val="24"/>
        </w:rPr>
        <w:t xml:space="preserve">Palaikome vykstančias diskusijas dėl tarptautinių apmokestinimo taisyklių peržiūrėjimo, siekiant pritaikyti jas prie skaitmeninės ekonomikos vystymosi ir dėl to atsirandančių iššūkių. Tikime, kad tokiu būdu bus prisidedama prie vienodesnių verslo sąlygų užtikrinimo, konkurencingumo didinimo, ekonomikos augimo.   </w:t>
      </w:r>
    </w:p>
    <w:p w:rsidR="002F602E" w:rsidRPr="002F602E" w:rsidRDefault="002F602E" w:rsidP="002F602E">
      <w:pPr>
        <w:spacing w:after="0" w:line="240" w:lineRule="auto"/>
        <w:jc w:val="both"/>
        <w:rPr>
          <w:rFonts w:cs="Times New Roman"/>
          <w:color w:val="000000"/>
          <w:szCs w:val="24"/>
        </w:rPr>
      </w:pPr>
      <w:r w:rsidRPr="002F602E">
        <w:rPr>
          <w:rFonts w:cs="Times New Roman"/>
          <w:color w:val="000000"/>
          <w:szCs w:val="24"/>
        </w:rPr>
        <w:t xml:space="preserve">Pripažįstame, kad, siekiant užtikrinti sąžiningą ir efektyvų verslo, kuris neturi ar turi nedidelę dalį fizinės buvimo vietos toje jurisdikcijoje, kurioje vykdoma ekonominė veikla, apmokestinimą, būtina siekti visapusiško, pasaulinio sprendimo. </w:t>
      </w:r>
    </w:p>
    <w:p w:rsidR="002F602E" w:rsidRPr="002F602E" w:rsidRDefault="002F602E" w:rsidP="002F602E">
      <w:pPr>
        <w:spacing w:after="0" w:line="240" w:lineRule="auto"/>
        <w:jc w:val="both"/>
        <w:rPr>
          <w:rFonts w:cs="Times New Roman"/>
          <w:color w:val="000000"/>
          <w:szCs w:val="24"/>
        </w:rPr>
      </w:pPr>
      <w:r w:rsidRPr="002F602E">
        <w:rPr>
          <w:rFonts w:cs="Times New Roman"/>
          <w:color w:val="000000"/>
          <w:szCs w:val="24"/>
        </w:rPr>
        <w:t xml:space="preserve">Mes tikime, kad vartotojų dalyvavimas </w:t>
      </w:r>
      <w:proofErr w:type="spellStart"/>
      <w:r w:rsidRPr="002F602E">
        <w:rPr>
          <w:rFonts w:cs="Times New Roman"/>
          <w:color w:val="000000"/>
          <w:szCs w:val="24"/>
        </w:rPr>
        <w:t>skaitmenėjančioje</w:t>
      </w:r>
      <w:proofErr w:type="spellEnd"/>
      <w:r w:rsidRPr="002F602E">
        <w:rPr>
          <w:rFonts w:cs="Times New Roman"/>
          <w:color w:val="000000"/>
          <w:szCs w:val="24"/>
        </w:rPr>
        <w:t xml:space="preserve"> ekonomikoje  reikšmingai prisideda prie vertės kūrimo, todėl manome, kad ilgojo laikotarpio sprendimai turėtų atspindėti siekį „atsekti“ verslo vertės kūrimo procesą ir tais atvejais, kai vertės kūrime dalyvauja vartotojai, vartotojų jurisdikcijai suteikti teisę apmokestinti vartotojų sukurtą vertę.</w:t>
      </w:r>
    </w:p>
    <w:p w:rsidR="002F602E" w:rsidRPr="002F602E" w:rsidRDefault="002F602E" w:rsidP="002F602E">
      <w:pPr>
        <w:spacing w:after="0" w:line="240" w:lineRule="auto"/>
        <w:jc w:val="both"/>
        <w:rPr>
          <w:rFonts w:cs="Times New Roman"/>
          <w:color w:val="000000"/>
          <w:szCs w:val="24"/>
        </w:rPr>
      </w:pPr>
      <w:r w:rsidRPr="002F602E">
        <w:rPr>
          <w:rFonts w:cs="Times New Roman"/>
          <w:color w:val="000000"/>
          <w:szCs w:val="24"/>
        </w:rPr>
        <w:t xml:space="preserve">Todėl palaikytume pasiūlymą, paremtą požiūriu, kad ilgalaikis įsitraukimas ir aktyvus vartotojų dalyvavimas yra esminiai komponentai skaitmenizuoto verslo vertės kūrimui. </w:t>
      </w:r>
    </w:p>
    <w:p w:rsidR="002F602E" w:rsidRPr="002F602E" w:rsidRDefault="002F602E" w:rsidP="002F602E">
      <w:pPr>
        <w:spacing w:after="0" w:line="240" w:lineRule="auto"/>
        <w:jc w:val="both"/>
        <w:rPr>
          <w:rFonts w:cs="Times New Roman"/>
          <w:color w:val="000000"/>
          <w:szCs w:val="24"/>
        </w:rPr>
      </w:pPr>
      <w:r w:rsidRPr="002F602E">
        <w:rPr>
          <w:rFonts w:cs="Times New Roman"/>
          <w:color w:val="000000"/>
          <w:szCs w:val="24"/>
        </w:rPr>
        <w:t xml:space="preserve">Tačiau, nustatant naujas apmokestinimo teisių paskirstymo taisykles, ir siekiant, kad jos būtų sąžiningos bei teisingos, būtina užtikrinti, kad naujosios taisyklės spręstų galinčias atsirasti dvigubo apmokestinimo </w:t>
      </w:r>
      <w:proofErr w:type="spellStart"/>
      <w:r w:rsidRPr="002F602E">
        <w:rPr>
          <w:rFonts w:cs="Times New Roman"/>
          <w:color w:val="000000"/>
          <w:szCs w:val="24"/>
        </w:rPr>
        <w:t>rizikas</w:t>
      </w:r>
      <w:proofErr w:type="spellEnd"/>
      <w:r w:rsidRPr="002F602E">
        <w:rPr>
          <w:rFonts w:cs="Times New Roman"/>
          <w:color w:val="000000"/>
          <w:szCs w:val="24"/>
        </w:rPr>
        <w:t>, užtikrintų mokestinį tikrumą, siektų užkirsti kelią galimiems ginčams bei nustatytų aiškų administravimo mechanizmą.</w:t>
      </w:r>
    </w:p>
    <w:p w:rsidR="00A51160" w:rsidRPr="002F602E" w:rsidRDefault="00A51160" w:rsidP="00F80FD8">
      <w:pPr>
        <w:spacing w:after="0" w:line="240" w:lineRule="auto"/>
        <w:jc w:val="both"/>
        <w:rPr>
          <w:rFonts w:cs="Times New Roman"/>
          <w:szCs w:val="24"/>
        </w:rPr>
      </w:pPr>
    </w:p>
    <w:p w:rsidR="00F80FD8" w:rsidRPr="002F602E" w:rsidRDefault="00A51160" w:rsidP="00F80FD8">
      <w:pPr>
        <w:spacing w:after="0" w:line="240" w:lineRule="auto"/>
        <w:jc w:val="both"/>
        <w:rPr>
          <w:rFonts w:cs="Times New Roman"/>
          <w:b/>
          <w:szCs w:val="24"/>
          <w:u w:val="single"/>
        </w:rPr>
      </w:pPr>
      <w:r w:rsidRPr="002F602E">
        <w:rPr>
          <w:rFonts w:cs="Times New Roman"/>
          <w:b/>
          <w:szCs w:val="24"/>
        </w:rPr>
        <w:t>d</w:t>
      </w:r>
      <w:r w:rsidR="00F80FD8" w:rsidRPr="002F602E">
        <w:rPr>
          <w:rFonts w:cs="Times New Roman"/>
          <w:b/>
          <w:szCs w:val="24"/>
        </w:rPr>
        <w:t xml:space="preserve">) Pirmasis Ministrų koalicijos </w:t>
      </w:r>
      <w:r w:rsidRPr="002F602E">
        <w:rPr>
          <w:rFonts w:cs="Times New Roman"/>
          <w:b/>
          <w:szCs w:val="24"/>
        </w:rPr>
        <w:t>klimato veiklai susitikimas</w:t>
      </w:r>
      <w:r w:rsidRPr="002F602E">
        <w:rPr>
          <w:rFonts w:cs="Times New Roman"/>
          <w:szCs w:val="24"/>
        </w:rPr>
        <w:t xml:space="preserve"> </w:t>
      </w:r>
      <w:r w:rsidRPr="002F602E">
        <w:rPr>
          <w:rFonts w:cs="Times New Roman"/>
          <w:i/>
          <w:szCs w:val="24"/>
        </w:rPr>
        <w:t>(Europos Komisijos informacija)</w:t>
      </w:r>
    </w:p>
    <w:p w:rsidR="00C57A83" w:rsidRPr="002F602E" w:rsidRDefault="00A51160" w:rsidP="00A51160">
      <w:pPr>
        <w:spacing w:after="0" w:line="240" w:lineRule="auto"/>
        <w:jc w:val="both"/>
        <w:rPr>
          <w:rFonts w:eastAsia="Calibri" w:cs="Times New Roman"/>
          <w:iCs/>
          <w:szCs w:val="24"/>
        </w:rPr>
      </w:pPr>
      <w:r w:rsidRPr="002F602E">
        <w:rPr>
          <w:rFonts w:cs="Times New Roman"/>
          <w:b/>
          <w:szCs w:val="24"/>
          <w:u w:val="single"/>
        </w:rPr>
        <w:t>Klausimo esmė.</w:t>
      </w:r>
      <w:r w:rsidRPr="002F602E">
        <w:rPr>
          <w:rFonts w:eastAsia="Calibri" w:cs="Times New Roman"/>
          <w:b/>
          <w:szCs w:val="24"/>
          <w:u w:val="single"/>
        </w:rPr>
        <w:t xml:space="preserve"> </w:t>
      </w:r>
      <w:r w:rsidR="00C57A83" w:rsidRPr="002F602E">
        <w:rPr>
          <w:rFonts w:eastAsia="Calibri" w:cs="Times New Roman"/>
          <w:iCs/>
          <w:szCs w:val="24"/>
        </w:rPr>
        <w:t xml:space="preserve">Komisija informuos apie pirmąjį Ministrų koalicijos klimato veiklai (angl. </w:t>
      </w:r>
      <w:proofErr w:type="spellStart"/>
      <w:r w:rsidR="00C57A83" w:rsidRPr="002F602E">
        <w:rPr>
          <w:rFonts w:eastAsia="Calibri" w:cs="Times New Roman"/>
          <w:i/>
          <w:iCs/>
          <w:szCs w:val="24"/>
        </w:rPr>
        <w:t>Coalition</w:t>
      </w:r>
      <w:proofErr w:type="spellEnd"/>
      <w:r w:rsidR="00C57A83" w:rsidRPr="002F602E">
        <w:rPr>
          <w:rFonts w:eastAsia="Calibri" w:cs="Times New Roman"/>
          <w:i/>
          <w:iCs/>
          <w:szCs w:val="24"/>
        </w:rPr>
        <w:t xml:space="preserve"> </w:t>
      </w:r>
      <w:proofErr w:type="spellStart"/>
      <w:r w:rsidR="00C57A83" w:rsidRPr="002F602E">
        <w:rPr>
          <w:rFonts w:eastAsia="Calibri" w:cs="Times New Roman"/>
          <w:i/>
          <w:iCs/>
          <w:szCs w:val="24"/>
        </w:rPr>
        <w:t>of</w:t>
      </w:r>
      <w:proofErr w:type="spellEnd"/>
      <w:r w:rsidR="00C57A83" w:rsidRPr="002F602E">
        <w:rPr>
          <w:rFonts w:eastAsia="Calibri" w:cs="Times New Roman"/>
          <w:i/>
          <w:iCs/>
          <w:szCs w:val="24"/>
        </w:rPr>
        <w:t xml:space="preserve"> </w:t>
      </w:r>
      <w:proofErr w:type="spellStart"/>
      <w:r w:rsidR="00C57A83" w:rsidRPr="002F602E">
        <w:rPr>
          <w:rFonts w:eastAsia="Calibri" w:cs="Times New Roman"/>
          <w:i/>
          <w:iCs/>
          <w:szCs w:val="24"/>
        </w:rPr>
        <w:t>Ministers</w:t>
      </w:r>
      <w:proofErr w:type="spellEnd"/>
      <w:r w:rsidR="00C57A83" w:rsidRPr="002F602E">
        <w:rPr>
          <w:rFonts w:eastAsia="Calibri" w:cs="Times New Roman"/>
          <w:i/>
          <w:iCs/>
          <w:szCs w:val="24"/>
        </w:rPr>
        <w:t xml:space="preserve"> </w:t>
      </w:r>
      <w:proofErr w:type="spellStart"/>
      <w:r w:rsidR="00C57A83" w:rsidRPr="002F602E">
        <w:rPr>
          <w:rFonts w:eastAsia="Calibri" w:cs="Times New Roman"/>
          <w:i/>
          <w:iCs/>
          <w:szCs w:val="24"/>
        </w:rPr>
        <w:t>on</w:t>
      </w:r>
      <w:proofErr w:type="spellEnd"/>
      <w:r w:rsidR="00C57A83" w:rsidRPr="002F602E">
        <w:rPr>
          <w:rFonts w:eastAsia="Calibri" w:cs="Times New Roman"/>
          <w:i/>
          <w:iCs/>
          <w:szCs w:val="24"/>
        </w:rPr>
        <w:t xml:space="preserve"> </w:t>
      </w:r>
      <w:proofErr w:type="spellStart"/>
      <w:r w:rsidR="00C57A83" w:rsidRPr="002F602E">
        <w:rPr>
          <w:rFonts w:eastAsia="Calibri" w:cs="Times New Roman"/>
          <w:i/>
          <w:iCs/>
          <w:szCs w:val="24"/>
        </w:rPr>
        <w:t>Climate</w:t>
      </w:r>
      <w:proofErr w:type="spellEnd"/>
      <w:r w:rsidR="00C57A83" w:rsidRPr="002F602E">
        <w:rPr>
          <w:rFonts w:eastAsia="Calibri" w:cs="Times New Roman"/>
          <w:i/>
          <w:iCs/>
          <w:szCs w:val="24"/>
        </w:rPr>
        <w:t xml:space="preserve"> </w:t>
      </w:r>
      <w:proofErr w:type="spellStart"/>
      <w:r w:rsidR="00C57A83" w:rsidRPr="002F602E">
        <w:rPr>
          <w:rFonts w:eastAsia="Calibri" w:cs="Times New Roman"/>
          <w:i/>
          <w:iCs/>
          <w:szCs w:val="24"/>
        </w:rPr>
        <w:t>Actions</w:t>
      </w:r>
      <w:proofErr w:type="spellEnd"/>
      <w:r w:rsidR="00C57A83" w:rsidRPr="002F602E">
        <w:rPr>
          <w:rFonts w:eastAsia="Calibri" w:cs="Times New Roman"/>
          <w:i/>
          <w:iCs/>
          <w:szCs w:val="24"/>
        </w:rPr>
        <w:t>,</w:t>
      </w:r>
      <w:r w:rsidR="00C57A83" w:rsidRPr="002F602E">
        <w:rPr>
          <w:rFonts w:eastAsia="Calibri" w:cs="Times New Roman"/>
          <w:iCs/>
          <w:szCs w:val="24"/>
        </w:rPr>
        <w:t xml:space="preserve"> toliau - koalicija) susitikimą, vykusį TVF ir Pasaulio banko pavasarinių susitikimų Vašingtone š. m. balandžio mėnesį paraštėse. Iniciatyva pradėta 2018 m. Pasaulio banko (PB) ir Tarptautinio valiutos fondo (TVF) metinių susitikimų Balyje metu. Suomijos ir Čilės finansų ministrai kartu pirmininkavo pasiruošimui sukurti koaliciją. 2019 m. vasario 21-22 d. Suomijoje vykusio parengiamojo susitikimo metu siekta nustatyti koalicijos veiklos kryptis ir metodus, susitikime dalyvavo 19 šalių ir PB, TVF, EK, EBPO ir JT atstovai. Šio susitikimo metu parengti 6 „Helsinkio principai“, kuriuos pasirašyti buvo numatyta pirmojo Finansų Ministrų koalicijos susitikimo Vašingtone metu:</w:t>
      </w:r>
    </w:p>
    <w:p w:rsidR="00C57A83" w:rsidRPr="002F602E" w:rsidRDefault="00C57A83" w:rsidP="00A51160">
      <w:pPr>
        <w:spacing w:after="0" w:line="240" w:lineRule="auto"/>
        <w:jc w:val="both"/>
        <w:rPr>
          <w:rFonts w:eastAsia="Calibri" w:cs="Times New Roman"/>
          <w:iCs/>
          <w:szCs w:val="24"/>
        </w:rPr>
      </w:pPr>
      <w:r w:rsidRPr="002F602E">
        <w:rPr>
          <w:rFonts w:eastAsia="Calibri" w:cs="Times New Roman"/>
          <w:iCs/>
          <w:szCs w:val="24"/>
        </w:rPr>
        <w:t>- Suderinti politikas ir praktikas su Paryžiaus susitarimo įsipareigojimais;</w:t>
      </w:r>
    </w:p>
    <w:p w:rsidR="00C57A83" w:rsidRPr="002F602E" w:rsidRDefault="00C57A83" w:rsidP="00A51160">
      <w:pPr>
        <w:spacing w:after="0" w:line="240" w:lineRule="auto"/>
        <w:jc w:val="both"/>
        <w:rPr>
          <w:rFonts w:eastAsia="Calibri" w:cs="Times New Roman"/>
          <w:iCs/>
          <w:szCs w:val="24"/>
        </w:rPr>
      </w:pPr>
      <w:r w:rsidRPr="002F602E">
        <w:rPr>
          <w:rFonts w:eastAsia="Calibri" w:cs="Times New Roman"/>
          <w:iCs/>
          <w:szCs w:val="24"/>
        </w:rPr>
        <w:t>- Dalintis patirtimi ir žiniomis, tokiu būdu skatinant vieniems kitus ir siekiant bendro supratimo apie kovos su klimato kaita politikas ir praktikas;</w:t>
      </w:r>
    </w:p>
    <w:p w:rsidR="00C57A83" w:rsidRPr="002F602E" w:rsidRDefault="00C57A83" w:rsidP="00A51160">
      <w:pPr>
        <w:spacing w:after="0" w:line="240" w:lineRule="auto"/>
        <w:jc w:val="both"/>
        <w:rPr>
          <w:rFonts w:eastAsia="Calibri" w:cs="Times New Roman"/>
          <w:iCs/>
          <w:szCs w:val="24"/>
        </w:rPr>
      </w:pPr>
      <w:r w:rsidRPr="002F602E">
        <w:rPr>
          <w:rFonts w:eastAsia="Calibri" w:cs="Times New Roman"/>
          <w:iCs/>
          <w:szCs w:val="24"/>
        </w:rPr>
        <w:t>- Siekti efektyvaus anglies dioksido apmokestinimo;</w:t>
      </w:r>
    </w:p>
    <w:p w:rsidR="00C57A83" w:rsidRPr="002F602E" w:rsidRDefault="00C57A83" w:rsidP="00A51160">
      <w:pPr>
        <w:spacing w:after="0" w:line="240" w:lineRule="auto"/>
        <w:jc w:val="both"/>
        <w:rPr>
          <w:rFonts w:eastAsia="Calibri" w:cs="Times New Roman"/>
          <w:iCs/>
          <w:szCs w:val="24"/>
        </w:rPr>
      </w:pPr>
      <w:r w:rsidRPr="002F602E">
        <w:rPr>
          <w:rFonts w:eastAsia="Calibri" w:cs="Times New Roman"/>
          <w:iCs/>
          <w:szCs w:val="24"/>
        </w:rPr>
        <w:lastRenderedPageBreak/>
        <w:t>- Atsižvelgti į klimato kaitą vykdant makroekonominę politiką, fiskalinį planavimą, planuojant biudžetą, valdant viešąsias investicijas ir pirkimus;</w:t>
      </w:r>
    </w:p>
    <w:p w:rsidR="00C57A83" w:rsidRPr="002F602E" w:rsidRDefault="00C57A83" w:rsidP="00A51160">
      <w:pPr>
        <w:spacing w:after="0" w:line="240" w:lineRule="auto"/>
        <w:jc w:val="both"/>
        <w:rPr>
          <w:rFonts w:eastAsia="Calibri" w:cs="Times New Roman"/>
          <w:iCs/>
          <w:szCs w:val="24"/>
        </w:rPr>
      </w:pPr>
      <w:r w:rsidRPr="002F602E">
        <w:rPr>
          <w:rFonts w:eastAsia="Calibri" w:cs="Times New Roman"/>
          <w:iCs/>
          <w:szCs w:val="24"/>
        </w:rPr>
        <w:t>- Mobilizuoti privačias lėšas kovai su klimato kaita, sudarant sąlygas investicijoms ir finansinio sektoriaus plėtrai;</w:t>
      </w:r>
    </w:p>
    <w:p w:rsidR="00C57A83" w:rsidRPr="002F602E" w:rsidRDefault="00C57A83" w:rsidP="00A51160">
      <w:pPr>
        <w:spacing w:after="0" w:line="240" w:lineRule="auto"/>
        <w:jc w:val="both"/>
        <w:rPr>
          <w:rFonts w:eastAsia="Calibri" w:cs="Times New Roman"/>
          <w:iCs/>
          <w:szCs w:val="24"/>
        </w:rPr>
      </w:pPr>
      <w:r w:rsidRPr="002F602E">
        <w:rPr>
          <w:rFonts w:eastAsia="Calibri" w:cs="Times New Roman"/>
          <w:iCs/>
          <w:szCs w:val="24"/>
        </w:rPr>
        <w:t>- Aktyviai įsitraukti į nacionalinių lygmeniu nustatytų įpareigojančių veiksmų (NDC) pagal Paryžiaus susitarimą rengimą ir įgyvendinimą.</w:t>
      </w:r>
    </w:p>
    <w:p w:rsidR="00C57A83" w:rsidRPr="002F602E" w:rsidRDefault="00A51160" w:rsidP="00A51160">
      <w:pPr>
        <w:spacing w:after="0" w:line="240" w:lineRule="auto"/>
        <w:jc w:val="both"/>
        <w:rPr>
          <w:rFonts w:eastAsia="Calibri" w:cs="Times New Roman"/>
          <w:szCs w:val="24"/>
        </w:rPr>
      </w:pPr>
      <w:r w:rsidRPr="002F602E">
        <w:rPr>
          <w:rFonts w:eastAsia="Calibri" w:cs="Times New Roman"/>
          <w:b/>
          <w:szCs w:val="24"/>
          <w:u w:val="single"/>
        </w:rPr>
        <w:t>Lietuvos pozicija.</w:t>
      </w:r>
      <w:r w:rsidR="00C57A83" w:rsidRPr="002F602E">
        <w:rPr>
          <w:rFonts w:eastAsia="Calibri" w:cs="Times New Roman"/>
          <w:b/>
          <w:szCs w:val="24"/>
        </w:rPr>
        <w:t xml:space="preserve"> </w:t>
      </w:r>
      <w:r w:rsidR="00C57A83" w:rsidRPr="002F602E">
        <w:rPr>
          <w:rFonts w:eastAsia="Calibri" w:cs="Times New Roman"/>
          <w:iCs/>
          <w:szCs w:val="24"/>
        </w:rPr>
        <w:t xml:space="preserve">Finansų ministerija kvietimą prisijungti prie šios koalicijos gavo 2019 m. sausio 4 d. bendru Suomijos ir Čilės finansų ministrų laišku. Tarp įvardintų galimų koalicijos veiklos sričių yra finansavimo planavimas, biudžeto sudarymas, apmokestinimas. </w:t>
      </w:r>
      <w:r w:rsidR="007B5B45">
        <w:rPr>
          <w:rFonts w:eastAsia="Calibri" w:cs="Times New Roman"/>
          <w:iCs/>
          <w:szCs w:val="24"/>
        </w:rPr>
        <w:t xml:space="preserve">Šuo metu Lietuvoje yra numatyti kertiniai teisėkūros ir įgyvendinimo darbai dėl vykdomos plačios apimties biudžeto pertvarkos. </w:t>
      </w:r>
      <w:r w:rsidR="00C57A83" w:rsidRPr="002F602E">
        <w:rPr>
          <w:rFonts w:eastAsia="Calibri" w:cs="Times New Roman"/>
          <w:szCs w:val="24"/>
        </w:rPr>
        <w:t>Įdiegus suplanuotus pakeitimus dabartinei biudžeto sistemai, būtų galima svarstyti prisijungti prie naujų iniciatyvų ir ieškoti naujų biudžeto sistemos tobulinimo krypčių. Atsižvelgiant į tai, šiame etape Lietuvai prisijungti prie iniciatyvos nesiūloma.</w:t>
      </w:r>
    </w:p>
    <w:p w:rsidR="00A51160" w:rsidRPr="002F602E" w:rsidRDefault="00A51160" w:rsidP="00A51160">
      <w:pPr>
        <w:spacing w:after="0" w:line="240" w:lineRule="auto"/>
        <w:jc w:val="both"/>
        <w:rPr>
          <w:rFonts w:eastAsia="Calibri" w:cs="Times New Roman"/>
          <w:szCs w:val="24"/>
        </w:rPr>
      </w:pPr>
    </w:p>
    <w:p w:rsidR="00C57A83" w:rsidRPr="002F602E" w:rsidRDefault="00C57A83" w:rsidP="00C57A83">
      <w:pPr>
        <w:pStyle w:val="Text1"/>
        <w:tabs>
          <w:tab w:val="left" w:pos="5295"/>
        </w:tabs>
        <w:ind w:left="0" w:right="31"/>
        <w:contextualSpacing/>
        <w:jc w:val="both"/>
        <w:rPr>
          <w:rFonts w:eastAsiaTheme="minorHAnsi"/>
          <w:szCs w:val="24"/>
          <w:lang w:val="lt-LT"/>
        </w:rPr>
      </w:pPr>
    </w:p>
    <w:p w:rsidR="008618AA" w:rsidRPr="002F602E" w:rsidRDefault="00A51160" w:rsidP="008618AA">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2F602E">
        <w:rPr>
          <w:rFonts w:cs="Times New Roman"/>
          <w:b/>
          <w:szCs w:val="24"/>
        </w:rPr>
        <w:t xml:space="preserve">Europos semestras </w:t>
      </w:r>
      <w:r w:rsidRPr="002F602E">
        <w:rPr>
          <w:rFonts w:cs="Times New Roman"/>
          <w:i/>
          <w:szCs w:val="24"/>
        </w:rPr>
        <w:t>(</w:t>
      </w:r>
      <w:r w:rsidR="005D6A77">
        <w:rPr>
          <w:rFonts w:cs="Times New Roman"/>
          <w:i/>
          <w:szCs w:val="24"/>
        </w:rPr>
        <w:t xml:space="preserve">Tarybos išvadų </w:t>
      </w:r>
      <w:r w:rsidRPr="002F602E">
        <w:rPr>
          <w:rFonts w:cs="Times New Roman"/>
          <w:i/>
          <w:szCs w:val="24"/>
        </w:rPr>
        <w:t>priėmimas)</w:t>
      </w:r>
    </w:p>
    <w:p w:rsidR="00960522" w:rsidRPr="002F602E" w:rsidRDefault="00960522" w:rsidP="001517F4">
      <w:pPr>
        <w:spacing w:after="0" w:line="240" w:lineRule="auto"/>
        <w:jc w:val="center"/>
        <w:rPr>
          <w:rFonts w:eastAsia="Calibri" w:cs="Times New Roman"/>
          <w:b/>
          <w:szCs w:val="24"/>
        </w:rPr>
      </w:pPr>
    </w:p>
    <w:p w:rsidR="00A51160" w:rsidRPr="002F602E" w:rsidRDefault="00420E11" w:rsidP="00A51160">
      <w:pPr>
        <w:spacing w:after="0" w:line="240" w:lineRule="auto"/>
        <w:contextualSpacing/>
        <w:jc w:val="both"/>
        <w:rPr>
          <w:rFonts w:cs="Times New Roman"/>
          <w:szCs w:val="24"/>
        </w:rPr>
      </w:pPr>
      <w:r w:rsidRPr="002F602E">
        <w:rPr>
          <w:rFonts w:cs="Times New Roman"/>
          <w:b/>
          <w:szCs w:val="24"/>
          <w:u w:val="single"/>
        </w:rPr>
        <w:t>Klausimo esmė.</w:t>
      </w:r>
      <w:r w:rsidRPr="002F602E">
        <w:rPr>
          <w:rFonts w:cs="Times New Roman"/>
          <w:b/>
          <w:szCs w:val="24"/>
        </w:rPr>
        <w:t xml:space="preserve"> </w:t>
      </w:r>
      <w:r w:rsidR="00A51160" w:rsidRPr="002F602E">
        <w:rPr>
          <w:rFonts w:cs="Times New Roman"/>
          <w:b/>
          <w:szCs w:val="24"/>
        </w:rPr>
        <w:t>Nuodugnios apžvalgos.</w:t>
      </w:r>
      <w:r w:rsidR="00A51160" w:rsidRPr="002F602E">
        <w:rPr>
          <w:rFonts w:cs="Times New Roman"/>
          <w:szCs w:val="24"/>
        </w:rPr>
        <w:t xml:space="preserve"> Taryba sutinka, kad visos 13 VN</w:t>
      </w:r>
      <w:r w:rsidR="00A51160" w:rsidRPr="002F602E">
        <w:rPr>
          <w:rStyle w:val="Puslapioinaosnuoroda"/>
          <w:rFonts w:cs="Times New Roman"/>
          <w:szCs w:val="24"/>
        </w:rPr>
        <w:footnoteReference w:id="1"/>
      </w:r>
      <w:r w:rsidR="00A51160" w:rsidRPr="002F602E">
        <w:rPr>
          <w:rFonts w:cs="Times New Roman"/>
          <w:szCs w:val="24"/>
        </w:rPr>
        <w:t xml:space="preserve"> kurioms buvo atliktos nuodugnios apžvalgos turi susidariusių </w:t>
      </w:r>
      <w:proofErr w:type="spellStart"/>
      <w:r w:rsidR="00A51160" w:rsidRPr="002F602E">
        <w:rPr>
          <w:rFonts w:cs="Times New Roman"/>
          <w:szCs w:val="24"/>
        </w:rPr>
        <w:t>disbalansų</w:t>
      </w:r>
      <w:proofErr w:type="spellEnd"/>
      <w:r w:rsidR="00A51160" w:rsidRPr="002F602E">
        <w:rPr>
          <w:rFonts w:cs="Times New Roman"/>
          <w:szCs w:val="24"/>
        </w:rPr>
        <w:t>. Sutinka, kad 3 VN</w:t>
      </w:r>
      <w:r w:rsidR="00A51160" w:rsidRPr="002F602E">
        <w:rPr>
          <w:rStyle w:val="Puslapioinaosnuoroda"/>
          <w:rFonts w:cs="Times New Roman"/>
          <w:szCs w:val="24"/>
        </w:rPr>
        <w:footnoteReference w:id="2"/>
      </w:r>
      <w:r w:rsidR="00A51160" w:rsidRPr="002F602E">
        <w:rPr>
          <w:rFonts w:cs="Times New Roman"/>
          <w:szCs w:val="24"/>
        </w:rPr>
        <w:t xml:space="preserve"> turi susidariusius </w:t>
      </w:r>
      <w:proofErr w:type="spellStart"/>
      <w:r w:rsidR="00A51160" w:rsidRPr="002F602E">
        <w:rPr>
          <w:rFonts w:cs="Times New Roman"/>
          <w:szCs w:val="24"/>
        </w:rPr>
        <w:t>perviršinius</w:t>
      </w:r>
      <w:proofErr w:type="spellEnd"/>
      <w:r w:rsidR="00A51160" w:rsidRPr="002F602E">
        <w:rPr>
          <w:rFonts w:cs="Times New Roman"/>
          <w:szCs w:val="24"/>
        </w:rPr>
        <w:t xml:space="preserve"> </w:t>
      </w:r>
      <w:proofErr w:type="spellStart"/>
      <w:r w:rsidR="00A51160" w:rsidRPr="002F602E">
        <w:rPr>
          <w:rFonts w:cs="Times New Roman"/>
          <w:szCs w:val="24"/>
        </w:rPr>
        <w:t>disbalansus</w:t>
      </w:r>
      <w:proofErr w:type="spellEnd"/>
      <w:r w:rsidR="00A51160" w:rsidRPr="002F602E">
        <w:rPr>
          <w:rFonts w:cs="Times New Roman"/>
          <w:szCs w:val="24"/>
        </w:rPr>
        <w:t>. Dar kartą pabrėžia, kad Makroekonominio disbalanso procedūra turi būti naudojama pilnai ir skaidriai.</w:t>
      </w:r>
    </w:p>
    <w:p w:rsidR="00A51160" w:rsidRPr="002F602E" w:rsidRDefault="00A51160" w:rsidP="00A51160">
      <w:pPr>
        <w:spacing w:after="0" w:line="240" w:lineRule="auto"/>
        <w:contextualSpacing/>
        <w:jc w:val="both"/>
        <w:rPr>
          <w:rFonts w:eastAsia="Times New Roman" w:cs="Times New Roman"/>
          <w:szCs w:val="24"/>
          <w:lang w:eastAsia="fr-BE"/>
        </w:rPr>
      </w:pPr>
      <w:r w:rsidRPr="002F602E">
        <w:rPr>
          <w:rFonts w:eastAsia="Times New Roman" w:cs="Times New Roman"/>
          <w:b/>
          <w:szCs w:val="24"/>
          <w:lang w:eastAsia="fr-BE"/>
        </w:rPr>
        <w:t xml:space="preserve">Šalims skirtos rekomendacijos. </w:t>
      </w:r>
      <w:r w:rsidRPr="002F602E">
        <w:rPr>
          <w:rFonts w:eastAsia="Times New Roman" w:cs="Times New Roman"/>
          <w:szCs w:val="24"/>
          <w:lang w:eastAsia="fr-BE"/>
        </w:rPr>
        <w:t>Taryba pažymi, kad nepaisant tam tikros pažangos įgyvendinant šalims skirtas rekomendacijas mes esame dar toli nuo pilno rekomendacijų įgyvendinimo. Pažymi, kad augant ekonominei rizikai labai svarbu kuo greičiau įgyvendinti reformas.</w:t>
      </w:r>
    </w:p>
    <w:p w:rsidR="00A51160" w:rsidRPr="002F602E" w:rsidRDefault="00420E11" w:rsidP="00A51160">
      <w:pPr>
        <w:spacing w:after="0" w:line="240" w:lineRule="auto"/>
        <w:contextualSpacing/>
        <w:jc w:val="both"/>
        <w:rPr>
          <w:rFonts w:cs="Times New Roman"/>
          <w:szCs w:val="24"/>
        </w:rPr>
      </w:pPr>
      <w:r w:rsidRPr="002F602E">
        <w:rPr>
          <w:rFonts w:cs="Times New Roman"/>
          <w:b/>
          <w:szCs w:val="24"/>
          <w:u w:val="single"/>
        </w:rPr>
        <w:t>Lietuvos pozicija.</w:t>
      </w:r>
      <w:r w:rsidRPr="002F602E">
        <w:rPr>
          <w:rFonts w:cs="Times New Roman"/>
          <w:b/>
          <w:szCs w:val="24"/>
        </w:rPr>
        <w:t xml:space="preserve"> </w:t>
      </w:r>
      <w:r w:rsidR="00A51160" w:rsidRPr="002F602E">
        <w:rPr>
          <w:rFonts w:cs="Times New Roman"/>
          <w:szCs w:val="24"/>
        </w:rPr>
        <w:t xml:space="preserve">Pritariame tarybos išvadų tekstui dėl nuodugnių apžvalgų bei šalims skirtų rekomendacijų. </w:t>
      </w:r>
    </w:p>
    <w:p w:rsidR="00561308" w:rsidRPr="002F602E" w:rsidRDefault="00561308" w:rsidP="008618AA">
      <w:pPr>
        <w:autoSpaceDE w:val="0"/>
        <w:autoSpaceDN w:val="0"/>
        <w:adjustRightInd w:val="0"/>
        <w:spacing w:after="0" w:line="240" w:lineRule="auto"/>
        <w:jc w:val="both"/>
        <w:rPr>
          <w:rFonts w:cs="Times New Roman"/>
          <w:b/>
          <w:szCs w:val="24"/>
          <w:u w:val="single"/>
        </w:rPr>
      </w:pPr>
    </w:p>
    <w:p w:rsidR="00A51160" w:rsidRPr="002F602E" w:rsidRDefault="00A51160" w:rsidP="008618AA">
      <w:pPr>
        <w:autoSpaceDE w:val="0"/>
        <w:autoSpaceDN w:val="0"/>
        <w:adjustRightInd w:val="0"/>
        <w:spacing w:after="0" w:line="240" w:lineRule="auto"/>
        <w:jc w:val="both"/>
        <w:rPr>
          <w:rFonts w:cs="Times New Roman"/>
          <w:b/>
          <w:szCs w:val="24"/>
          <w:u w:val="single"/>
        </w:rPr>
      </w:pPr>
    </w:p>
    <w:p w:rsidR="00A51160" w:rsidRPr="002F602E" w:rsidRDefault="00A51160" w:rsidP="00A5116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2F602E">
        <w:rPr>
          <w:rFonts w:cs="Times New Roman"/>
          <w:b/>
          <w:szCs w:val="24"/>
        </w:rPr>
        <w:t xml:space="preserve">Kito institucinio ciklo prioritetai ECOFIN srityje </w:t>
      </w:r>
      <w:r w:rsidRPr="002F602E">
        <w:rPr>
          <w:rFonts w:cs="Times New Roman"/>
          <w:szCs w:val="24"/>
        </w:rPr>
        <w:t>(</w:t>
      </w:r>
      <w:r w:rsidRPr="002F602E">
        <w:rPr>
          <w:rFonts w:cs="Times New Roman"/>
          <w:i/>
          <w:szCs w:val="24"/>
        </w:rPr>
        <w:t>Pirmininkaujančios šalies informacija)</w:t>
      </w:r>
    </w:p>
    <w:p w:rsidR="007D405D" w:rsidRPr="002F602E" w:rsidRDefault="007D405D" w:rsidP="007D405D">
      <w:pPr>
        <w:autoSpaceDE w:val="0"/>
        <w:autoSpaceDN w:val="0"/>
        <w:adjustRightInd w:val="0"/>
        <w:spacing w:after="0" w:line="240" w:lineRule="auto"/>
        <w:jc w:val="both"/>
        <w:rPr>
          <w:rFonts w:cs="Times New Roman"/>
          <w:b/>
          <w:szCs w:val="24"/>
          <w:u w:val="single"/>
        </w:rPr>
      </w:pPr>
    </w:p>
    <w:p w:rsidR="00A51160" w:rsidRPr="002F602E" w:rsidRDefault="007D405D" w:rsidP="00A51160">
      <w:pPr>
        <w:autoSpaceDE w:val="0"/>
        <w:autoSpaceDN w:val="0"/>
        <w:adjustRightInd w:val="0"/>
        <w:spacing w:after="0" w:line="240" w:lineRule="auto"/>
        <w:jc w:val="both"/>
        <w:rPr>
          <w:rFonts w:eastAsia="Times New Roman" w:cs="Times New Roman"/>
          <w:szCs w:val="24"/>
          <w:lang w:eastAsia="lt-LT"/>
        </w:rPr>
      </w:pPr>
      <w:r w:rsidRPr="002F602E">
        <w:rPr>
          <w:rFonts w:cs="Times New Roman"/>
          <w:b/>
          <w:szCs w:val="24"/>
          <w:u w:val="single"/>
        </w:rPr>
        <w:t>Klausimo esmė.</w:t>
      </w:r>
      <w:r w:rsidR="00A51160" w:rsidRPr="002F602E">
        <w:rPr>
          <w:rFonts w:cs="Times New Roman"/>
          <w:b/>
          <w:szCs w:val="24"/>
        </w:rPr>
        <w:t xml:space="preserve"> </w:t>
      </w:r>
      <w:r w:rsidR="00A51160" w:rsidRPr="005D6A77">
        <w:rPr>
          <w:rFonts w:cs="Times New Roman"/>
          <w:szCs w:val="24"/>
        </w:rPr>
        <w:t>Rumunija, kaip pirmininkaujanti šalis,</w:t>
      </w:r>
      <w:r w:rsidR="00A51160" w:rsidRPr="002F602E">
        <w:rPr>
          <w:rFonts w:cs="Times New Roman"/>
          <w:b/>
          <w:szCs w:val="24"/>
        </w:rPr>
        <w:t xml:space="preserve"> </w:t>
      </w:r>
      <w:r w:rsidR="005D6A77" w:rsidRPr="005D6A77">
        <w:rPr>
          <w:rFonts w:cs="Times New Roman"/>
          <w:szCs w:val="24"/>
        </w:rPr>
        <w:t>iniciavo diskusijas</w:t>
      </w:r>
      <w:r w:rsidR="00A51160" w:rsidRPr="005D6A77">
        <w:rPr>
          <w:rFonts w:cs="Times New Roman"/>
          <w:szCs w:val="24"/>
        </w:rPr>
        <w:t xml:space="preserve"> </w:t>
      </w:r>
      <w:r w:rsidR="00A51160" w:rsidRPr="002F602E">
        <w:rPr>
          <w:rFonts w:cs="Times New Roman"/>
          <w:szCs w:val="24"/>
        </w:rPr>
        <w:t xml:space="preserve">dėl Ekonomikos ir finansų ministrų (ECOFIN) </w:t>
      </w:r>
      <w:r w:rsidR="005D6A77">
        <w:rPr>
          <w:rFonts w:cs="Times New Roman"/>
          <w:szCs w:val="24"/>
        </w:rPr>
        <w:t xml:space="preserve">tarybos </w:t>
      </w:r>
      <w:r w:rsidR="00A51160" w:rsidRPr="002F602E">
        <w:rPr>
          <w:rFonts w:cs="Times New Roman"/>
          <w:szCs w:val="24"/>
        </w:rPr>
        <w:t>galimų prioritetinių temų ir veiklų kito institucinio ciklo laikui (po EP rinkimų 2019 m.) siekiant spręsti svarbiausius iššūkius:</w:t>
      </w:r>
    </w:p>
    <w:p w:rsidR="00A51160" w:rsidRPr="00DA485E" w:rsidRDefault="00A51160" w:rsidP="00A51160">
      <w:pPr>
        <w:pStyle w:val="Sraopastraipa"/>
        <w:widowControl w:val="0"/>
        <w:numPr>
          <w:ilvl w:val="0"/>
          <w:numId w:val="13"/>
        </w:numPr>
        <w:tabs>
          <w:tab w:val="left" w:pos="567"/>
        </w:tabs>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DA485E">
        <w:rPr>
          <w:rFonts w:ascii="Times New Roman" w:hAnsi="Times New Roman" w:cs="Times New Roman"/>
          <w:color w:val="000000" w:themeColor="text1"/>
          <w:sz w:val="24"/>
          <w:szCs w:val="24"/>
        </w:rPr>
        <w:t>Finansinėje srityje: bankų ir kapitalo rinkų sąjunga bei kova su pinigų plovimu.</w:t>
      </w:r>
    </w:p>
    <w:p w:rsidR="00A51160" w:rsidRPr="00DA485E" w:rsidRDefault="00A51160" w:rsidP="00A51160">
      <w:pPr>
        <w:pStyle w:val="Sraopastraipa"/>
        <w:widowControl w:val="0"/>
        <w:numPr>
          <w:ilvl w:val="0"/>
          <w:numId w:val="13"/>
        </w:numPr>
        <w:tabs>
          <w:tab w:val="left" w:pos="567"/>
        </w:tabs>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DA485E">
        <w:rPr>
          <w:rFonts w:ascii="Times New Roman" w:hAnsi="Times New Roman" w:cs="Times New Roman"/>
          <w:color w:val="000000" w:themeColor="text1"/>
          <w:sz w:val="24"/>
          <w:szCs w:val="24"/>
        </w:rPr>
        <w:t>Ekonominio koordinavimo ir valdysenos reformavimas: Stabilumo ir augimo paktas (</w:t>
      </w:r>
      <w:proofErr w:type="spellStart"/>
      <w:r w:rsidRPr="00DA485E">
        <w:rPr>
          <w:rFonts w:ascii="Times New Roman" w:hAnsi="Times New Roman" w:cs="Times New Roman"/>
          <w:i/>
          <w:color w:val="000000" w:themeColor="text1"/>
          <w:sz w:val="24"/>
          <w:szCs w:val="24"/>
        </w:rPr>
        <w:t>six-pack</w:t>
      </w:r>
      <w:proofErr w:type="spellEnd"/>
      <w:r w:rsidRPr="00DA485E">
        <w:rPr>
          <w:rFonts w:ascii="Times New Roman" w:hAnsi="Times New Roman" w:cs="Times New Roman"/>
          <w:color w:val="000000" w:themeColor="text1"/>
          <w:sz w:val="24"/>
          <w:szCs w:val="24"/>
        </w:rPr>
        <w:t xml:space="preserve"> ir </w:t>
      </w:r>
      <w:proofErr w:type="spellStart"/>
      <w:r w:rsidRPr="00DA485E">
        <w:rPr>
          <w:rFonts w:ascii="Times New Roman" w:hAnsi="Times New Roman" w:cs="Times New Roman"/>
          <w:i/>
          <w:color w:val="000000" w:themeColor="text1"/>
          <w:sz w:val="24"/>
          <w:szCs w:val="24"/>
        </w:rPr>
        <w:t>two-pack</w:t>
      </w:r>
      <w:r w:rsidRPr="00DA485E">
        <w:rPr>
          <w:rFonts w:ascii="Times New Roman" w:hAnsi="Times New Roman" w:cs="Times New Roman"/>
          <w:color w:val="000000" w:themeColor="text1"/>
          <w:sz w:val="24"/>
          <w:szCs w:val="24"/>
        </w:rPr>
        <w:t>),</w:t>
      </w:r>
      <w:proofErr w:type="spellEnd"/>
      <w:r w:rsidRPr="00DA485E">
        <w:rPr>
          <w:rFonts w:ascii="Times New Roman" w:hAnsi="Times New Roman" w:cs="Times New Roman"/>
          <w:color w:val="000000" w:themeColor="text1"/>
          <w:sz w:val="24"/>
          <w:szCs w:val="24"/>
        </w:rPr>
        <w:t xml:space="preserve"> struktūrinės reformos ir investicijos.</w:t>
      </w:r>
    </w:p>
    <w:p w:rsidR="00A51160" w:rsidRPr="00DA485E" w:rsidRDefault="00A51160" w:rsidP="00A51160">
      <w:pPr>
        <w:pStyle w:val="Sraopastraipa"/>
        <w:widowControl w:val="0"/>
        <w:numPr>
          <w:ilvl w:val="0"/>
          <w:numId w:val="13"/>
        </w:numPr>
        <w:tabs>
          <w:tab w:val="left" w:pos="567"/>
        </w:tabs>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DA485E">
        <w:rPr>
          <w:rFonts w:ascii="Times New Roman" w:hAnsi="Times New Roman" w:cs="Times New Roman"/>
          <w:color w:val="000000" w:themeColor="text1"/>
          <w:sz w:val="24"/>
          <w:szCs w:val="24"/>
        </w:rPr>
        <w:t>Ekonominis, socialinis ir aplinkos tvarumas.</w:t>
      </w:r>
    </w:p>
    <w:p w:rsidR="00DA485E" w:rsidRPr="00DA485E" w:rsidRDefault="00DA485E" w:rsidP="00A51160">
      <w:pPr>
        <w:pStyle w:val="Sraopastraipa"/>
        <w:widowControl w:val="0"/>
        <w:numPr>
          <w:ilvl w:val="0"/>
          <w:numId w:val="13"/>
        </w:numPr>
        <w:tabs>
          <w:tab w:val="left" w:pos="567"/>
        </w:tabs>
        <w:suppressAutoHyphens/>
        <w:autoSpaceDN w:val="0"/>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Mokesčių srityje: s</w:t>
      </w:r>
      <w:r w:rsidRPr="00DA485E">
        <w:rPr>
          <w:rFonts w:ascii="Times New Roman" w:hAnsi="Times New Roman" w:cs="Times New Roman"/>
          <w:color w:val="000000" w:themeColor="text1"/>
          <w:sz w:val="24"/>
          <w:szCs w:val="24"/>
        </w:rPr>
        <w:t>kaitmeninių paslaugų apmokestinimas, agresyvus mokesčių planavimas, aplinkosauginiai mokesčiai, Finansinių sandorių mokestis ir kt.</w:t>
      </w:r>
    </w:p>
    <w:p w:rsidR="00A51160" w:rsidRPr="00DA485E" w:rsidRDefault="00DA485E" w:rsidP="00A51160">
      <w:pPr>
        <w:widowControl w:val="0"/>
        <w:tabs>
          <w:tab w:val="left" w:pos="567"/>
        </w:tabs>
        <w:suppressAutoHyphens/>
        <w:autoSpaceDN w:val="0"/>
        <w:spacing w:after="0" w:line="240" w:lineRule="auto"/>
        <w:contextualSpacing/>
        <w:jc w:val="both"/>
        <w:textAlignment w:val="baseline"/>
        <w:rPr>
          <w:rFonts w:cs="Times New Roman"/>
          <w:szCs w:val="24"/>
        </w:rPr>
      </w:pPr>
      <w:r>
        <w:rPr>
          <w:rFonts w:cs="Times New Roman"/>
          <w:szCs w:val="24"/>
        </w:rPr>
        <w:t>Taip pat šie iššūkiai buvo aptarti n</w:t>
      </w:r>
      <w:r w:rsidR="005D6A77" w:rsidRPr="00DA485E">
        <w:rPr>
          <w:rFonts w:cs="Times New Roman"/>
          <w:szCs w:val="24"/>
        </w:rPr>
        <w:t xml:space="preserve">eformalaus </w:t>
      </w:r>
      <w:r w:rsidR="00A51160" w:rsidRPr="00DA485E">
        <w:rPr>
          <w:rFonts w:cs="Times New Roman"/>
          <w:szCs w:val="24"/>
        </w:rPr>
        <w:t xml:space="preserve">ECOFIN </w:t>
      </w:r>
      <w:r>
        <w:rPr>
          <w:rFonts w:cs="Times New Roman"/>
          <w:szCs w:val="24"/>
        </w:rPr>
        <w:t>metu</w:t>
      </w:r>
      <w:r w:rsidRPr="00DA485E">
        <w:rPr>
          <w:rFonts w:cs="Times New Roman"/>
          <w:szCs w:val="24"/>
        </w:rPr>
        <w:t xml:space="preserve"> </w:t>
      </w:r>
      <w:r w:rsidRPr="00DA485E">
        <w:rPr>
          <w:rFonts w:cs="Times New Roman"/>
          <w:szCs w:val="24"/>
        </w:rPr>
        <w:t>balandžio 5 d.</w:t>
      </w:r>
    </w:p>
    <w:p w:rsidR="00A51160" w:rsidRPr="002F602E" w:rsidRDefault="00A51160" w:rsidP="00A51160">
      <w:pPr>
        <w:spacing w:after="0" w:line="240" w:lineRule="auto"/>
        <w:contextualSpacing/>
        <w:jc w:val="both"/>
        <w:rPr>
          <w:rFonts w:cs="Times New Roman"/>
          <w:szCs w:val="24"/>
        </w:rPr>
      </w:pPr>
      <w:r w:rsidRPr="002F602E">
        <w:rPr>
          <w:rFonts w:eastAsia="Times New Roman" w:cs="Times New Roman"/>
          <w:b/>
          <w:szCs w:val="24"/>
          <w:u w:val="single"/>
          <w:lang w:eastAsia="fr-BE"/>
        </w:rPr>
        <w:t>Lietuvos pozicija.</w:t>
      </w:r>
      <w:r w:rsidRPr="002F602E">
        <w:rPr>
          <w:rFonts w:eastAsia="Times New Roman" w:cs="Times New Roman"/>
          <w:szCs w:val="24"/>
          <w:lang w:eastAsia="fr-BE"/>
        </w:rPr>
        <w:t xml:space="preserve"> </w:t>
      </w:r>
      <w:r w:rsidRPr="002F602E">
        <w:rPr>
          <w:rFonts w:cs="Times New Roman"/>
          <w:szCs w:val="24"/>
        </w:rPr>
        <w:t xml:space="preserve">Pritariame Bankų sąjungos ir Kapitalų rinkų sąjungos užbaigimui. Sutinkame, kad </w:t>
      </w:r>
      <w:r w:rsidR="007B5B45">
        <w:rPr>
          <w:rFonts w:cs="Times New Roman"/>
          <w:szCs w:val="24"/>
        </w:rPr>
        <w:t xml:space="preserve">didelis dėmesys turi būti skiriamas kovai su mokesčių vengimu. </w:t>
      </w:r>
      <w:r w:rsidRPr="002F602E">
        <w:rPr>
          <w:rFonts w:cs="Times New Roman"/>
          <w:szCs w:val="24"/>
        </w:rPr>
        <w:t>Pasisakome už griežtą Stabilumo ir augimo pakto taisyklių laikymąsi.</w:t>
      </w:r>
    </w:p>
    <w:p w:rsidR="00815894" w:rsidRPr="002F602E" w:rsidRDefault="00815894" w:rsidP="001517F4">
      <w:pPr>
        <w:spacing w:after="0" w:line="240" w:lineRule="auto"/>
        <w:jc w:val="center"/>
        <w:rPr>
          <w:rFonts w:eastAsia="Calibri" w:cs="Times New Roman"/>
          <w:b/>
          <w:szCs w:val="24"/>
        </w:rPr>
      </w:pPr>
    </w:p>
    <w:p w:rsidR="006D0DD1" w:rsidRPr="002F602E" w:rsidRDefault="006D0DD1">
      <w:pPr>
        <w:rPr>
          <w:rFonts w:eastAsia="Calibri" w:cs="Times New Roman"/>
          <w:b/>
          <w:szCs w:val="24"/>
        </w:rPr>
      </w:pPr>
      <w:r w:rsidRPr="002F602E">
        <w:rPr>
          <w:rFonts w:eastAsia="Calibri" w:cs="Times New Roman"/>
          <w:b/>
          <w:color w:val="FF0000"/>
          <w:szCs w:val="24"/>
        </w:rPr>
        <w:br w:type="page"/>
      </w:r>
    </w:p>
    <w:p w:rsidR="00283951" w:rsidRPr="002F602E" w:rsidRDefault="00283951" w:rsidP="00283951">
      <w:pPr>
        <w:spacing w:after="0" w:line="240" w:lineRule="auto"/>
        <w:jc w:val="center"/>
        <w:rPr>
          <w:rFonts w:eastAsia="Calibri" w:cs="Times New Roman"/>
          <w:b/>
          <w:sz w:val="26"/>
          <w:szCs w:val="26"/>
        </w:rPr>
      </w:pPr>
      <w:r w:rsidRPr="002F602E">
        <w:rPr>
          <w:rFonts w:eastAsia="Calibri" w:cs="Times New Roman"/>
          <w:b/>
          <w:sz w:val="26"/>
          <w:szCs w:val="26"/>
        </w:rPr>
        <w:lastRenderedPageBreak/>
        <w:t xml:space="preserve">PAŽYMA dėl š.m. </w:t>
      </w:r>
      <w:r w:rsidR="00C81C48" w:rsidRPr="002F602E">
        <w:rPr>
          <w:rFonts w:eastAsia="Calibri" w:cs="Times New Roman"/>
          <w:b/>
          <w:sz w:val="26"/>
          <w:szCs w:val="26"/>
        </w:rPr>
        <w:t>gegužės</w:t>
      </w:r>
      <w:r w:rsidR="00166524" w:rsidRPr="002F602E">
        <w:rPr>
          <w:rFonts w:eastAsia="Calibri" w:cs="Times New Roman"/>
          <w:b/>
          <w:sz w:val="26"/>
          <w:szCs w:val="26"/>
        </w:rPr>
        <w:t xml:space="preserve"> 1</w:t>
      </w:r>
      <w:r w:rsidR="00C81C48" w:rsidRPr="002F602E">
        <w:rPr>
          <w:rFonts w:eastAsia="Calibri" w:cs="Times New Roman"/>
          <w:b/>
          <w:sz w:val="26"/>
          <w:szCs w:val="26"/>
        </w:rPr>
        <w:t>6</w:t>
      </w:r>
      <w:r w:rsidRPr="002F602E">
        <w:rPr>
          <w:rFonts w:eastAsia="Calibri" w:cs="Times New Roman"/>
          <w:b/>
          <w:sz w:val="26"/>
          <w:szCs w:val="26"/>
        </w:rPr>
        <w:t xml:space="preserve"> d. EURO GRUPĖS klausimų</w:t>
      </w:r>
    </w:p>
    <w:p w:rsidR="00283951" w:rsidRPr="002F602E" w:rsidRDefault="00283951" w:rsidP="00283951">
      <w:pPr>
        <w:tabs>
          <w:tab w:val="left" w:pos="709"/>
        </w:tabs>
        <w:autoSpaceDE w:val="0"/>
        <w:autoSpaceDN w:val="0"/>
        <w:adjustRightInd w:val="0"/>
        <w:spacing w:after="0" w:line="240" w:lineRule="auto"/>
        <w:jc w:val="both"/>
        <w:rPr>
          <w:rFonts w:cs="Times New Roman"/>
          <w:szCs w:val="24"/>
        </w:rPr>
      </w:pPr>
    </w:p>
    <w:p w:rsidR="00114A4B" w:rsidRPr="002F602E" w:rsidRDefault="00114A4B" w:rsidP="00283951">
      <w:pPr>
        <w:tabs>
          <w:tab w:val="left" w:pos="709"/>
        </w:tabs>
        <w:autoSpaceDE w:val="0"/>
        <w:autoSpaceDN w:val="0"/>
        <w:adjustRightInd w:val="0"/>
        <w:spacing w:after="0" w:line="240" w:lineRule="auto"/>
        <w:jc w:val="both"/>
        <w:rPr>
          <w:rFonts w:cs="Times New Roman"/>
          <w:szCs w:val="24"/>
        </w:rPr>
      </w:pPr>
    </w:p>
    <w:p w:rsidR="00166524" w:rsidRPr="002F602E" w:rsidRDefault="00C81C48" w:rsidP="00166524">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Cs/>
          <w:szCs w:val="24"/>
        </w:rPr>
      </w:pPr>
      <w:r w:rsidRPr="002F602E">
        <w:rPr>
          <w:rFonts w:cs="Times New Roman"/>
          <w:b/>
          <w:szCs w:val="24"/>
        </w:rPr>
        <w:t>Ekonominė padėtis ir politikos iššūkiai</w:t>
      </w:r>
    </w:p>
    <w:p w:rsidR="00C81C48" w:rsidRPr="002F602E" w:rsidRDefault="00C81C48" w:rsidP="00166524">
      <w:pPr>
        <w:autoSpaceDE w:val="0"/>
        <w:autoSpaceDN w:val="0"/>
        <w:adjustRightInd w:val="0"/>
        <w:spacing w:after="0" w:line="240" w:lineRule="auto"/>
        <w:jc w:val="both"/>
        <w:rPr>
          <w:rFonts w:eastAsia="Calibri" w:cs="Times New Roman"/>
          <w:b/>
          <w:szCs w:val="24"/>
          <w:u w:val="single"/>
        </w:rPr>
      </w:pPr>
    </w:p>
    <w:p w:rsidR="00C81C48" w:rsidRPr="002F602E" w:rsidRDefault="00166524" w:rsidP="00C81C48">
      <w:pPr>
        <w:spacing w:after="0" w:line="240" w:lineRule="auto"/>
        <w:contextualSpacing/>
        <w:jc w:val="both"/>
        <w:rPr>
          <w:rFonts w:cs="Times New Roman"/>
          <w:szCs w:val="24"/>
        </w:rPr>
      </w:pPr>
      <w:r w:rsidRPr="002F602E">
        <w:rPr>
          <w:rFonts w:eastAsia="Calibri" w:cs="Times New Roman"/>
          <w:b/>
          <w:szCs w:val="24"/>
          <w:u w:val="single"/>
        </w:rPr>
        <w:t>Klausimo esmė.</w:t>
      </w:r>
      <w:r w:rsidRPr="002F602E">
        <w:rPr>
          <w:rFonts w:eastAsia="Calibri" w:cs="Times New Roman"/>
          <w:szCs w:val="24"/>
        </w:rPr>
        <w:t xml:space="preserve"> </w:t>
      </w:r>
      <w:r w:rsidR="007B5B45">
        <w:rPr>
          <w:rFonts w:eastAsia="Calibri" w:cs="Times New Roman"/>
          <w:szCs w:val="24"/>
        </w:rPr>
        <w:t xml:space="preserve">Remiantis pateiktu EK dokumentu, </w:t>
      </w:r>
      <w:r w:rsidR="00C81C48" w:rsidRPr="002F602E">
        <w:rPr>
          <w:rFonts w:cs="Times New Roman"/>
          <w:szCs w:val="24"/>
        </w:rPr>
        <w:t>Euro zonos (EZ) augimas pasiekė</w:t>
      </w:r>
      <w:r w:rsidR="007B5B45">
        <w:rPr>
          <w:rFonts w:cs="Times New Roman"/>
          <w:szCs w:val="24"/>
        </w:rPr>
        <w:t xml:space="preserve"> savo viršūnę 2017 m., o 2019 metų</w:t>
      </w:r>
      <w:r w:rsidR="00C81C48" w:rsidRPr="002F602E">
        <w:rPr>
          <w:rFonts w:cs="Times New Roman"/>
          <w:szCs w:val="24"/>
        </w:rPr>
        <w:t xml:space="preserve"> augimo prognozės buvo ne kartą sumažintos. Nepaisant to, kad vartojimas ir užimtumas išlieka teigiami, po 2018 m. antro ketvirčio, gamyba ir eksportas ženkliai sumažėjo, daugiausiai dėl tarptautinės prekybos. Pinigų politika išlieka šiek tiek ekspansyvi. Rekomendacijų įgyvendinimas toliau lėtėja, kartais teigiamos reformos net atšaukiamos.</w:t>
      </w:r>
    </w:p>
    <w:p w:rsidR="00C81C48" w:rsidRPr="002F602E" w:rsidRDefault="007B5B45" w:rsidP="00C81C48">
      <w:pPr>
        <w:widowControl w:val="0"/>
        <w:tabs>
          <w:tab w:val="left" w:pos="567"/>
        </w:tabs>
        <w:suppressAutoHyphens/>
        <w:autoSpaceDN w:val="0"/>
        <w:spacing w:after="0" w:line="240" w:lineRule="auto"/>
        <w:contextualSpacing/>
        <w:jc w:val="both"/>
        <w:textAlignment w:val="baseline"/>
        <w:rPr>
          <w:rFonts w:cs="Times New Roman"/>
          <w:szCs w:val="24"/>
        </w:rPr>
      </w:pPr>
      <w:r>
        <w:rPr>
          <w:rFonts w:cs="Times New Roman"/>
          <w:szCs w:val="24"/>
        </w:rPr>
        <w:t>Pasak Komisijos</w:t>
      </w:r>
      <w:r w:rsidR="00C81C48" w:rsidRPr="002F602E">
        <w:rPr>
          <w:rFonts w:cs="Times New Roman"/>
          <w:szCs w:val="24"/>
        </w:rPr>
        <w:t xml:space="preserve"> esamu momentu turi būti išlaikyta skatinamoji politika, tuo tarpu valstybės su didelėmis viešosiomis skolomis turi jas stabilizuoti ir sumažinti vidutiniame laikotarpyje. Ten kur yra fiskalinės erdvės, ji turi būti išnaudota materialioms ir nematerialioms investicijoms. Makroekonominę politiką papildytų struktūrinės reformos ir dėmesys viešųjų finansų kokybei. Svarbu nepamiršti ir EMU gilinimo: stabilizacijos funkcijos, EZ biudžeto, bankų ir kapitalo rinkų sąjungų užbaigimo.</w:t>
      </w:r>
    </w:p>
    <w:p w:rsidR="00C81C48" w:rsidRPr="002F602E" w:rsidRDefault="00166524" w:rsidP="00C81C48">
      <w:pPr>
        <w:spacing w:after="0" w:line="240" w:lineRule="auto"/>
        <w:contextualSpacing/>
        <w:jc w:val="both"/>
        <w:rPr>
          <w:rFonts w:cs="Times New Roman"/>
          <w:szCs w:val="24"/>
        </w:rPr>
      </w:pPr>
      <w:r w:rsidRPr="002F602E">
        <w:rPr>
          <w:rFonts w:cs="Times New Roman"/>
          <w:b/>
          <w:szCs w:val="24"/>
          <w:u w:val="single"/>
        </w:rPr>
        <w:t>Lietuvos pozicija.</w:t>
      </w:r>
      <w:r w:rsidRPr="002F602E">
        <w:rPr>
          <w:rFonts w:cs="Times New Roman"/>
          <w:b/>
          <w:szCs w:val="24"/>
        </w:rPr>
        <w:t xml:space="preserve"> </w:t>
      </w:r>
      <w:r w:rsidR="00C81C48" w:rsidRPr="002F602E">
        <w:rPr>
          <w:rFonts w:cs="Times New Roman"/>
          <w:szCs w:val="24"/>
        </w:rPr>
        <w:t>Pasisakome už griežtą Stabilumo ir augimo pakto reikalavimų laikymąsi. Pritariame, kad reikia sparčiau artėti prie bankų ir kapitalo rinkų sąjungų užbaigimo. Skeptiškai vertiname stabilizavimo funkcijos ir EZ biudžeto pasiūlymus.</w:t>
      </w:r>
    </w:p>
    <w:p w:rsidR="00166524" w:rsidRPr="002F602E" w:rsidRDefault="00166524" w:rsidP="00166524">
      <w:pPr>
        <w:autoSpaceDE w:val="0"/>
        <w:autoSpaceDN w:val="0"/>
        <w:adjustRightInd w:val="0"/>
        <w:spacing w:after="0" w:line="240" w:lineRule="auto"/>
        <w:jc w:val="both"/>
        <w:rPr>
          <w:rFonts w:cs="Times New Roman"/>
          <w:szCs w:val="24"/>
        </w:rPr>
      </w:pPr>
    </w:p>
    <w:p w:rsidR="00C81C48" w:rsidRPr="002F602E" w:rsidRDefault="00C81C48" w:rsidP="00166524">
      <w:pPr>
        <w:autoSpaceDE w:val="0"/>
        <w:autoSpaceDN w:val="0"/>
        <w:adjustRightInd w:val="0"/>
        <w:spacing w:after="0" w:line="240" w:lineRule="auto"/>
        <w:jc w:val="both"/>
        <w:rPr>
          <w:rFonts w:cs="Times New Roman"/>
          <w:szCs w:val="24"/>
        </w:rPr>
      </w:pPr>
    </w:p>
    <w:p w:rsidR="00C81C48" w:rsidRPr="002F602E" w:rsidRDefault="00C81C48" w:rsidP="00C81C48">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Cs/>
          <w:szCs w:val="24"/>
        </w:rPr>
      </w:pPr>
      <w:r w:rsidRPr="002F602E">
        <w:rPr>
          <w:rFonts w:cs="Times New Roman"/>
          <w:b/>
          <w:szCs w:val="24"/>
        </w:rPr>
        <w:t>ES biudžetinio instrumento konvergencijai ir konkurencingumui pajamų dalis ir visų instrumento aspektų apžvalga</w:t>
      </w:r>
    </w:p>
    <w:p w:rsidR="00166524" w:rsidRPr="002F602E" w:rsidRDefault="00166524" w:rsidP="00166524">
      <w:pPr>
        <w:spacing w:after="0" w:line="240" w:lineRule="auto"/>
        <w:jc w:val="both"/>
        <w:rPr>
          <w:rFonts w:cs="Times New Roman"/>
          <w:szCs w:val="24"/>
          <w:lang w:eastAsia="lt-LT" w:bidi="lt-LT"/>
        </w:rPr>
      </w:pPr>
    </w:p>
    <w:p w:rsidR="00C81C48" w:rsidRPr="002F602E" w:rsidRDefault="00C81C48" w:rsidP="00C81C48">
      <w:pPr>
        <w:pStyle w:val="Default"/>
        <w:jc w:val="both"/>
        <w:rPr>
          <w:b/>
        </w:rPr>
      </w:pPr>
      <w:r w:rsidRPr="002F602E">
        <w:rPr>
          <w:b/>
          <w:color w:val="auto"/>
        </w:rPr>
        <w:t xml:space="preserve">Klausimo esmė. </w:t>
      </w:r>
      <w:r w:rsidRPr="002F602E">
        <w:t>2018 m. gruodžio 14 d. Euro zonos aukščiausio lygio vadovų susitikime (</w:t>
      </w:r>
      <w:proofErr w:type="spellStart"/>
      <w:r w:rsidRPr="002F602E">
        <w:t>Eurosummit</w:t>
      </w:r>
      <w:proofErr w:type="spellEnd"/>
      <w:r w:rsidRPr="002F602E">
        <w:t xml:space="preserve">) pasiektas politinis sutarimas dėl konkrečių veiksmų ekonominei ir pinigų sąjungai (EPS) sustiprinti. Vadovai taip pat įgaliojo Euro grupę (toliau – EG) </w:t>
      </w:r>
      <w:r w:rsidRPr="002F602E">
        <w:rPr>
          <w:rStyle w:val="Grietas"/>
          <w:b w:val="0"/>
        </w:rPr>
        <w:t>toliau dirbti, rengiant</w:t>
      </w:r>
      <w:r w:rsidRPr="002F602E">
        <w:t xml:space="preserve"> konvergencijos ir konkurencingumo </w:t>
      </w:r>
      <w:r w:rsidRPr="002F602E">
        <w:rPr>
          <w:rStyle w:val="Grietas"/>
          <w:b w:val="0"/>
        </w:rPr>
        <w:t>biudžeto priemonę (toliau – biudžeto priemonė)</w:t>
      </w:r>
      <w:r w:rsidRPr="002F602E">
        <w:t>, skirtą Euro zonai, ES daugiametės finansinės programos (toliau – ES DFP) kontekste:</w:t>
      </w:r>
    </w:p>
    <w:p w:rsidR="00C81C48" w:rsidRPr="002F602E" w:rsidRDefault="00C81C48" w:rsidP="00C81C48">
      <w:pPr>
        <w:pStyle w:val="Default"/>
        <w:jc w:val="both"/>
        <w:rPr>
          <w:i/>
          <w:color w:val="auto"/>
        </w:rPr>
      </w:pPr>
      <w:r w:rsidRPr="002F602E">
        <w:rPr>
          <w:i/>
          <w:color w:val="auto"/>
        </w:rPr>
        <w:t>,,</w:t>
      </w:r>
      <w:proofErr w:type="spellStart"/>
      <w:r w:rsidRPr="002F602E">
        <w:rPr>
          <w:i/>
          <w:color w:val="auto"/>
        </w:rPr>
        <w:t>In</w:t>
      </w:r>
      <w:proofErr w:type="spellEnd"/>
      <w:r w:rsidRPr="002F602E">
        <w:rPr>
          <w:i/>
          <w:color w:val="auto"/>
        </w:rPr>
        <w:t xml:space="preserve"> </w:t>
      </w:r>
      <w:proofErr w:type="spellStart"/>
      <w:r w:rsidRPr="002F602E">
        <w:rPr>
          <w:i/>
          <w:color w:val="auto"/>
        </w:rPr>
        <w:t>the</w:t>
      </w:r>
      <w:proofErr w:type="spellEnd"/>
      <w:r w:rsidRPr="002F602E">
        <w:rPr>
          <w:i/>
          <w:color w:val="auto"/>
        </w:rPr>
        <w:t xml:space="preserve"> </w:t>
      </w:r>
      <w:proofErr w:type="spellStart"/>
      <w:r w:rsidRPr="002F602E">
        <w:rPr>
          <w:i/>
          <w:color w:val="auto"/>
        </w:rPr>
        <w:t>context</w:t>
      </w:r>
      <w:proofErr w:type="spellEnd"/>
      <w:r w:rsidRPr="002F602E">
        <w:rPr>
          <w:i/>
          <w:color w:val="auto"/>
        </w:rPr>
        <w:t xml:space="preserve"> </w:t>
      </w:r>
      <w:proofErr w:type="spellStart"/>
      <w:r w:rsidRPr="002F602E">
        <w:rPr>
          <w:i/>
          <w:color w:val="auto"/>
        </w:rPr>
        <w:t>of</w:t>
      </w:r>
      <w:proofErr w:type="spellEnd"/>
      <w:r w:rsidRPr="002F602E">
        <w:rPr>
          <w:i/>
          <w:color w:val="auto"/>
        </w:rPr>
        <w:t xml:space="preserve"> </w:t>
      </w:r>
      <w:proofErr w:type="spellStart"/>
      <w:r w:rsidRPr="002F602E">
        <w:rPr>
          <w:i/>
          <w:color w:val="auto"/>
        </w:rPr>
        <w:t>the</w:t>
      </w:r>
      <w:proofErr w:type="spellEnd"/>
      <w:r w:rsidRPr="002F602E">
        <w:rPr>
          <w:i/>
          <w:color w:val="auto"/>
        </w:rPr>
        <w:t xml:space="preserve"> </w:t>
      </w:r>
      <w:proofErr w:type="spellStart"/>
      <w:r w:rsidRPr="002F602E">
        <w:rPr>
          <w:i/>
          <w:color w:val="auto"/>
        </w:rPr>
        <w:t>Multiannual</w:t>
      </w:r>
      <w:proofErr w:type="spellEnd"/>
      <w:r w:rsidRPr="002F602E">
        <w:rPr>
          <w:i/>
          <w:color w:val="auto"/>
        </w:rPr>
        <w:t xml:space="preserve"> </w:t>
      </w:r>
      <w:proofErr w:type="spellStart"/>
      <w:r w:rsidRPr="002F602E">
        <w:rPr>
          <w:i/>
          <w:color w:val="auto"/>
        </w:rPr>
        <w:t>Financial</w:t>
      </w:r>
      <w:proofErr w:type="spellEnd"/>
      <w:r w:rsidRPr="002F602E">
        <w:rPr>
          <w:i/>
          <w:color w:val="auto"/>
        </w:rPr>
        <w:t xml:space="preserve"> </w:t>
      </w:r>
      <w:proofErr w:type="spellStart"/>
      <w:r w:rsidRPr="002F602E">
        <w:rPr>
          <w:i/>
          <w:color w:val="auto"/>
        </w:rPr>
        <w:t>Framework</w:t>
      </w:r>
      <w:proofErr w:type="spellEnd"/>
      <w:r w:rsidRPr="002F602E">
        <w:rPr>
          <w:i/>
          <w:color w:val="auto"/>
        </w:rPr>
        <w:t xml:space="preserve"> (MFF), </w:t>
      </w:r>
      <w:proofErr w:type="spellStart"/>
      <w:r w:rsidRPr="002F602E">
        <w:rPr>
          <w:i/>
          <w:color w:val="auto"/>
        </w:rPr>
        <w:t>we</w:t>
      </w:r>
      <w:proofErr w:type="spellEnd"/>
      <w:r w:rsidRPr="002F602E">
        <w:rPr>
          <w:i/>
          <w:color w:val="auto"/>
        </w:rPr>
        <w:t xml:space="preserve"> mandate </w:t>
      </w:r>
      <w:proofErr w:type="spellStart"/>
      <w:r w:rsidRPr="002F602E">
        <w:rPr>
          <w:i/>
          <w:color w:val="auto"/>
        </w:rPr>
        <w:t>the</w:t>
      </w:r>
      <w:proofErr w:type="spellEnd"/>
      <w:r w:rsidRPr="002F602E">
        <w:rPr>
          <w:i/>
          <w:color w:val="auto"/>
        </w:rPr>
        <w:t xml:space="preserve"> </w:t>
      </w:r>
      <w:proofErr w:type="spellStart"/>
      <w:r w:rsidRPr="002F602E">
        <w:rPr>
          <w:i/>
          <w:color w:val="auto"/>
        </w:rPr>
        <w:t>Eurogroup</w:t>
      </w:r>
      <w:proofErr w:type="spellEnd"/>
      <w:r w:rsidRPr="002F602E">
        <w:rPr>
          <w:i/>
          <w:color w:val="auto"/>
        </w:rPr>
        <w:t xml:space="preserve"> to </w:t>
      </w:r>
      <w:proofErr w:type="spellStart"/>
      <w:r w:rsidRPr="002F602E">
        <w:rPr>
          <w:i/>
          <w:color w:val="auto"/>
        </w:rPr>
        <w:t>work</w:t>
      </w:r>
      <w:proofErr w:type="spellEnd"/>
      <w:r w:rsidRPr="002F602E">
        <w:rPr>
          <w:i/>
          <w:color w:val="auto"/>
        </w:rPr>
        <w:t xml:space="preserve"> </w:t>
      </w:r>
      <w:proofErr w:type="spellStart"/>
      <w:r w:rsidRPr="002F602E">
        <w:rPr>
          <w:i/>
          <w:color w:val="auto"/>
        </w:rPr>
        <w:t>on</w:t>
      </w:r>
      <w:proofErr w:type="spellEnd"/>
      <w:r w:rsidRPr="002F602E">
        <w:rPr>
          <w:i/>
          <w:color w:val="auto"/>
        </w:rPr>
        <w:t xml:space="preserve"> </w:t>
      </w:r>
      <w:proofErr w:type="spellStart"/>
      <w:r w:rsidRPr="002F602E">
        <w:rPr>
          <w:i/>
          <w:color w:val="auto"/>
        </w:rPr>
        <w:t>the</w:t>
      </w:r>
      <w:proofErr w:type="spellEnd"/>
      <w:r w:rsidRPr="002F602E">
        <w:rPr>
          <w:i/>
          <w:color w:val="auto"/>
        </w:rPr>
        <w:t xml:space="preserve"> </w:t>
      </w:r>
      <w:proofErr w:type="spellStart"/>
      <w:r w:rsidRPr="002F602E">
        <w:rPr>
          <w:i/>
          <w:color w:val="auto"/>
        </w:rPr>
        <w:t>design</w:t>
      </w:r>
      <w:proofErr w:type="spellEnd"/>
      <w:r w:rsidRPr="002F602E">
        <w:rPr>
          <w:i/>
          <w:color w:val="auto"/>
        </w:rPr>
        <w:t xml:space="preserve">, </w:t>
      </w:r>
      <w:proofErr w:type="spellStart"/>
      <w:r w:rsidRPr="002F602E">
        <w:rPr>
          <w:i/>
          <w:color w:val="auto"/>
        </w:rPr>
        <w:t>modalities</w:t>
      </w:r>
      <w:proofErr w:type="spellEnd"/>
      <w:r w:rsidRPr="002F602E">
        <w:rPr>
          <w:i/>
          <w:color w:val="auto"/>
        </w:rPr>
        <w:t xml:space="preserve"> </w:t>
      </w:r>
      <w:proofErr w:type="spellStart"/>
      <w:r w:rsidRPr="002F602E">
        <w:rPr>
          <w:i/>
          <w:color w:val="auto"/>
        </w:rPr>
        <w:t>of</w:t>
      </w:r>
      <w:proofErr w:type="spellEnd"/>
      <w:r w:rsidRPr="002F602E">
        <w:rPr>
          <w:i/>
          <w:color w:val="auto"/>
        </w:rPr>
        <w:t xml:space="preserve"> </w:t>
      </w:r>
      <w:proofErr w:type="spellStart"/>
      <w:r w:rsidRPr="002F602E">
        <w:rPr>
          <w:i/>
          <w:color w:val="auto"/>
        </w:rPr>
        <w:t>implementation</w:t>
      </w:r>
      <w:proofErr w:type="spellEnd"/>
      <w:r w:rsidRPr="002F602E">
        <w:rPr>
          <w:i/>
          <w:color w:val="auto"/>
        </w:rPr>
        <w:t xml:space="preserve"> </w:t>
      </w:r>
      <w:proofErr w:type="spellStart"/>
      <w:r w:rsidRPr="002F602E">
        <w:rPr>
          <w:i/>
          <w:color w:val="auto"/>
        </w:rPr>
        <w:t>and</w:t>
      </w:r>
      <w:proofErr w:type="spellEnd"/>
      <w:r w:rsidRPr="002F602E">
        <w:rPr>
          <w:i/>
          <w:color w:val="auto"/>
        </w:rPr>
        <w:t xml:space="preserve"> </w:t>
      </w:r>
      <w:proofErr w:type="spellStart"/>
      <w:r w:rsidRPr="002F602E">
        <w:rPr>
          <w:i/>
          <w:color w:val="auto"/>
        </w:rPr>
        <w:t>timing</w:t>
      </w:r>
      <w:proofErr w:type="spellEnd"/>
      <w:r w:rsidRPr="002F602E">
        <w:rPr>
          <w:i/>
          <w:color w:val="auto"/>
        </w:rPr>
        <w:t xml:space="preserve"> </w:t>
      </w:r>
      <w:proofErr w:type="spellStart"/>
      <w:r w:rsidRPr="002F602E">
        <w:rPr>
          <w:i/>
          <w:color w:val="auto"/>
        </w:rPr>
        <w:t>of</w:t>
      </w:r>
      <w:proofErr w:type="spellEnd"/>
      <w:r w:rsidRPr="002F602E">
        <w:rPr>
          <w:i/>
          <w:color w:val="auto"/>
        </w:rPr>
        <w:t xml:space="preserve"> a </w:t>
      </w:r>
      <w:proofErr w:type="spellStart"/>
      <w:r w:rsidRPr="002F602E">
        <w:rPr>
          <w:i/>
          <w:color w:val="auto"/>
        </w:rPr>
        <w:t>budgetary</w:t>
      </w:r>
      <w:proofErr w:type="spellEnd"/>
      <w:r w:rsidRPr="002F602E">
        <w:rPr>
          <w:i/>
          <w:color w:val="auto"/>
        </w:rPr>
        <w:t xml:space="preserve"> </w:t>
      </w:r>
      <w:proofErr w:type="spellStart"/>
      <w:r w:rsidRPr="002F602E">
        <w:rPr>
          <w:i/>
          <w:color w:val="auto"/>
        </w:rPr>
        <w:t>instrument</w:t>
      </w:r>
      <w:proofErr w:type="spellEnd"/>
      <w:r w:rsidRPr="002F602E">
        <w:rPr>
          <w:i/>
          <w:color w:val="auto"/>
        </w:rPr>
        <w:t xml:space="preserve"> </w:t>
      </w:r>
      <w:proofErr w:type="spellStart"/>
      <w:r w:rsidRPr="002F602E">
        <w:rPr>
          <w:i/>
          <w:color w:val="auto"/>
        </w:rPr>
        <w:t>for</w:t>
      </w:r>
      <w:proofErr w:type="spellEnd"/>
      <w:r w:rsidRPr="002F602E">
        <w:rPr>
          <w:i/>
          <w:color w:val="auto"/>
        </w:rPr>
        <w:t xml:space="preserve"> </w:t>
      </w:r>
      <w:proofErr w:type="spellStart"/>
      <w:r w:rsidRPr="002F602E">
        <w:rPr>
          <w:i/>
          <w:color w:val="auto"/>
        </w:rPr>
        <w:t>convergence</w:t>
      </w:r>
      <w:proofErr w:type="spellEnd"/>
      <w:r w:rsidRPr="002F602E">
        <w:rPr>
          <w:i/>
          <w:color w:val="auto"/>
        </w:rPr>
        <w:t xml:space="preserve"> </w:t>
      </w:r>
      <w:proofErr w:type="spellStart"/>
      <w:r w:rsidRPr="002F602E">
        <w:rPr>
          <w:i/>
          <w:color w:val="auto"/>
        </w:rPr>
        <w:t>and</w:t>
      </w:r>
      <w:proofErr w:type="spellEnd"/>
      <w:r w:rsidRPr="002F602E">
        <w:rPr>
          <w:i/>
          <w:color w:val="auto"/>
        </w:rPr>
        <w:t xml:space="preserve"> </w:t>
      </w:r>
      <w:proofErr w:type="spellStart"/>
      <w:r w:rsidRPr="002F602E">
        <w:rPr>
          <w:i/>
          <w:color w:val="auto"/>
        </w:rPr>
        <w:t>competitiveness</w:t>
      </w:r>
      <w:proofErr w:type="spellEnd"/>
      <w:r w:rsidRPr="002F602E">
        <w:rPr>
          <w:i/>
          <w:color w:val="auto"/>
        </w:rPr>
        <w:t xml:space="preserve"> </w:t>
      </w:r>
      <w:proofErr w:type="spellStart"/>
      <w:r w:rsidRPr="002F602E">
        <w:rPr>
          <w:i/>
          <w:color w:val="auto"/>
        </w:rPr>
        <w:t>for</w:t>
      </w:r>
      <w:proofErr w:type="spellEnd"/>
      <w:r w:rsidRPr="002F602E">
        <w:rPr>
          <w:i/>
          <w:color w:val="auto"/>
        </w:rPr>
        <w:t xml:space="preserve"> </w:t>
      </w:r>
      <w:proofErr w:type="spellStart"/>
      <w:r w:rsidRPr="002F602E">
        <w:rPr>
          <w:i/>
          <w:color w:val="auto"/>
        </w:rPr>
        <w:t>the</w:t>
      </w:r>
      <w:proofErr w:type="spellEnd"/>
      <w:r w:rsidRPr="002F602E">
        <w:rPr>
          <w:i/>
          <w:color w:val="auto"/>
        </w:rPr>
        <w:t xml:space="preserve"> euro </w:t>
      </w:r>
      <w:proofErr w:type="spellStart"/>
      <w:r w:rsidRPr="002F602E">
        <w:rPr>
          <w:i/>
          <w:color w:val="auto"/>
        </w:rPr>
        <w:t>area</w:t>
      </w:r>
      <w:proofErr w:type="spellEnd"/>
      <w:r w:rsidRPr="002F602E">
        <w:rPr>
          <w:i/>
          <w:color w:val="auto"/>
        </w:rPr>
        <w:t xml:space="preserve">, </w:t>
      </w:r>
      <w:proofErr w:type="spellStart"/>
      <w:r w:rsidRPr="002F602E">
        <w:rPr>
          <w:i/>
          <w:color w:val="auto"/>
        </w:rPr>
        <w:t>and</w:t>
      </w:r>
      <w:proofErr w:type="spellEnd"/>
      <w:r w:rsidRPr="002F602E">
        <w:rPr>
          <w:i/>
          <w:color w:val="auto"/>
        </w:rPr>
        <w:t xml:space="preserve"> ERM II </w:t>
      </w:r>
      <w:proofErr w:type="spellStart"/>
      <w:r w:rsidRPr="002F602E">
        <w:rPr>
          <w:i/>
          <w:color w:val="auto"/>
        </w:rPr>
        <w:t>Member</w:t>
      </w:r>
      <w:proofErr w:type="spellEnd"/>
      <w:r w:rsidRPr="002F602E">
        <w:rPr>
          <w:i/>
          <w:color w:val="auto"/>
        </w:rPr>
        <w:t xml:space="preserve"> </w:t>
      </w:r>
      <w:proofErr w:type="spellStart"/>
      <w:r w:rsidRPr="002F602E">
        <w:rPr>
          <w:i/>
          <w:color w:val="auto"/>
        </w:rPr>
        <w:t>States</w:t>
      </w:r>
      <w:proofErr w:type="spellEnd"/>
      <w:r w:rsidRPr="002F602E">
        <w:rPr>
          <w:i/>
          <w:color w:val="auto"/>
        </w:rPr>
        <w:t xml:space="preserve"> </w:t>
      </w:r>
      <w:proofErr w:type="spellStart"/>
      <w:r w:rsidRPr="002F602E">
        <w:rPr>
          <w:i/>
          <w:color w:val="auto"/>
        </w:rPr>
        <w:t>on</w:t>
      </w:r>
      <w:proofErr w:type="spellEnd"/>
      <w:r w:rsidRPr="002F602E">
        <w:rPr>
          <w:i/>
          <w:color w:val="auto"/>
        </w:rPr>
        <w:t xml:space="preserve"> a </w:t>
      </w:r>
      <w:proofErr w:type="spellStart"/>
      <w:r w:rsidRPr="002F602E">
        <w:rPr>
          <w:i/>
          <w:color w:val="auto"/>
        </w:rPr>
        <w:t>voluntary</w:t>
      </w:r>
      <w:proofErr w:type="spellEnd"/>
      <w:r w:rsidRPr="002F602E">
        <w:rPr>
          <w:i/>
          <w:color w:val="auto"/>
        </w:rPr>
        <w:t xml:space="preserve"> </w:t>
      </w:r>
      <w:proofErr w:type="spellStart"/>
      <w:r w:rsidRPr="002F602E">
        <w:rPr>
          <w:i/>
          <w:color w:val="auto"/>
        </w:rPr>
        <w:t>basis</w:t>
      </w:r>
      <w:proofErr w:type="spellEnd"/>
      <w:r w:rsidRPr="002F602E">
        <w:rPr>
          <w:i/>
          <w:color w:val="auto"/>
        </w:rPr>
        <w:t xml:space="preserve">. It </w:t>
      </w:r>
      <w:proofErr w:type="spellStart"/>
      <w:r w:rsidRPr="002F602E">
        <w:rPr>
          <w:i/>
          <w:color w:val="auto"/>
        </w:rPr>
        <w:t>will</w:t>
      </w:r>
      <w:proofErr w:type="spellEnd"/>
      <w:r w:rsidRPr="002F602E">
        <w:rPr>
          <w:i/>
          <w:color w:val="auto"/>
        </w:rPr>
        <w:t xml:space="preserve"> be </w:t>
      </w:r>
      <w:proofErr w:type="spellStart"/>
      <w:r w:rsidRPr="002F602E">
        <w:rPr>
          <w:i/>
          <w:color w:val="auto"/>
        </w:rPr>
        <w:t>part</w:t>
      </w:r>
      <w:proofErr w:type="spellEnd"/>
      <w:r w:rsidRPr="002F602E">
        <w:rPr>
          <w:i/>
          <w:color w:val="auto"/>
        </w:rPr>
        <w:t xml:space="preserve"> </w:t>
      </w:r>
      <w:proofErr w:type="spellStart"/>
      <w:r w:rsidRPr="002F602E">
        <w:rPr>
          <w:i/>
          <w:color w:val="auto"/>
        </w:rPr>
        <w:t>of</w:t>
      </w:r>
      <w:proofErr w:type="spellEnd"/>
      <w:r w:rsidRPr="002F602E">
        <w:rPr>
          <w:i/>
          <w:color w:val="auto"/>
        </w:rPr>
        <w:t xml:space="preserve"> </w:t>
      </w:r>
      <w:proofErr w:type="spellStart"/>
      <w:r w:rsidRPr="002F602E">
        <w:rPr>
          <w:i/>
          <w:color w:val="auto"/>
        </w:rPr>
        <w:t>the</w:t>
      </w:r>
      <w:proofErr w:type="spellEnd"/>
      <w:r w:rsidRPr="002F602E">
        <w:rPr>
          <w:i/>
          <w:color w:val="auto"/>
        </w:rPr>
        <w:t xml:space="preserve"> EU </w:t>
      </w:r>
      <w:proofErr w:type="spellStart"/>
      <w:r w:rsidRPr="002F602E">
        <w:rPr>
          <w:i/>
          <w:color w:val="auto"/>
        </w:rPr>
        <w:t>budget</w:t>
      </w:r>
      <w:proofErr w:type="spellEnd"/>
      <w:r w:rsidRPr="002F602E">
        <w:rPr>
          <w:i/>
          <w:color w:val="auto"/>
        </w:rPr>
        <w:t xml:space="preserve">, </w:t>
      </w:r>
      <w:proofErr w:type="spellStart"/>
      <w:r w:rsidRPr="002F602E">
        <w:rPr>
          <w:i/>
          <w:color w:val="auto"/>
        </w:rPr>
        <w:t>coherent</w:t>
      </w:r>
      <w:proofErr w:type="spellEnd"/>
      <w:r w:rsidRPr="002F602E">
        <w:rPr>
          <w:i/>
          <w:color w:val="auto"/>
        </w:rPr>
        <w:t xml:space="preserve"> </w:t>
      </w:r>
      <w:proofErr w:type="spellStart"/>
      <w:r w:rsidRPr="002F602E">
        <w:rPr>
          <w:i/>
          <w:color w:val="auto"/>
        </w:rPr>
        <w:t>with</w:t>
      </w:r>
      <w:proofErr w:type="spellEnd"/>
      <w:r w:rsidRPr="002F602E">
        <w:rPr>
          <w:i/>
          <w:color w:val="auto"/>
        </w:rPr>
        <w:t xml:space="preserve"> </w:t>
      </w:r>
      <w:proofErr w:type="spellStart"/>
      <w:r w:rsidRPr="002F602E">
        <w:rPr>
          <w:i/>
          <w:color w:val="auto"/>
        </w:rPr>
        <w:t>other</w:t>
      </w:r>
      <w:proofErr w:type="spellEnd"/>
      <w:r w:rsidRPr="002F602E">
        <w:rPr>
          <w:i/>
          <w:color w:val="auto"/>
        </w:rPr>
        <w:t xml:space="preserve"> EU </w:t>
      </w:r>
      <w:proofErr w:type="spellStart"/>
      <w:r w:rsidRPr="002F602E">
        <w:rPr>
          <w:i/>
          <w:color w:val="auto"/>
        </w:rPr>
        <w:t>policies</w:t>
      </w:r>
      <w:proofErr w:type="spellEnd"/>
      <w:r w:rsidRPr="002F602E">
        <w:rPr>
          <w:i/>
          <w:color w:val="auto"/>
        </w:rPr>
        <w:t xml:space="preserve">, </w:t>
      </w:r>
      <w:proofErr w:type="spellStart"/>
      <w:r w:rsidRPr="002F602E">
        <w:rPr>
          <w:i/>
          <w:color w:val="auto"/>
        </w:rPr>
        <w:t>and</w:t>
      </w:r>
      <w:proofErr w:type="spellEnd"/>
      <w:r w:rsidRPr="002F602E">
        <w:rPr>
          <w:i/>
          <w:color w:val="auto"/>
        </w:rPr>
        <w:t xml:space="preserve"> </w:t>
      </w:r>
      <w:proofErr w:type="spellStart"/>
      <w:r w:rsidRPr="002F602E">
        <w:rPr>
          <w:i/>
          <w:color w:val="auto"/>
        </w:rPr>
        <w:t>subject</w:t>
      </w:r>
      <w:proofErr w:type="spellEnd"/>
      <w:r w:rsidRPr="002F602E">
        <w:rPr>
          <w:i/>
          <w:color w:val="auto"/>
        </w:rPr>
        <w:t xml:space="preserve"> to </w:t>
      </w:r>
      <w:proofErr w:type="spellStart"/>
      <w:r w:rsidRPr="002F602E">
        <w:rPr>
          <w:i/>
          <w:color w:val="auto"/>
        </w:rPr>
        <w:t>criteria</w:t>
      </w:r>
      <w:proofErr w:type="spellEnd"/>
      <w:r w:rsidRPr="002F602E">
        <w:rPr>
          <w:i/>
          <w:color w:val="auto"/>
        </w:rPr>
        <w:t xml:space="preserve"> </w:t>
      </w:r>
      <w:proofErr w:type="spellStart"/>
      <w:r w:rsidRPr="002F602E">
        <w:rPr>
          <w:i/>
          <w:color w:val="auto"/>
        </w:rPr>
        <w:t>and</w:t>
      </w:r>
      <w:proofErr w:type="spellEnd"/>
      <w:r w:rsidRPr="002F602E">
        <w:rPr>
          <w:i/>
          <w:color w:val="auto"/>
        </w:rPr>
        <w:t xml:space="preserve"> </w:t>
      </w:r>
      <w:proofErr w:type="spellStart"/>
      <w:r w:rsidRPr="002F602E">
        <w:rPr>
          <w:i/>
          <w:color w:val="auto"/>
        </w:rPr>
        <w:t>strategic</w:t>
      </w:r>
      <w:proofErr w:type="spellEnd"/>
      <w:r w:rsidRPr="002F602E">
        <w:rPr>
          <w:i/>
          <w:color w:val="auto"/>
        </w:rPr>
        <w:t xml:space="preserve"> </w:t>
      </w:r>
      <w:proofErr w:type="spellStart"/>
      <w:r w:rsidRPr="002F602E">
        <w:rPr>
          <w:i/>
          <w:color w:val="auto"/>
        </w:rPr>
        <w:t>guidance</w:t>
      </w:r>
      <w:proofErr w:type="spellEnd"/>
      <w:r w:rsidRPr="002F602E">
        <w:rPr>
          <w:i/>
          <w:color w:val="auto"/>
        </w:rPr>
        <w:t xml:space="preserve"> </w:t>
      </w:r>
      <w:proofErr w:type="spellStart"/>
      <w:r w:rsidRPr="002F602E">
        <w:rPr>
          <w:i/>
          <w:color w:val="auto"/>
        </w:rPr>
        <w:t>from</w:t>
      </w:r>
      <w:proofErr w:type="spellEnd"/>
      <w:r w:rsidRPr="002F602E">
        <w:rPr>
          <w:i/>
          <w:color w:val="auto"/>
        </w:rPr>
        <w:t xml:space="preserve"> </w:t>
      </w:r>
      <w:proofErr w:type="spellStart"/>
      <w:r w:rsidRPr="002F602E">
        <w:rPr>
          <w:i/>
          <w:color w:val="auto"/>
        </w:rPr>
        <w:t>the</w:t>
      </w:r>
      <w:proofErr w:type="spellEnd"/>
      <w:r w:rsidRPr="002F602E">
        <w:rPr>
          <w:i/>
          <w:color w:val="auto"/>
        </w:rPr>
        <w:t xml:space="preserve"> euro </w:t>
      </w:r>
      <w:proofErr w:type="spellStart"/>
      <w:r w:rsidRPr="002F602E">
        <w:rPr>
          <w:i/>
          <w:color w:val="auto"/>
        </w:rPr>
        <w:t>area</w:t>
      </w:r>
      <w:proofErr w:type="spellEnd"/>
      <w:r w:rsidRPr="002F602E">
        <w:rPr>
          <w:i/>
          <w:color w:val="auto"/>
        </w:rPr>
        <w:t xml:space="preserve"> </w:t>
      </w:r>
      <w:proofErr w:type="spellStart"/>
      <w:r w:rsidRPr="002F602E">
        <w:rPr>
          <w:i/>
          <w:color w:val="auto"/>
        </w:rPr>
        <w:t>Member</w:t>
      </w:r>
      <w:proofErr w:type="spellEnd"/>
      <w:r w:rsidRPr="002F602E">
        <w:rPr>
          <w:i/>
          <w:color w:val="auto"/>
        </w:rPr>
        <w:t xml:space="preserve"> </w:t>
      </w:r>
      <w:proofErr w:type="spellStart"/>
      <w:r w:rsidRPr="002F602E">
        <w:rPr>
          <w:i/>
          <w:color w:val="auto"/>
        </w:rPr>
        <w:t>States</w:t>
      </w:r>
      <w:proofErr w:type="spellEnd"/>
      <w:r w:rsidRPr="002F602E">
        <w:rPr>
          <w:i/>
          <w:color w:val="auto"/>
        </w:rPr>
        <w:t xml:space="preserve">. </w:t>
      </w:r>
      <w:proofErr w:type="spellStart"/>
      <w:r w:rsidRPr="002F602E">
        <w:rPr>
          <w:i/>
          <w:color w:val="auto"/>
        </w:rPr>
        <w:t>We</w:t>
      </w:r>
      <w:proofErr w:type="spellEnd"/>
      <w:r w:rsidRPr="002F602E">
        <w:rPr>
          <w:i/>
          <w:color w:val="auto"/>
        </w:rPr>
        <w:t xml:space="preserve"> </w:t>
      </w:r>
      <w:proofErr w:type="spellStart"/>
      <w:r w:rsidRPr="002F602E">
        <w:rPr>
          <w:i/>
          <w:color w:val="auto"/>
        </w:rPr>
        <w:t>will</w:t>
      </w:r>
      <w:proofErr w:type="spellEnd"/>
      <w:r w:rsidRPr="002F602E">
        <w:rPr>
          <w:i/>
          <w:color w:val="auto"/>
        </w:rPr>
        <w:t xml:space="preserve"> </w:t>
      </w:r>
      <w:proofErr w:type="spellStart"/>
      <w:r w:rsidRPr="002F602E">
        <w:rPr>
          <w:i/>
          <w:color w:val="auto"/>
        </w:rPr>
        <w:t>determine</w:t>
      </w:r>
      <w:proofErr w:type="spellEnd"/>
      <w:r w:rsidRPr="002F602E">
        <w:rPr>
          <w:i/>
          <w:color w:val="auto"/>
        </w:rPr>
        <w:t xml:space="preserve"> </w:t>
      </w:r>
      <w:proofErr w:type="spellStart"/>
      <w:r w:rsidRPr="002F602E">
        <w:rPr>
          <w:i/>
          <w:color w:val="auto"/>
        </w:rPr>
        <w:t>its</w:t>
      </w:r>
      <w:proofErr w:type="spellEnd"/>
      <w:r w:rsidRPr="002F602E">
        <w:rPr>
          <w:i/>
          <w:color w:val="auto"/>
        </w:rPr>
        <w:t xml:space="preserve"> </w:t>
      </w:r>
      <w:proofErr w:type="spellStart"/>
      <w:r w:rsidRPr="002F602E">
        <w:rPr>
          <w:i/>
          <w:color w:val="auto"/>
        </w:rPr>
        <w:t>size</w:t>
      </w:r>
      <w:proofErr w:type="spellEnd"/>
      <w:r w:rsidRPr="002F602E">
        <w:rPr>
          <w:i/>
          <w:color w:val="auto"/>
        </w:rPr>
        <w:t xml:space="preserve"> </w:t>
      </w:r>
      <w:proofErr w:type="spellStart"/>
      <w:r w:rsidRPr="002F602E">
        <w:rPr>
          <w:i/>
          <w:color w:val="auto"/>
        </w:rPr>
        <w:t>in</w:t>
      </w:r>
      <w:proofErr w:type="spellEnd"/>
      <w:r w:rsidRPr="002F602E">
        <w:rPr>
          <w:i/>
          <w:color w:val="auto"/>
        </w:rPr>
        <w:t xml:space="preserve"> </w:t>
      </w:r>
      <w:proofErr w:type="spellStart"/>
      <w:r w:rsidRPr="002F602E">
        <w:rPr>
          <w:i/>
          <w:color w:val="auto"/>
        </w:rPr>
        <w:t>the</w:t>
      </w:r>
      <w:proofErr w:type="spellEnd"/>
      <w:r w:rsidRPr="002F602E">
        <w:rPr>
          <w:i/>
          <w:color w:val="auto"/>
        </w:rPr>
        <w:t xml:space="preserve"> </w:t>
      </w:r>
      <w:proofErr w:type="spellStart"/>
      <w:r w:rsidRPr="002F602E">
        <w:rPr>
          <w:i/>
          <w:color w:val="auto"/>
        </w:rPr>
        <w:t>context</w:t>
      </w:r>
      <w:proofErr w:type="spellEnd"/>
      <w:r w:rsidRPr="002F602E">
        <w:rPr>
          <w:i/>
          <w:color w:val="auto"/>
        </w:rPr>
        <w:t xml:space="preserve"> </w:t>
      </w:r>
      <w:proofErr w:type="spellStart"/>
      <w:r w:rsidRPr="002F602E">
        <w:rPr>
          <w:i/>
          <w:color w:val="auto"/>
        </w:rPr>
        <w:t>of</w:t>
      </w:r>
      <w:proofErr w:type="spellEnd"/>
      <w:r w:rsidRPr="002F602E">
        <w:rPr>
          <w:i/>
          <w:color w:val="auto"/>
        </w:rPr>
        <w:t xml:space="preserve"> </w:t>
      </w:r>
      <w:proofErr w:type="spellStart"/>
      <w:r w:rsidRPr="002F602E">
        <w:rPr>
          <w:i/>
          <w:color w:val="auto"/>
        </w:rPr>
        <w:t>the</w:t>
      </w:r>
      <w:proofErr w:type="spellEnd"/>
      <w:r w:rsidRPr="002F602E">
        <w:rPr>
          <w:i/>
          <w:color w:val="auto"/>
        </w:rPr>
        <w:t xml:space="preserve"> MFF. </w:t>
      </w:r>
      <w:proofErr w:type="spellStart"/>
      <w:r w:rsidRPr="002F602E">
        <w:rPr>
          <w:i/>
          <w:color w:val="auto"/>
        </w:rPr>
        <w:t>The</w:t>
      </w:r>
      <w:proofErr w:type="spellEnd"/>
      <w:r w:rsidRPr="002F602E">
        <w:rPr>
          <w:i/>
          <w:color w:val="auto"/>
        </w:rPr>
        <w:t xml:space="preserve"> </w:t>
      </w:r>
      <w:proofErr w:type="spellStart"/>
      <w:r w:rsidRPr="002F602E">
        <w:rPr>
          <w:i/>
          <w:color w:val="auto"/>
        </w:rPr>
        <w:t>features</w:t>
      </w:r>
      <w:proofErr w:type="spellEnd"/>
      <w:r w:rsidRPr="002F602E">
        <w:rPr>
          <w:i/>
          <w:color w:val="auto"/>
        </w:rPr>
        <w:t xml:space="preserve"> </w:t>
      </w:r>
      <w:proofErr w:type="spellStart"/>
      <w:r w:rsidRPr="002F602E">
        <w:rPr>
          <w:i/>
          <w:color w:val="auto"/>
        </w:rPr>
        <w:t>of</w:t>
      </w:r>
      <w:proofErr w:type="spellEnd"/>
      <w:r w:rsidRPr="002F602E">
        <w:rPr>
          <w:i/>
          <w:color w:val="auto"/>
        </w:rPr>
        <w:t xml:space="preserve"> </w:t>
      </w:r>
      <w:proofErr w:type="spellStart"/>
      <w:r w:rsidRPr="002F602E">
        <w:rPr>
          <w:i/>
          <w:color w:val="auto"/>
        </w:rPr>
        <w:t>the</w:t>
      </w:r>
      <w:proofErr w:type="spellEnd"/>
      <w:r w:rsidRPr="002F602E">
        <w:rPr>
          <w:i/>
          <w:color w:val="auto"/>
        </w:rPr>
        <w:t xml:space="preserve"> </w:t>
      </w:r>
      <w:proofErr w:type="spellStart"/>
      <w:r w:rsidRPr="002F602E">
        <w:rPr>
          <w:i/>
          <w:color w:val="auto"/>
        </w:rPr>
        <w:t>budgetary</w:t>
      </w:r>
      <w:proofErr w:type="spellEnd"/>
      <w:r w:rsidRPr="002F602E">
        <w:rPr>
          <w:i/>
          <w:color w:val="auto"/>
        </w:rPr>
        <w:t xml:space="preserve"> </w:t>
      </w:r>
      <w:proofErr w:type="spellStart"/>
      <w:r w:rsidRPr="002F602E">
        <w:rPr>
          <w:i/>
          <w:color w:val="auto"/>
        </w:rPr>
        <w:t>instrument</w:t>
      </w:r>
      <w:proofErr w:type="spellEnd"/>
      <w:r w:rsidRPr="002F602E">
        <w:rPr>
          <w:i/>
          <w:color w:val="auto"/>
        </w:rPr>
        <w:t xml:space="preserve"> </w:t>
      </w:r>
      <w:proofErr w:type="spellStart"/>
      <w:r w:rsidRPr="002F602E">
        <w:rPr>
          <w:i/>
          <w:color w:val="auto"/>
        </w:rPr>
        <w:t>will</w:t>
      </w:r>
      <w:proofErr w:type="spellEnd"/>
      <w:r w:rsidRPr="002F602E">
        <w:rPr>
          <w:i/>
          <w:color w:val="auto"/>
        </w:rPr>
        <w:t xml:space="preserve"> be </w:t>
      </w:r>
      <w:proofErr w:type="spellStart"/>
      <w:r w:rsidRPr="002F602E">
        <w:rPr>
          <w:i/>
          <w:color w:val="auto"/>
        </w:rPr>
        <w:t>agreed</w:t>
      </w:r>
      <w:proofErr w:type="spellEnd"/>
      <w:r w:rsidRPr="002F602E">
        <w:rPr>
          <w:i/>
          <w:color w:val="auto"/>
        </w:rPr>
        <w:t xml:space="preserve"> </w:t>
      </w:r>
      <w:proofErr w:type="spellStart"/>
      <w:r w:rsidRPr="002F602E">
        <w:rPr>
          <w:i/>
          <w:color w:val="auto"/>
        </w:rPr>
        <w:t>in</w:t>
      </w:r>
      <w:proofErr w:type="spellEnd"/>
      <w:r w:rsidRPr="002F602E">
        <w:rPr>
          <w:i/>
          <w:color w:val="auto"/>
        </w:rPr>
        <w:t xml:space="preserve"> </w:t>
      </w:r>
      <w:proofErr w:type="spellStart"/>
      <w:r w:rsidRPr="002F602E">
        <w:rPr>
          <w:i/>
          <w:color w:val="auto"/>
        </w:rPr>
        <w:t>June</w:t>
      </w:r>
      <w:proofErr w:type="spellEnd"/>
      <w:r w:rsidRPr="002F602E">
        <w:rPr>
          <w:i/>
          <w:color w:val="auto"/>
        </w:rPr>
        <w:t xml:space="preserve"> 2019. </w:t>
      </w:r>
      <w:proofErr w:type="spellStart"/>
      <w:r w:rsidRPr="002F602E">
        <w:rPr>
          <w:i/>
          <w:color w:val="auto"/>
        </w:rPr>
        <w:t>The</w:t>
      </w:r>
      <w:proofErr w:type="spellEnd"/>
      <w:r w:rsidRPr="002F602E">
        <w:rPr>
          <w:i/>
          <w:color w:val="auto"/>
        </w:rPr>
        <w:t xml:space="preserve"> </w:t>
      </w:r>
      <w:proofErr w:type="spellStart"/>
      <w:r w:rsidRPr="002F602E">
        <w:rPr>
          <w:i/>
          <w:color w:val="auto"/>
        </w:rPr>
        <w:t>instrument</w:t>
      </w:r>
      <w:proofErr w:type="spellEnd"/>
      <w:r w:rsidRPr="002F602E">
        <w:rPr>
          <w:i/>
          <w:color w:val="auto"/>
        </w:rPr>
        <w:t xml:space="preserve"> </w:t>
      </w:r>
      <w:proofErr w:type="spellStart"/>
      <w:r w:rsidRPr="002F602E">
        <w:rPr>
          <w:i/>
          <w:color w:val="auto"/>
        </w:rPr>
        <w:t>will</w:t>
      </w:r>
      <w:proofErr w:type="spellEnd"/>
      <w:r w:rsidRPr="002F602E">
        <w:rPr>
          <w:i/>
          <w:color w:val="auto"/>
        </w:rPr>
        <w:t xml:space="preserve"> be </w:t>
      </w:r>
      <w:proofErr w:type="spellStart"/>
      <w:r w:rsidRPr="002F602E">
        <w:rPr>
          <w:i/>
          <w:color w:val="auto"/>
        </w:rPr>
        <w:t>adopted</w:t>
      </w:r>
      <w:proofErr w:type="spellEnd"/>
      <w:r w:rsidRPr="002F602E">
        <w:rPr>
          <w:i/>
          <w:color w:val="auto"/>
        </w:rPr>
        <w:t xml:space="preserve"> </w:t>
      </w:r>
      <w:proofErr w:type="spellStart"/>
      <w:r w:rsidRPr="002F602E">
        <w:rPr>
          <w:i/>
          <w:color w:val="auto"/>
        </w:rPr>
        <w:t>in</w:t>
      </w:r>
      <w:proofErr w:type="spellEnd"/>
      <w:r w:rsidRPr="002F602E">
        <w:rPr>
          <w:i/>
          <w:color w:val="auto"/>
        </w:rPr>
        <w:t xml:space="preserve"> </w:t>
      </w:r>
      <w:proofErr w:type="spellStart"/>
      <w:r w:rsidRPr="002F602E">
        <w:rPr>
          <w:i/>
          <w:color w:val="auto"/>
        </w:rPr>
        <w:t>accordance</w:t>
      </w:r>
      <w:proofErr w:type="spellEnd"/>
      <w:r w:rsidRPr="002F602E">
        <w:rPr>
          <w:i/>
          <w:color w:val="auto"/>
        </w:rPr>
        <w:t xml:space="preserve"> </w:t>
      </w:r>
      <w:proofErr w:type="spellStart"/>
      <w:r w:rsidRPr="002F602E">
        <w:rPr>
          <w:i/>
          <w:color w:val="auto"/>
        </w:rPr>
        <w:t>with</w:t>
      </w:r>
      <w:proofErr w:type="spellEnd"/>
      <w:r w:rsidRPr="002F602E">
        <w:rPr>
          <w:i/>
          <w:color w:val="auto"/>
        </w:rPr>
        <w:t xml:space="preserve"> </w:t>
      </w:r>
      <w:proofErr w:type="spellStart"/>
      <w:r w:rsidRPr="002F602E">
        <w:rPr>
          <w:i/>
          <w:color w:val="auto"/>
        </w:rPr>
        <w:t>the</w:t>
      </w:r>
      <w:proofErr w:type="spellEnd"/>
      <w:r w:rsidRPr="002F602E">
        <w:rPr>
          <w:i/>
          <w:color w:val="auto"/>
        </w:rPr>
        <w:t xml:space="preserve"> </w:t>
      </w:r>
      <w:proofErr w:type="spellStart"/>
      <w:r w:rsidRPr="002F602E">
        <w:rPr>
          <w:i/>
          <w:color w:val="auto"/>
        </w:rPr>
        <w:t>legislative</w:t>
      </w:r>
      <w:proofErr w:type="spellEnd"/>
      <w:r w:rsidRPr="002F602E">
        <w:rPr>
          <w:i/>
          <w:color w:val="auto"/>
        </w:rPr>
        <w:t xml:space="preserve"> </w:t>
      </w:r>
      <w:proofErr w:type="spellStart"/>
      <w:r w:rsidRPr="002F602E">
        <w:rPr>
          <w:i/>
          <w:color w:val="auto"/>
        </w:rPr>
        <w:t>procedure</w:t>
      </w:r>
      <w:proofErr w:type="spellEnd"/>
      <w:r w:rsidRPr="002F602E">
        <w:rPr>
          <w:i/>
          <w:color w:val="auto"/>
        </w:rPr>
        <w:t xml:space="preserve">, </w:t>
      </w:r>
      <w:proofErr w:type="spellStart"/>
      <w:r w:rsidRPr="002F602E">
        <w:rPr>
          <w:i/>
          <w:color w:val="auto"/>
        </w:rPr>
        <w:t>as</w:t>
      </w:r>
      <w:proofErr w:type="spellEnd"/>
      <w:r w:rsidRPr="002F602E">
        <w:rPr>
          <w:i/>
          <w:color w:val="auto"/>
        </w:rPr>
        <w:t xml:space="preserve"> </w:t>
      </w:r>
      <w:proofErr w:type="spellStart"/>
      <w:r w:rsidRPr="002F602E">
        <w:rPr>
          <w:i/>
          <w:color w:val="auto"/>
        </w:rPr>
        <w:t>foreseen</w:t>
      </w:r>
      <w:proofErr w:type="spellEnd"/>
      <w:r w:rsidRPr="002F602E">
        <w:rPr>
          <w:i/>
          <w:color w:val="auto"/>
        </w:rPr>
        <w:t xml:space="preserve"> </w:t>
      </w:r>
      <w:proofErr w:type="spellStart"/>
      <w:r w:rsidRPr="002F602E">
        <w:rPr>
          <w:i/>
          <w:color w:val="auto"/>
        </w:rPr>
        <w:t>by</w:t>
      </w:r>
      <w:proofErr w:type="spellEnd"/>
      <w:r w:rsidRPr="002F602E">
        <w:rPr>
          <w:i/>
          <w:color w:val="auto"/>
        </w:rPr>
        <w:t xml:space="preserve"> </w:t>
      </w:r>
      <w:proofErr w:type="spellStart"/>
      <w:r w:rsidRPr="002F602E">
        <w:rPr>
          <w:i/>
          <w:color w:val="auto"/>
        </w:rPr>
        <w:t>the</w:t>
      </w:r>
      <w:proofErr w:type="spellEnd"/>
      <w:r w:rsidRPr="002F602E">
        <w:rPr>
          <w:i/>
          <w:color w:val="auto"/>
        </w:rPr>
        <w:t xml:space="preserve"> </w:t>
      </w:r>
      <w:proofErr w:type="spellStart"/>
      <w:r w:rsidRPr="002F602E">
        <w:rPr>
          <w:i/>
          <w:color w:val="auto"/>
        </w:rPr>
        <w:t>Treaties</w:t>
      </w:r>
      <w:proofErr w:type="spellEnd"/>
      <w:r w:rsidRPr="002F602E">
        <w:rPr>
          <w:i/>
          <w:color w:val="auto"/>
        </w:rPr>
        <w:t xml:space="preserve">, </w:t>
      </w:r>
      <w:proofErr w:type="spellStart"/>
      <w:r w:rsidRPr="002F602E">
        <w:rPr>
          <w:i/>
          <w:color w:val="auto"/>
        </w:rPr>
        <w:t>on</w:t>
      </w:r>
      <w:proofErr w:type="spellEnd"/>
      <w:r w:rsidRPr="002F602E">
        <w:rPr>
          <w:i/>
          <w:color w:val="auto"/>
        </w:rPr>
        <w:t xml:space="preserve"> </w:t>
      </w:r>
      <w:proofErr w:type="spellStart"/>
      <w:r w:rsidRPr="002F602E">
        <w:rPr>
          <w:i/>
          <w:color w:val="auto"/>
        </w:rPr>
        <w:t>the</w:t>
      </w:r>
      <w:proofErr w:type="spellEnd"/>
      <w:r w:rsidRPr="002F602E">
        <w:rPr>
          <w:i/>
          <w:color w:val="auto"/>
        </w:rPr>
        <w:t xml:space="preserve"> </w:t>
      </w:r>
      <w:proofErr w:type="spellStart"/>
      <w:r w:rsidRPr="002F602E">
        <w:rPr>
          <w:i/>
          <w:color w:val="auto"/>
        </w:rPr>
        <w:t>basis</w:t>
      </w:r>
      <w:proofErr w:type="spellEnd"/>
      <w:r w:rsidRPr="002F602E">
        <w:rPr>
          <w:i/>
          <w:color w:val="auto"/>
        </w:rPr>
        <w:t xml:space="preserve"> </w:t>
      </w:r>
      <w:proofErr w:type="spellStart"/>
      <w:r w:rsidRPr="002F602E">
        <w:rPr>
          <w:i/>
          <w:color w:val="auto"/>
        </w:rPr>
        <w:t>of</w:t>
      </w:r>
      <w:proofErr w:type="spellEnd"/>
      <w:r w:rsidRPr="002F602E">
        <w:rPr>
          <w:i/>
          <w:color w:val="auto"/>
        </w:rPr>
        <w:t xml:space="preserve"> </w:t>
      </w:r>
      <w:proofErr w:type="spellStart"/>
      <w:r w:rsidRPr="002F602E">
        <w:rPr>
          <w:i/>
          <w:color w:val="auto"/>
        </w:rPr>
        <w:t>the</w:t>
      </w:r>
      <w:proofErr w:type="spellEnd"/>
      <w:r w:rsidRPr="002F602E">
        <w:rPr>
          <w:i/>
          <w:color w:val="auto"/>
        </w:rPr>
        <w:t xml:space="preserve"> </w:t>
      </w:r>
      <w:proofErr w:type="spellStart"/>
      <w:r w:rsidRPr="002F602E">
        <w:rPr>
          <w:i/>
          <w:color w:val="auto"/>
        </w:rPr>
        <w:t>relevant</w:t>
      </w:r>
      <w:proofErr w:type="spellEnd"/>
      <w:r w:rsidRPr="002F602E">
        <w:rPr>
          <w:i/>
          <w:color w:val="auto"/>
        </w:rPr>
        <w:t xml:space="preserve"> </w:t>
      </w:r>
      <w:proofErr w:type="spellStart"/>
      <w:r w:rsidRPr="002F602E">
        <w:rPr>
          <w:i/>
          <w:color w:val="auto"/>
        </w:rPr>
        <w:t>Commission</w:t>
      </w:r>
      <w:proofErr w:type="spellEnd"/>
      <w:r w:rsidRPr="002F602E">
        <w:rPr>
          <w:i/>
          <w:color w:val="auto"/>
        </w:rPr>
        <w:t xml:space="preserve"> </w:t>
      </w:r>
      <w:proofErr w:type="spellStart"/>
      <w:r w:rsidRPr="002F602E">
        <w:rPr>
          <w:i/>
          <w:color w:val="auto"/>
        </w:rPr>
        <w:t>proposal</w:t>
      </w:r>
      <w:proofErr w:type="spellEnd"/>
      <w:r w:rsidRPr="002F602E">
        <w:rPr>
          <w:i/>
          <w:color w:val="auto"/>
        </w:rPr>
        <w:t xml:space="preserve"> to be </w:t>
      </w:r>
      <w:proofErr w:type="spellStart"/>
      <w:r w:rsidRPr="002F602E">
        <w:rPr>
          <w:i/>
          <w:color w:val="auto"/>
        </w:rPr>
        <w:t>amended</w:t>
      </w:r>
      <w:proofErr w:type="spellEnd"/>
      <w:r w:rsidRPr="002F602E">
        <w:rPr>
          <w:i/>
          <w:color w:val="auto"/>
        </w:rPr>
        <w:t xml:space="preserve"> </w:t>
      </w:r>
      <w:proofErr w:type="spellStart"/>
      <w:r w:rsidRPr="002F602E">
        <w:rPr>
          <w:i/>
          <w:color w:val="auto"/>
        </w:rPr>
        <w:t>if</w:t>
      </w:r>
      <w:proofErr w:type="spellEnd"/>
      <w:r w:rsidRPr="002F602E">
        <w:rPr>
          <w:i/>
          <w:color w:val="auto"/>
        </w:rPr>
        <w:t xml:space="preserve"> </w:t>
      </w:r>
      <w:proofErr w:type="spellStart"/>
      <w:r w:rsidRPr="002F602E">
        <w:rPr>
          <w:i/>
          <w:color w:val="auto"/>
        </w:rPr>
        <w:t>necessary</w:t>
      </w:r>
      <w:proofErr w:type="spellEnd"/>
      <w:r w:rsidRPr="002F602E">
        <w:rPr>
          <w:i/>
          <w:color w:val="auto"/>
        </w:rPr>
        <w:t xml:space="preserve">.“ </w:t>
      </w:r>
    </w:p>
    <w:p w:rsidR="00C81C48" w:rsidRPr="002F602E" w:rsidRDefault="00C81C48" w:rsidP="00C81C48">
      <w:pPr>
        <w:pStyle w:val="Default"/>
        <w:jc w:val="both"/>
        <w:rPr>
          <w:color w:val="auto"/>
          <w:vertAlign w:val="subscript"/>
        </w:rPr>
      </w:pPr>
    </w:p>
    <w:p w:rsidR="00C81C48" w:rsidRPr="002F602E" w:rsidRDefault="00C81C48" w:rsidP="00C81C48">
      <w:pPr>
        <w:pStyle w:val="Default"/>
        <w:jc w:val="both"/>
        <w:rPr>
          <w:color w:val="auto"/>
        </w:rPr>
      </w:pPr>
      <w:r w:rsidRPr="002F602E">
        <w:rPr>
          <w:color w:val="auto"/>
        </w:rPr>
        <w:t xml:space="preserve">Nuo 2019 m. sausio mėn. vykusiuose Euro grupės posėdžiuose finansų ministrai preliminariai aptarė šiuos naujos biudžeto priemonės elementus: išlaidos (kas iš šios priemonės turėtų būti finansuojama – struktūrinės reformos ar/ ir investicijos); pajamos (iš kokių lėšų šis instrumentas turėtų būti finansuojamas – iš ES nuosavų išteklių ar papildomų asignuotųjų pajamų); valdysena (sprendimų priėmimo, įgyvendinimo mechanizmas). </w:t>
      </w:r>
    </w:p>
    <w:p w:rsidR="00C81C48" w:rsidRPr="002F602E" w:rsidRDefault="00C81C48" w:rsidP="00C81C48">
      <w:pPr>
        <w:pStyle w:val="Default"/>
        <w:jc w:val="both"/>
        <w:rPr>
          <w:color w:val="auto"/>
        </w:rPr>
      </w:pPr>
    </w:p>
    <w:p w:rsidR="00C81C48" w:rsidRPr="002F602E" w:rsidRDefault="00C81C48" w:rsidP="00C81C48">
      <w:pPr>
        <w:pStyle w:val="Default"/>
        <w:jc w:val="both"/>
        <w:rPr>
          <w:color w:val="auto"/>
        </w:rPr>
      </w:pPr>
      <w:r w:rsidRPr="002F602E">
        <w:rPr>
          <w:color w:val="auto"/>
        </w:rPr>
        <w:t>Diskusijose išryškėjusios tendencijos:</w:t>
      </w:r>
    </w:p>
    <w:p w:rsidR="00C81C48" w:rsidRPr="002F602E" w:rsidRDefault="00C81C48" w:rsidP="00C81C48">
      <w:pPr>
        <w:pStyle w:val="Default"/>
        <w:numPr>
          <w:ilvl w:val="0"/>
          <w:numId w:val="14"/>
        </w:numPr>
        <w:jc w:val="both"/>
        <w:rPr>
          <w:color w:val="auto"/>
        </w:rPr>
      </w:pPr>
      <w:r w:rsidRPr="002F602E">
        <w:rPr>
          <w:color w:val="auto"/>
        </w:rPr>
        <w:t xml:space="preserve">Didžioji dalis VN pasisako už abiejų sričių – struktūrinių reformų ir investicijų – finansavimą sutinkamai su Europos semestro procese identifikuotais iššūkiais ir prioritetais. </w:t>
      </w:r>
    </w:p>
    <w:p w:rsidR="00C81C48" w:rsidRPr="002F602E" w:rsidRDefault="00C81C48" w:rsidP="00C81C48">
      <w:pPr>
        <w:pStyle w:val="Default"/>
        <w:numPr>
          <w:ilvl w:val="0"/>
          <w:numId w:val="14"/>
        </w:numPr>
        <w:jc w:val="both"/>
        <w:rPr>
          <w:color w:val="auto"/>
        </w:rPr>
      </w:pPr>
      <w:r w:rsidRPr="002F602E">
        <w:rPr>
          <w:color w:val="auto"/>
        </w:rPr>
        <w:t xml:space="preserve">Kai kurios VN nori paramą skirstyti remiantis reformų ir investicijų kaštais (FI, LT, DK, EE, AT). </w:t>
      </w:r>
    </w:p>
    <w:p w:rsidR="00C81C48" w:rsidRPr="002F602E" w:rsidRDefault="00C81C48" w:rsidP="00C81C48">
      <w:pPr>
        <w:pStyle w:val="Default"/>
        <w:numPr>
          <w:ilvl w:val="0"/>
          <w:numId w:val="14"/>
        </w:numPr>
        <w:jc w:val="both"/>
        <w:rPr>
          <w:color w:val="auto"/>
        </w:rPr>
      </w:pPr>
      <w:r w:rsidRPr="002F602E">
        <w:rPr>
          <w:color w:val="auto"/>
        </w:rPr>
        <w:t xml:space="preserve">Dauguma šalių pasisako už subsidijas, tačiau neatmetama ir kitų finansavimo formų galimybė. </w:t>
      </w:r>
    </w:p>
    <w:p w:rsidR="00C81C48" w:rsidRPr="002F602E" w:rsidRDefault="00C81C48" w:rsidP="00C81C48">
      <w:pPr>
        <w:pStyle w:val="Default"/>
        <w:numPr>
          <w:ilvl w:val="0"/>
          <w:numId w:val="14"/>
        </w:numPr>
        <w:jc w:val="both"/>
        <w:rPr>
          <w:color w:val="auto"/>
        </w:rPr>
      </w:pPr>
      <w:r w:rsidRPr="002F602E">
        <w:rPr>
          <w:color w:val="auto"/>
        </w:rPr>
        <w:t xml:space="preserve">Taip pat remiama nacionalinio ko-finansavimo idėja, didinanti investicijų „nuosavybės“ jausmą. Atitinkamai nacionalinis indėlis būtų mažinamas ekonominių sunkumų atveju. </w:t>
      </w:r>
    </w:p>
    <w:p w:rsidR="00C81C48" w:rsidRPr="002F602E" w:rsidRDefault="00C81C48" w:rsidP="00C81C48">
      <w:pPr>
        <w:pStyle w:val="Default"/>
        <w:numPr>
          <w:ilvl w:val="0"/>
          <w:numId w:val="14"/>
        </w:numPr>
        <w:jc w:val="both"/>
        <w:rPr>
          <w:color w:val="auto"/>
        </w:rPr>
      </w:pPr>
      <w:r w:rsidRPr="002F602E">
        <w:rPr>
          <w:color w:val="auto"/>
        </w:rPr>
        <w:lastRenderedPageBreak/>
        <w:t xml:space="preserve">Didžiausias „jautrumas“ – priemonės finansavimo klausimas. VN skirtingai interpretuoja </w:t>
      </w:r>
      <w:proofErr w:type="spellStart"/>
      <w:r w:rsidRPr="002F602E">
        <w:rPr>
          <w:color w:val="auto"/>
        </w:rPr>
        <w:t>Eurosummit</w:t>
      </w:r>
      <w:proofErr w:type="spellEnd"/>
      <w:r w:rsidRPr="002F602E">
        <w:rPr>
          <w:color w:val="auto"/>
        </w:rPr>
        <w:t xml:space="preserve"> pareiškimą, kad nauja biudžeto priemonė bus </w:t>
      </w:r>
      <w:r w:rsidRPr="002F602E">
        <w:rPr>
          <w:i/>
          <w:color w:val="auto"/>
        </w:rPr>
        <w:t>„</w:t>
      </w:r>
      <w:proofErr w:type="spellStart"/>
      <w:r w:rsidRPr="002F602E">
        <w:rPr>
          <w:i/>
          <w:color w:val="auto"/>
        </w:rPr>
        <w:t>part</w:t>
      </w:r>
      <w:proofErr w:type="spellEnd"/>
      <w:r w:rsidRPr="002F602E">
        <w:rPr>
          <w:i/>
          <w:color w:val="auto"/>
        </w:rPr>
        <w:t xml:space="preserve"> </w:t>
      </w:r>
      <w:proofErr w:type="spellStart"/>
      <w:r w:rsidRPr="002F602E">
        <w:rPr>
          <w:i/>
          <w:color w:val="auto"/>
        </w:rPr>
        <w:t>of</w:t>
      </w:r>
      <w:proofErr w:type="spellEnd"/>
      <w:r w:rsidRPr="002F602E">
        <w:rPr>
          <w:i/>
          <w:color w:val="auto"/>
        </w:rPr>
        <w:t xml:space="preserve"> </w:t>
      </w:r>
      <w:proofErr w:type="spellStart"/>
      <w:r w:rsidRPr="002F602E">
        <w:rPr>
          <w:i/>
          <w:color w:val="auto"/>
        </w:rPr>
        <w:t>the</w:t>
      </w:r>
      <w:proofErr w:type="spellEnd"/>
      <w:r w:rsidRPr="002F602E">
        <w:rPr>
          <w:i/>
          <w:color w:val="auto"/>
        </w:rPr>
        <w:t xml:space="preserve"> EU </w:t>
      </w:r>
      <w:proofErr w:type="spellStart"/>
      <w:r w:rsidRPr="002F602E">
        <w:rPr>
          <w:i/>
          <w:color w:val="auto"/>
        </w:rPr>
        <w:t>budget</w:t>
      </w:r>
      <w:proofErr w:type="spellEnd"/>
      <w:r w:rsidRPr="002F602E">
        <w:rPr>
          <w:i/>
          <w:color w:val="auto"/>
        </w:rPr>
        <w:t>“</w:t>
      </w:r>
      <w:r w:rsidRPr="002F602E">
        <w:rPr>
          <w:color w:val="auto"/>
        </w:rPr>
        <w:t>. Dalis jų teigia, kad ji turi būti finansuojama ES DFP ribose iš ES nuosavų išteklių (</w:t>
      </w:r>
      <w:r w:rsidRPr="002F602E">
        <w:rPr>
          <w:i/>
          <w:color w:val="auto"/>
        </w:rPr>
        <w:t>Hansa</w:t>
      </w:r>
      <w:r w:rsidRPr="002F602E">
        <w:rPr>
          <w:color w:val="auto"/>
        </w:rPr>
        <w:t xml:space="preserve"> </w:t>
      </w:r>
      <w:r w:rsidRPr="002F602E">
        <w:rPr>
          <w:i/>
          <w:color w:val="auto"/>
        </w:rPr>
        <w:t>grupė</w:t>
      </w:r>
      <w:r w:rsidRPr="002F602E">
        <w:rPr>
          <w:color w:val="auto"/>
        </w:rPr>
        <w:t xml:space="preserve"> – NB6, NL, IE), kitos VN pasisako už priemonės finansavimą už ES DFP ribų, įvedant papildomas asignuotąsias pajamas, finansinių sandorių mokestį (FR, IT, PT, ESP), ne Euro zonos šalys nepritaria jokiems mokėjimams. FR vis dar neatsisako minties į instrumento apimtį įtraukti ir investicijų stabilumo instrumentą.</w:t>
      </w:r>
    </w:p>
    <w:p w:rsidR="00C81C48" w:rsidRPr="002F602E" w:rsidRDefault="00C81C48" w:rsidP="00C81C48">
      <w:pPr>
        <w:pStyle w:val="Default"/>
        <w:jc w:val="both"/>
        <w:rPr>
          <w:color w:val="auto"/>
        </w:rPr>
      </w:pPr>
      <w:r w:rsidRPr="002F602E">
        <w:rPr>
          <w:color w:val="auto"/>
        </w:rPr>
        <w:t xml:space="preserve">Gegužės 16 d. Eurogrupės posėdyje ministrai kviečiami detaliau aptarti priemonės pajamų dalį ir kartu apžvelgti visus ankstesniuose posėdžiuose jau aptartus priemonės aspektus. </w:t>
      </w:r>
    </w:p>
    <w:p w:rsidR="00C81C48" w:rsidRPr="002F602E" w:rsidRDefault="00C81C48" w:rsidP="00C81C48">
      <w:pPr>
        <w:autoSpaceDE w:val="0"/>
        <w:autoSpaceDN w:val="0"/>
        <w:adjustRightInd w:val="0"/>
        <w:spacing w:after="0" w:line="240" w:lineRule="auto"/>
        <w:jc w:val="both"/>
        <w:rPr>
          <w:rFonts w:cs="Times New Roman"/>
          <w:b/>
          <w:szCs w:val="24"/>
        </w:rPr>
      </w:pPr>
    </w:p>
    <w:p w:rsidR="00C81C48" w:rsidRPr="002F602E" w:rsidRDefault="00C81C48" w:rsidP="00C81C48">
      <w:pPr>
        <w:autoSpaceDE w:val="0"/>
        <w:autoSpaceDN w:val="0"/>
        <w:adjustRightInd w:val="0"/>
        <w:spacing w:after="0" w:line="240" w:lineRule="auto"/>
        <w:jc w:val="both"/>
        <w:rPr>
          <w:rFonts w:cs="Times New Roman"/>
          <w:szCs w:val="24"/>
        </w:rPr>
      </w:pPr>
      <w:r w:rsidRPr="002F602E">
        <w:rPr>
          <w:rFonts w:cs="Times New Roman"/>
          <w:b/>
          <w:szCs w:val="24"/>
        </w:rPr>
        <w:t>Lietuvos pozicija</w:t>
      </w:r>
      <w:r w:rsidRPr="002F602E">
        <w:rPr>
          <w:rFonts w:cs="Times New Roman"/>
          <w:szCs w:val="24"/>
        </w:rPr>
        <w:t>:</w:t>
      </w:r>
    </w:p>
    <w:p w:rsidR="00C81C48" w:rsidRPr="002F602E" w:rsidRDefault="00C81C48" w:rsidP="00C81C48">
      <w:pPr>
        <w:pStyle w:val="Sraopastraipa"/>
        <w:numPr>
          <w:ilvl w:val="0"/>
          <w:numId w:val="15"/>
        </w:numPr>
        <w:spacing w:after="0" w:line="240" w:lineRule="auto"/>
        <w:jc w:val="both"/>
        <w:rPr>
          <w:rFonts w:ascii="Times New Roman" w:eastAsia="Calibri" w:hAnsi="Times New Roman" w:cs="Times New Roman"/>
          <w:sz w:val="24"/>
          <w:szCs w:val="24"/>
        </w:rPr>
      </w:pPr>
      <w:r w:rsidRPr="002F602E">
        <w:rPr>
          <w:rFonts w:ascii="Times New Roman" w:eastAsia="Calibri" w:hAnsi="Times New Roman" w:cs="Times New Roman"/>
          <w:sz w:val="24"/>
          <w:szCs w:val="24"/>
        </w:rPr>
        <w:t xml:space="preserve">Šią priemonę matome kaip integralią kitos DFP dalį. Ji turėtų būti finansuojama įprastais nuosavais ištekliais, laikantis DFP viršutinės ribos, ir jai turi būti taikoma kasmetinė biudžeto procedūra. </w:t>
      </w:r>
    </w:p>
    <w:p w:rsidR="00C81C48" w:rsidRPr="002F602E" w:rsidRDefault="00C81C48" w:rsidP="00C81C48">
      <w:pPr>
        <w:pStyle w:val="Sraopastraipa"/>
        <w:numPr>
          <w:ilvl w:val="0"/>
          <w:numId w:val="15"/>
        </w:numPr>
        <w:spacing w:after="0" w:line="240" w:lineRule="auto"/>
        <w:jc w:val="both"/>
        <w:rPr>
          <w:rFonts w:ascii="Times New Roman" w:eastAsia="Calibri" w:hAnsi="Times New Roman" w:cs="Times New Roman"/>
          <w:sz w:val="24"/>
          <w:szCs w:val="24"/>
        </w:rPr>
      </w:pPr>
      <w:r w:rsidRPr="002F602E">
        <w:rPr>
          <w:rFonts w:ascii="Times New Roman" w:eastAsia="Calibri" w:hAnsi="Times New Roman" w:cs="Times New Roman"/>
          <w:sz w:val="24"/>
          <w:szCs w:val="24"/>
        </w:rPr>
        <w:t>Siekiant išvengti šios priemonės finansavimo kitų ES politikų, ypač Sanglaudos politikos, sąskaita, esame pasirengę diskutuoti dėl didesnių DFP viršutinių ribų, bet norėtumėme išvengti išorinių asignuotųjų pajamų iš dalyvaujančių VN.</w:t>
      </w:r>
    </w:p>
    <w:p w:rsidR="00C81C48" w:rsidRPr="002F602E" w:rsidRDefault="00C81C48" w:rsidP="00C81C48">
      <w:pPr>
        <w:numPr>
          <w:ilvl w:val="0"/>
          <w:numId w:val="15"/>
        </w:numPr>
        <w:spacing w:after="0" w:line="240" w:lineRule="auto"/>
        <w:contextualSpacing/>
        <w:jc w:val="both"/>
        <w:rPr>
          <w:rFonts w:cs="Times New Roman"/>
          <w:szCs w:val="24"/>
        </w:rPr>
      </w:pPr>
      <w:r w:rsidRPr="002F602E">
        <w:rPr>
          <w:rFonts w:cs="Times New Roman"/>
          <w:szCs w:val="24"/>
        </w:rPr>
        <w:t xml:space="preserve">Instrumento lėšos tarp valstybių narių turėtų būti skirstomos, remiantis konkurencingumą ir konvergenciją atspindinčiais kriterijais, didžiąją lėšų dalį sutelkiant mažiau išsivysčiusioms valstybėms. </w:t>
      </w:r>
    </w:p>
    <w:p w:rsidR="00C81C48" w:rsidRPr="002F602E" w:rsidRDefault="00C81C48" w:rsidP="00C81C48">
      <w:pPr>
        <w:numPr>
          <w:ilvl w:val="0"/>
          <w:numId w:val="15"/>
        </w:numPr>
        <w:spacing w:after="0" w:line="240" w:lineRule="auto"/>
        <w:contextualSpacing/>
        <w:jc w:val="both"/>
        <w:rPr>
          <w:rFonts w:cs="Times New Roman"/>
          <w:szCs w:val="24"/>
        </w:rPr>
      </w:pPr>
      <w:r w:rsidRPr="002F602E">
        <w:rPr>
          <w:rFonts w:cs="Times New Roman"/>
          <w:szCs w:val="24"/>
        </w:rPr>
        <w:t xml:space="preserve">Remiame </w:t>
      </w:r>
      <w:proofErr w:type="spellStart"/>
      <w:r w:rsidRPr="002F602E">
        <w:rPr>
          <w:rFonts w:cs="Times New Roman"/>
          <w:szCs w:val="24"/>
        </w:rPr>
        <w:t>kofinansavimo</w:t>
      </w:r>
      <w:proofErr w:type="spellEnd"/>
      <w:r w:rsidRPr="002F602E">
        <w:rPr>
          <w:rFonts w:cs="Times New Roman"/>
          <w:szCs w:val="24"/>
        </w:rPr>
        <w:t xml:space="preserve"> principo įtraukimą. Nacionalinio indėlio dydis turėtų būti diferencijuojamas atsižvelgiant į šalies ekonominio išsivystymo lygį. </w:t>
      </w:r>
    </w:p>
    <w:p w:rsidR="00C81C48" w:rsidRPr="002F602E" w:rsidRDefault="00C81C48" w:rsidP="00C81C48">
      <w:pPr>
        <w:numPr>
          <w:ilvl w:val="0"/>
          <w:numId w:val="15"/>
        </w:numPr>
        <w:spacing w:after="0" w:line="240" w:lineRule="auto"/>
        <w:contextualSpacing/>
        <w:jc w:val="both"/>
        <w:rPr>
          <w:rFonts w:cs="Times New Roman"/>
          <w:szCs w:val="24"/>
        </w:rPr>
      </w:pPr>
      <w:r w:rsidRPr="002F602E">
        <w:rPr>
          <w:rFonts w:cs="Times New Roman"/>
          <w:szCs w:val="24"/>
        </w:rPr>
        <w:t xml:space="preserve">Konkrečioms valstybės narės reformoms ar investiciniams projektams lėšos turėtų būti skiriamos pagal planuojamus kaštus ir išmokamos, atsižvelgiant į pasiektą progresą. </w:t>
      </w:r>
    </w:p>
    <w:p w:rsidR="00C81C48" w:rsidRPr="002F602E" w:rsidRDefault="00C81C48" w:rsidP="00C81C48">
      <w:pPr>
        <w:numPr>
          <w:ilvl w:val="0"/>
          <w:numId w:val="15"/>
        </w:numPr>
        <w:spacing w:after="0" w:line="240" w:lineRule="auto"/>
        <w:contextualSpacing/>
        <w:jc w:val="both"/>
        <w:rPr>
          <w:rFonts w:cs="Times New Roman"/>
          <w:szCs w:val="24"/>
        </w:rPr>
      </w:pPr>
      <w:r w:rsidRPr="002F602E">
        <w:rPr>
          <w:rFonts w:cs="Times New Roman"/>
          <w:szCs w:val="24"/>
        </w:rPr>
        <w:t>Pritariame glaudžiai naujo instrumento sąsajai su Europos semestru ir Tarybos rekomendacijomis euro zonai, kurios ateityje turėtų būti labiau orientuotos į iššūkius konkurencingumui ir konvergencijai.</w:t>
      </w:r>
    </w:p>
    <w:p w:rsidR="00166524" w:rsidRPr="002F602E" w:rsidRDefault="00166524" w:rsidP="00815894">
      <w:pPr>
        <w:spacing w:after="0" w:line="240" w:lineRule="auto"/>
        <w:jc w:val="both"/>
        <w:rPr>
          <w:rFonts w:cs="Times New Roman"/>
          <w:i/>
          <w:szCs w:val="24"/>
        </w:rPr>
      </w:pPr>
    </w:p>
    <w:p w:rsidR="00166524" w:rsidRPr="002F602E" w:rsidRDefault="00166524" w:rsidP="00815894">
      <w:pPr>
        <w:spacing w:after="0" w:line="240" w:lineRule="auto"/>
        <w:jc w:val="both"/>
        <w:rPr>
          <w:rFonts w:cs="Times New Roman"/>
          <w:szCs w:val="24"/>
        </w:rPr>
      </w:pPr>
    </w:p>
    <w:p w:rsidR="00166524" w:rsidRPr="002F602E" w:rsidRDefault="00166524" w:rsidP="00166524">
      <w:pPr>
        <w:spacing w:line="240" w:lineRule="auto"/>
        <w:jc w:val="both"/>
        <w:rPr>
          <w:rFonts w:cs="Times New Roman"/>
          <w:szCs w:val="24"/>
        </w:rPr>
      </w:pPr>
    </w:p>
    <w:sectPr w:rsidR="00166524" w:rsidRPr="002F602E" w:rsidSect="00F725F9">
      <w:footerReference w:type="default" r:id="rId9"/>
      <w:pgSz w:w="11906" w:h="16838"/>
      <w:pgMar w:top="709"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1A3" w:rsidRDefault="007061A3" w:rsidP="00CA70EF">
      <w:pPr>
        <w:spacing w:after="0" w:line="240" w:lineRule="auto"/>
      </w:pPr>
      <w:r>
        <w:separator/>
      </w:r>
    </w:p>
  </w:endnote>
  <w:endnote w:type="continuationSeparator" w:id="0">
    <w:p w:rsidR="007061A3" w:rsidRDefault="007061A3" w:rsidP="00CA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380986"/>
      <w:docPartObj>
        <w:docPartGallery w:val="Page Numbers (Bottom of Page)"/>
        <w:docPartUnique/>
      </w:docPartObj>
    </w:sdtPr>
    <w:sdtEndPr/>
    <w:sdtContent>
      <w:p w:rsidR="00315CA2" w:rsidRDefault="00315CA2">
        <w:pPr>
          <w:pStyle w:val="Porat"/>
          <w:jc w:val="right"/>
        </w:pPr>
        <w:r>
          <w:fldChar w:fldCharType="begin"/>
        </w:r>
        <w:r>
          <w:instrText>PAGE   \* MERGEFORMAT</w:instrText>
        </w:r>
        <w:r>
          <w:fldChar w:fldCharType="separate"/>
        </w:r>
        <w:r w:rsidR="00DB34D7">
          <w:rPr>
            <w:noProof/>
          </w:rPr>
          <w:t>7</w:t>
        </w:r>
        <w:r>
          <w:fldChar w:fldCharType="end"/>
        </w:r>
      </w:p>
    </w:sdtContent>
  </w:sdt>
  <w:p w:rsidR="00315CA2" w:rsidRDefault="00315C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1A3" w:rsidRDefault="007061A3" w:rsidP="00CA70EF">
      <w:pPr>
        <w:spacing w:after="0" w:line="240" w:lineRule="auto"/>
      </w:pPr>
      <w:r>
        <w:separator/>
      </w:r>
    </w:p>
  </w:footnote>
  <w:footnote w:type="continuationSeparator" w:id="0">
    <w:p w:rsidR="007061A3" w:rsidRDefault="007061A3" w:rsidP="00CA70EF">
      <w:pPr>
        <w:spacing w:after="0" w:line="240" w:lineRule="auto"/>
      </w:pPr>
      <w:r>
        <w:continuationSeparator/>
      </w:r>
    </w:p>
  </w:footnote>
  <w:footnote w:id="1">
    <w:p w:rsidR="00A51160" w:rsidRDefault="00A51160" w:rsidP="00A51160">
      <w:pPr>
        <w:pStyle w:val="Puslapioinaostekstas"/>
      </w:pPr>
      <w:r>
        <w:rPr>
          <w:rStyle w:val="Puslapioinaosnuoroda"/>
        </w:rPr>
        <w:footnoteRef/>
      </w:r>
      <w:r>
        <w:t xml:space="preserve"> Bulgarija, Kroatija, Prancūzija, Vokietija, Graikija, Airija, Italija, Nyderlandai, Portugalija, Rumunija, Ispanija, Švedija.</w:t>
      </w:r>
    </w:p>
  </w:footnote>
  <w:footnote w:id="2">
    <w:p w:rsidR="00A51160" w:rsidRDefault="00A51160" w:rsidP="00A51160">
      <w:pPr>
        <w:pStyle w:val="Puslapioinaostekstas"/>
      </w:pPr>
      <w:r>
        <w:rPr>
          <w:rStyle w:val="Puslapioinaosnuoroda"/>
        </w:rPr>
        <w:footnoteRef/>
      </w:r>
      <w:r>
        <w:t xml:space="preserve"> </w:t>
      </w:r>
      <w:r>
        <w:t xml:space="preserve">Kipras, Graikija, Italija.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1380"/>
    <w:multiLevelType w:val="hybridMultilevel"/>
    <w:tmpl w:val="9E5010C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A559C3"/>
    <w:multiLevelType w:val="hybridMultilevel"/>
    <w:tmpl w:val="57AE3466"/>
    <w:lvl w:ilvl="0" w:tplc="2829F52C">
      <w:start w:val="1"/>
      <w:numFmt w:val="bullet"/>
      <w:lvlText w:val="·"/>
      <w:lvlJc w:val="left"/>
      <w:pPr>
        <w:ind w:left="720" w:hanging="360"/>
      </w:pPr>
      <w:rPr>
        <w:rFonts w:ascii="Symbol" w:hAnsi="Symbol"/>
      </w:rPr>
    </w:lvl>
    <w:lvl w:ilvl="1" w:tplc="4947271A">
      <w:start w:val="1"/>
      <w:numFmt w:val="bullet"/>
      <w:lvlText w:val="o"/>
      <w:lvlJc w:val="left"/>
      <w:pPr>
        <w:ind w:left="1440" w:hanging="360"/>
      </w:pPr>
      <w:rPr>
        <w:rFonts w:ascii="Symbol" w:hAnsi="Symbol"/>
      </w:rPr>
    </w:lvl>
    <w:lvl w:ilvl="2" w:tplc="09C6FE9D">
      <w:start w:val="1"/>
      <w:numFmt w:val="bullet"/>
      <w:lvlText w:val="·"/>
      <w:lvlJc w:val="left"/>
      <w:pPr>
        <w:ind w:left="2160" w:hanging="360"/>
      </w:pPr>
      <w:rPr>
        <w:rFonts w:ascii="Symbol" w:hAnsi="Symbol"/>
      </w:rPr>
    </w:lvl>
    <w:lvl w:ilvl="3" w:tplc="5465D9FE">
      <w:start w:val="1"/>
      <w:numFmt w:val="bullet"/>
      <w:lvlText w:val="o"/>
      <w:lvlJc w:val="left"/>
      <w:pPr>
        <w:ind w:left="2880" w:hanging="360"/>
      </w:pPr>
      <w:rPr>
        <w:rFonts w:ascii="Symbol" w:hAnsi="Symbol"/>
      </w:rPr>
    </w:lvl>
    <w:lvl w:ilvl="4" w:tplc="0BF99CF2">
      <w:start w:val="1"/>
      <w:numFmt w:val="bullet"/>
      <w:lvlText w:val="·"/>
      <w:lvlJc w:val="left"/>
      <w:pPr>
        <w:ind w:left="3600" w:hanging="360"/>
      </w:pPr>
      <w:rPr>
        <w:rFonts w:ascii="Symbol" w:hAnsi="Symbol"/>
      </w:rPr>
    </w:lvl>
    <w:lvl w:ilvl="5" w:tplc="08B5CB76">
      <w:start w:val="1"/>
      <w:numFmt w:val="bullet"/>
      <w:lvlText w:val="o"/>
      <w:lvlJc w:val="left"/>
      <w:pPr>
        <w:ind w:left="4320" w:hanging="360"/>
      </w:pPr>
      <w:rPr>
        <w:rFonts w:ascii="Symbol" w:hAnsi="Symbol"/>
      </w:rPr>
    </w:lvl>
    <w:lvl w:ilvl="6" w:tplc="1AEDEFE3">
      <w:start w:val="1"/>
      <w:numFmt w:val="bullet"/>
      <w:lvlText w:val="·"/>
      <w:lvlJc w:val="left"/>
      <w:pPr>
        <w:ind w:left="5040" w:hanging="360"/>
      </w:pPr>
      <w:rPr>
        <w:rFonts w:ascii="Symbol" w:hAnsi="Symbol"/>
      </w:rPr>
    </w:lvl>
    <w:lvl w:ilvl="7" w:tplc="13B893EE">
      <w:start w:val="1"/>
      <w:numFmt w:val="bullet"/>
      <w:lvlText w:val="o"/>
      <w:lvlJc w:val="left"/>
      <w:pPr>
        <w:ind w:left="5760" w:hanging="360"/>
      </w:pPr>
      <w:rPr>
        <w:rFonts w:ascii="Symbol" w:hAnsi="Symbol"/>
      </w:rPr>
    </w:lvl>
    <w:lvl w:ilvl="8" w:tplc="72D96613">
      <w:start w:val="1"/>
      <w:numFmt w:val="bullet"/>
      <w:lvlText w:val="·"/>
      <w:lvlJc w:val="left"/>
      <w:pPr>
        <w:ind w:left="6480" w:hanging="360"/>
      </w:pPr>
      <w:rPr>
        <w:rFonts w:ascii="Symbol" w:hAnsi="Symbol"/>
      </w:rPr>
    </w:lvl>
  </w:abstractNum>
  <w:abstractNum w:abstractNumId="2">
    <w:nsid w:val="0B503EE9"/>
    <w:multiLevelType w:val="hybridMultilevel"/>
    <w:tmpl w:val="D17E4C16"/>
    <w:lvl w:ilvl="0" w:tplc="BACEF886">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C506C05"/>
    <w:multiLevelType w:val="hybridMultilevel"/>
    <w:tmpl w:val="9AD44B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D31290C"/>
    <w:multiLevelType w:val="hybridMultilevel"/>
    <w:tmpl w:val="E356F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2C45ED6"/>
    <w:multiLevelType w:val="hybridMultilevel"/>
    <w:tmpl w:val="F682754A"/>
    <w:lvl w:ilvl="0" w:tplc="F652337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5A622D3"/>
    <w:multiLevelType w:val="hybridMultilevel"/>
    <w:tmpl w:val="3AAA1F56"/>
    <w:lvl w:ilvl="0" w:tplc="1449C233">
      <w:start w:val="1"/>
      <w:numFmt w:val="decimal"/>
      <w:lvlText w:val="%1."/>
      <w:lvlJc w:val="left"/>
      <w:pPr>
        <w:ind w:left="720" w:hanging="360"/>
      </w:pPr>
    </w:lvl>
    <w:lvl w:ilvl="1" w:tplc="201BCE56">
      <w:start w:val="1"/>
      <w:numFmt w:val="decimal"/>
      <w:lvlText w:val="%2."/>
      <w:lvlJc w:val="left"/>
      <w:pPr>
        <w:ind w:left="1440" w:hanging="360"/>
      </w:pPr>
    </w:lvl>
    <w:lvl w:ilvl="2" w:tplc="2EEF7512">
      <w:start w:val="1"/>
      <w:numFmt w:val="decimal"/>
      <w:lvlText w:val="%3."/>
      <w:lvlJc w:val="left"/>
      <w:pPr>
        <w:ind w:left="2160" w:hanging="360"/>
      </w:pPr>
    </w:lvl>
    <w:lvl w:ilvl="3" w:tplc="5E90BB19">
      <w:start w:val="1"/>
      <w:numFmt w:val="decimal"/>
      <w:lvlText w:val="%4."/>
      <w:lvlJc w:val="left"/>
      <w:pPr>
        <w:ind w:left="2880" w:hanging="360"/>
      </w:pPr>
    </w:lvl>
    <w:lvl w:ilvl="4" w:tplc="64FE0EDE">
      <w:start w:val="1"/>
      <w:numFmt w:val="decimal"/>
      <w:lvlText w:val="%5."/>
      <w:lvlJc w:val="left"/>
      <w:pPr>
        <w:ind w:left="3600" w:hanging="360"/>
      </w:pPr>
    </w:lvl>
    <w:lvl w:ilvl="5" w:tplc="31F52462">
      <w:start w:val="1"/>
      <w:numFmt w:val="decimal"/>
      <w:lvlText w:val="%6."/>
      <w:lvlJc w:val="left"/>
      <w:pPr>
        <w:ind w:left="4320" w:hanging="360"/>
      </w:pPr>
    </w:lvl>
    <w:lvl w:ilvl="6" w:tplc="3D39A6BD">
      <w:start w:val="1"/>
      <w:numFmt w:val="decimal"/>
      <w:lvlText w:val="%7."/>
      <w:lvlJc w:val="left"/>
      <w:pPr>
        <w:ind w:left="5040" w:hanging="360"/>
      </w:pPr>
    </w:lvl>
    <w:lvl w:ilvl="7" w:tplc="6B999989">
      <w:start w:val="1"/>
      <w:numFmt w:val="decimal"/>
      <w:lvlText w:val="%8."/>
      <w:lvlJc w:val="left"/>
      <w:pPr>
        <w:ind w:left="5760" w:hanging="360"/>
      </w:pPr>
    </w:lvl>
    <w:lvl w:ilvl="8" w:tplc="3BF28F7F">
      <w:start w:val="1"/>
      <w:numFmt w:val="decimal"/>
      <w:lvlText w:val="%9."/>
      <w:lvlJc w:val="left"/>
      <w:pPr>
        <w:ind w:left="6480" w:hanging="360"/>
      </w:pPr>
    </w:lvl>
  </w:abstractNum>
  <w:abstractNum w:abstractNumId="7">
    <w:nsid w:val="2CEE715F"/>
    <w:multiLevelType w:val="hybridMultilevel"/>
    <w:tmpl w:val="5D864A92"/>
    <w:lvl w:ilvl="0" w:tplc="C870150A">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2DA678C9"/>
    <w:multiLevelType w:val="hybridMultilevel"/>
    <w:tmpl w:val="613CA340"/>
    <w:lvl w:ilvl="0" w:tplc="FA427EDC">
      <w:start w:val="2018"/>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nsid w:val="3A004807"/>
    <w:multiLevelType w:val="hybridMultilevel"/>
    <w:tmpl w:val="EBAE1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44873C22"/>
    <w:multiLevelType w:val="hybridMultilevel"/>
    <w:tmpl w:val="55947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49F4654"/>
    <w:multiLevelType w:val="hybridMultilevel"/>
    <w:tmpl w:val="7E7CE998"/>
    <w:lvl w:ilvl="0" w:tplc="095ED1D6">
      <w:numFmt w:val="bullet"/>
      <w:lvlText w:val="-"/>
      <w:lvlJc w:val="left"/>
      <w:pPr>
        <w:ind w:left="720" w:hanging="360"/>
      </w:pPr>
      <w:rPr>
        <w:rFonts w:ascii="Times New Roman" w:eastAsia="Calibri"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92C6E4C"/>
    <w:multiLevelType w:val="multilevel"/>
    <w:tmpl w:val="60D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E33E80"/>
    <w:multiLevelType w:val="hybridMultilevel"/>
    <w:tmpl w:val="4D9E0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7480108E"/>
    <w:multiLevelType w:val="hybridMultilevel"/>
    <w:tmpl w:val="8A06A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775A0811"/>
    <w:multiLevelType w:val="hybridMultilevel"/>
    <w:tmpl w:val="6FCEC354"/>
    <w:lvl w:ilvl="0" w:tplc="88CA432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90723C6"/>
    <w:multiLevelType w:val="hybridMultilevel"/>
    <w:tmpl w:val="5D48E94E"/>
    <w:lvl w:ilvl="0" w:tplc="3FF04744">
      <w:start w:val="1"/>
      <w:numFmt w:val="bullet"/>
      <w:lvlText w:val="·"/>
      <w:lvlJc w:val="left"/>
      <w:pPr>
        <w:ind w:left="720" w:hanging="360"/>
      </w:pPr>
      <w:rPr>
        <w:rFonts w:ascii="Symbol" w:hAnsi="Symbol"/>
      </w:rPr>
    </w:lvl>
    <w:lvl w:ilvl="1" w:tplc="6FDA30BD">
      <w:start w:val="1"/>
      <w:numFmt w:val="bullet"/>
      <w:lvlText w:val="o"/>
      <w:lvlJc w:val="left"/>
      <w:pPr>
        <w:ind w:left="1440" w:hanging="360"/>
      </w:pPr>
      <w:rPr>
        <w:rFonts w:ascii="Symbol" w:hAnsi="Symbol"/>
      </w:rPr>
    </w:lvl>
    <w:lvl w:ilvl="2" w:tplc="2B2776A4">
      <w:start w:val="1"/>
      <w:numFmt w:val="bullet"/>
      <w:lvlText w:val="·"/>
      <w:lvlJc w:val="left"/>
      <w:pPr>
        <w:ind w:left="2160" w:hanging="360"/>
      </w:pPr>
      <w:rPr>
        <w:rFonts w:ascii="Symbol" w:hAnsi="Symbol"/>
      </w:rPr>
    </w:lvl>
    <w:lvl w:ilvl="3" w:tplc="11404CA8">
      <w:start w:val="1"/>
      <w:numFmt w:val="bullet"/>
      <w:lvlText w:val="o"/>
      <w:lvlJc w:val="left"/>
      <w:pPr>
        <w:ind w:left="2880" w:hanging="360"/>
      </w:pPr>
      <w:rPr>
        <w:rFonts w:ascii="Symbol" w:hAnsi="Symbol"/>
      </w:rPr>
    </w:lvl>
    <w:lvl w:ilvl="4" w:tplc="7F570474">
      <w:start w:val="1"/>
      <w:numFmt w:val="bullet"/>
      <w:lvlText w:val="·"/>
      <w:lvlJc w:val="left"/>
      <w:pPr>
        <w:ind w:left="3600" w:hanging="360"/>
      </w:pPr>
      <w:rPr>
        <w:rFonts w:ascii="Symbol" w:hAnsi="Symbol"/>
      </w:rPr>
    </w:lvl>
    <w:lvl w:ilvl="5" w:tplc="6E429DED">
      <w:start w:val="1"/>
      <w:numFmt w:val="bullet"/>
      <w:lvlText w:val="o"/>
      <w:lvlJc w:val="left"/>
      <w:pPr>
        <w:ind w:left="4320" w:hanging="360"/>
      </w:pPr>
      <w:rPr>
        <w:rFonts w:ascii="Symbol" w:hAnsi="Symbol"/>
      </w:rPr>
    </w:lvl>
    <w:lvl w:ilvl="6" w:tplc="6EF8EC77">
      <w:start w:val="1"/>
      <w:numFmt w:val="bullet"/>
      <w:lvlText w:val="·"/>
      <w:lvlJc w:val="left"/>
      <w:pPr>
        <w:ind w:left="5040" w:hanging="360"/>
      </w:pPr>
      <w:rPr>
        <w:rFonts w:ascii="Symbol" w:hAnsi="Symbol"/>
      </w:rPr>
    </w:lvl>
    <w:lvl w:ilvl="7" w:tplc="4F1836BF">
      <w:start w:val="1"/>
      <w:numFmt w:val="bullet"/>
      <w:lvlText w:val="o"/>
      <w:lvlJc w:val="left"/>
      <w:pPr>
        <w:ind w:left="5760" w:hanging="360"/>
      </w:pPr>
      <w:rPr>
        <w:rFonts w:ascii="Symbol" w:hAnsi="Symbol"/>
      </w:rPr>
    </w:lvl>
    <w:lvl w:ilvl="8" w:tplc="767960D6">
      <w:start w:val="1"/>
      <w:numFmt w:val="bullet"/>
      <w:lvlText w:val="·"/>
      <w:lvlJc w:val="left"/>
      <w:pPr>
        <w:ind w:left="6480" w:hanging="360"/>
      </w:pPr>
      <w:rPr>
        <w:rFonts w:ascii="Symbol" w:hAnsi="Symbol"/>
      </w:rPr>
    </w:lvl>
  </w:abstractNum>
  <w:num w:numId="1">
    <w:abstractNumId w:val="5"/>
  </w:num>
  <w:num w:numId="2">
    <w:abstractNumId w:val="16"/>
  </w:num>
  <w:num w:numId="3">
    <w:abstractNumId w:val="1"/>
  </w:num>
  <w:num w:numId="4">
    <w:abstractNumId w:val="12"/>
  </w:num>
  <w:num w:numId="5">
    <w:abstractNumId w:val="14"/>
  </w:num>
  <w:num w:numId="6">
    <w:abstractNumId w:val="6"/>
  </w:num>
  <w:num w:numId="7">
    <w:abstractNumId w:val="9"/>
  </w:num>
  <w:num w:numId="8">
    <w:abstractNumId w:val="11"/>
  </w:num>
  <w:num w:numId="9">
    <w:abstractNumId w:val="15"/>
  </w:num>
  <w:num w:numId="10">
    <w:abstractNumId w:val="4"/>
  </w:num>
  <w:num w:numId="11">
    <w:abstractNumId w:val="7"/>
  </w:num>
  <w:num w:numId="12">
    <w:abstractNumId w:val="0"/>
  </w:num>
  <w:num w:numId="13">
    <w:abstractNumId w:val="10"/>
  </w:num>
  <w:num w:numId="14">
    <w:abstractNumId w:val="2"/>
  </w:num>
  <w:num w:numId="15">
    <w:abstractNumId w:val="13"/>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40"/>
    <w:rsid w:val="00036C9B"/>
    <w:rsid w:val="000463FC"/>
    <w:rsid w:val="000568E5"/>
    <w:rsid w:val="000A6246"/>
    <w:rsid w:val="000D2193"/>
    <w:rsid w:val="000E0FF2"/>
    <w:rsid w:val="000F4E61"/>
    <w:rsid w:val="00111005"/>
    <w:rsid w:val="00114A4B"/>
    <w:rsid w:val="001205F2"/>
    <w:rsid w:val="00120D14"/>
    <w:rsid w:val="001517F4"/>
    <w:rsid w:val="001658BC"/>
    <w:rsid w:val="00166524"/>
    <w:rsid w:val="00173C4E"/>
    <w:rsid w:val="00182EC2"/>
    <w:rsid w:val="00196D2C"/>
    <w:rsid w:val="001B180A"/>
    <w:rsid w:val="0024632F"/>
    <w:rsid w:val="00251724"/>
    <w:rsid w:val="00254E26"/>
    <w:rsid w:val="002572F3"/>
    <w:rsid w:val="00267738"/>
    <w:rsid w:val="00283951"/>
    <w:rsid w:val="002907CC"/>
    <w:rsid w:val="0029554C"/>
    <w:rsid w:val="00297D77"/>
    <w:rsid w:val="002F5336"/>
    <w:rsid w:val="002F602E"/>
    <w:rsid w:val="00315CA2"/>
    <w:rsid w:val="00323F70"/>
    <w:rsid w:val="003316EF"/>
    <w:rsid w:val="00341355"/>
    <w:rsid w:val="00351711"/>
    <w:rsid w:val="00364BD5"/>
    <w:rsid w:val="00375E81"/>
    <w:rsid w:val="00380CB2"/>
    <w:rsid w:val="00382E88"/>
    <w:rsid w:val="003A4523"/>
    <w:rsid w:val="003B7DA9"/>
    <w:rsid w:val="00400088"/>
    <w:rsid w:val="00420E11"/>
    <w:rsid w:val="004952B0"/>
    <w:rsid w:val="004E56FE"/>
    <w:rsid w:val="00523C46"/>
    <w:rsid w:val="00546EBA"/>
    <w:rsid w:val="00561308"/>
    <w:rsid w:val="00563C6C"/>
    <w:rsid w:val="00590243"/>
    <w:rsid w:val="005C1381"/>
    <w:rsid w:val="005C3976"/>
    <w:rsid w:val="005C44E5"/>
    <w:rsid w:val="005D6A77"/>
    <w:rsid w:val="005F6ADD"/>
    <w:rsid w:val="00613C5B"/>
    <w:rsid w:val="00634DF1"/>
    <w:rsid w:val="00646CDD"/>
    <w:rsid w:val="0064710E"/>
    <w:rsid w:val="006662BC"/>
    <w:rsid w:val="00676CED"/>
    <w:rsid w:val="00687257"/>
    <w:rsid w:val="006A5604"/>
    <w:rsid w:val="006D0DD1"/>
    <w:rsid w:val="007061A3"/>
    <w:rsid w:val="00725FE5"/>
    <w:rsid w:val="007424A4"/>
    <w:rsid w:val="00744CC1"/>
    <w:rsid w:val="007668C2"/>
    <w:rsid w:val="007B5B45"/>
    <w:rsid w:val="007D319A"/>
    <w:rsid w:val="007D405D"/>
    <w:rsid w:val="007E1F06"/>
    <w:rsid w:val="00815894"/>
    <w:rsid w:val="00827E85"/>
    <w:rsid w:val="0084520E"/>
    <w:rsid w:val="008618AA"/>
    <w:rsid w:val="00861D50"/>
    <w:rsid w:val="00863C8A"/>
    <w:rsid w:val="00886F69"/>
    <w:rsid w:val="008C3792"/>
    <w:rsid w:val="008F18CC"/>
    <w:rsid w:val="008F7763"/>
    <w:rsid w:val="009038E8"/>
    <w:rsid w:val="0093518F"/>
    <w:rsid w:val="00960522"/>
    <w:rsid w:val="009C7F6C"/>
    <w:rsid w:val="009D4DFA"/>
    <w:rsid w:val="00A47A9A"/>
    <w:rsid w:val="00A51160"/>
    <w:rsid w:val="00A7013E"/>
    <w:rsid w:val="00A75D59"/>
    <w:rsid w:val="00AF438B"/>
    <w:rsid w:val="00B249C7"/>
    <w:rsid w:val="00B57322"/>
    <w:rsid w:val="00B577B4"/>
    <w:rsid w:val="00B720FA"/>
    <w:rsid w:val="00B77813"/>
    <w:rsid w:val="00B87ADC"/>
    <w:rsid w:val="00BD76AA"/>
    <w:rsid w:val="00BE0F68"/>
    <w:rsid w:val="00BE2E6B"/>
    <w:rsid w:val="00C01740"/>
    <w:rsid w:val="00C05BBA"/>
    <w:rsid w:val="00C317EA"/>
    <w:rsid w:val="00C57A83"/>
    <w:rsid w:val="00C8168C"/>
    <w:rsid w:val="00C81C48"/>
    <w:rsid w:val="00CA70EF"/>
    <w:rsid w:val="00CC76C0"/>
    <w:rsid w:val="00CD3C8A"/>
    <w:rsid w:val="00CE1BB0"/>
    <w:rsid w:val="00CE2FE8"/>
    <w:rsid w:val="00D05CC5"/>
    <w:rsid w:val="00D108B2"/>
    <w:rsid w:val="00D609E6"/>
    <w:rsid w:val="00D63FE8"/>
    <w:rsid w:val="00D93099"/>
    <w:rsid w:val="00DA485E"/>
    <w:rsid w:val="00DA765A"/>
    <w:rsid w:val="00DB34D7"/>
    <w:rsid w:val="00DD0818"/>
    <w:rsid w:val="00DD2365"/>
    <w:rsid w:val="00DD26BC"/>
    <w:rsid w:val="00DD2CB1"/>
    <w:rsid w:val="00F125D8"/>
    <w:rsid w:val="00F14480"/>
    <w:rsid w:val="00F725F9"/>
    <w:rsid w:val="00F80FD8"/>
    <w:rsid w:val="00F90228"/>
    <w:rsid w:val="00F92876"/>
    <w:rsid w:val="00FB6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uiPriority w:val="99"/>
    <w:semiHidden/>
    <w:unhideWhenUsed/>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166524"/>
    <w:rPr>
      <w:sz w:val="20"/>
      <w:szCs w:val="20"/>
    </w:rPr>
  </w:style>
  <w:style w:type="character" w:styleId="Puslapioinaosnuoroda">
    <w:name w:val="footnote reference"/>
    <w:basedOn w:val="Numatytasispastraiposriftas"/>
    <w:uiPriority w:val="99"/>
    <w:semiHidden/>
    <w:unhideWhenUsed/>
    <w:rsid w:val="00166524"/>
    <w:rPr>
      <w:vertAlign w:val="superscript"/>
    </w:rPr>
  </w:style>
  <w:style w:type="paragraph" w:customStyle="1" w:styleId="PointManual">
    <w:name w:val="Point Manual"/>
    <w:basedOn w:val="prastasis"/>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 w:type="paragraph" w:customStyle="1" w:styleId="Default">
    <w:name w:val="Default"/>
    <w:rsid w:val="00C81C4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uiPriority w:val="99"/>
    <w:semiHidden/>
    <w:unhideWhenUsed/>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166524"/>
    <w:rPr>
      <w:sz w:val="20"/>
      <w:szCs w:val="20"/>
    </w:rPr>
  </w:style>
  <w:style w:type="character" w:styleId="Puslapioinaosnuoroda">
    <w:name w:val="footnote reference"/>
    <w:basedOn w:val="Numatytasispastraiposriftas"/>
    <w:uiPriority w:val="99"/>
    <w:semiHidden/>
    <w:unhideWhenUsed/>
    <w:rsid w:val="00166524"/>
    <w:rPr>
      <w:vertAlign w:val="superscript"/>
    </w:rPr>
  </w:style>
  <w:style w:type="paragraph" w:customStyle="1" w:styleId="PointManual">
    <w:name w:val="Point Manual"/>
    <w:basedOn w:val="prastasis"/>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 w:type="paragraph" w:customStyle="1" w:styleId="Default">
    <w:name w:val="Default"/>
    <w:rsid w:val="00C81C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872405">
      <w:bodyDiv w:val="1"/>
      <w:marLeft w:val="0"/>
      <w:marRight w:val="0"/>
      <w:marTop w:val="0"/>
      <w:marBottom w:val="0"/>
      <w:divBdr>
        <w:top w:val="none" w:sz="0" w:space="0" w:color="auto"/>
        <w:left w:val="none" w:sz="0" w:space="0" w:color="auto"/>
        <w:bottom w:val="none" w:sz="0" w:space="0" w:color="auto"/>
        <w:right w:val="none" w:sz="0" w:space="0" w:color="auto"/>
      </w:divBdr>
    </w:div>
    <w:div w:id="2071800983">
      <w:bodyDiv w:val="1"/>
      <w:marLeft w:val="0"/>
      <w:marRight w:val="0"/>
      <w:marTop w:val="0"/>
      <w:marBottom w:val="0"/>
      <w:divBdr>
        <w:top w:val="none" w:sz="0" w:space="0" w:color="auto"/>
        <w:left w:val="none" w:sz="0" w:space="0" w:color="auto"/>
        <w:bottom w:val="none" w:sz="0" w:space="0" w:color="auto"/>
        <w:right w:val="none" w:sz="0" w:space="0" w:color="auto"/>
      </w:divBdr>
      <w:divsChild>
        <w:div w:id="407508289">
          <w:marLeft w:val="0"/>
          <w:marRight w:val="0"/>
          <w:marTop w:val="0"/>
          <w:marBottom w:val="0"/>
          <w:divBdr>
            <w:top w:val="none" w:sz="0" w:space="0" w:color="auto"/>
            <w:left w:val="none" w:sz="0" w:space="0" w:color="auto"/>
            <w:bottom w:val="none" w:sz="0" w:space="0" w:color="auto"/>
            <w:right w:val="none" w:sz="0" w:space="0" w:color="auto"/>
          </w:divBdr>
          <w:divsChild>
            <w:div w:id="490827250">
              <w:marLeft w:val="0"/>
              <w:marRight w:val="0"/>
              <w:marTop w:val="0"/>
              <w:marBottom w:val="0"/>
              <w:divBdr>
                <w:top w:val="none" w:sz="0" w:space="0" w:color="auto"/>
                <w:left w:val="none" w:sz="0" w:space="0" w:color="auto"/>
                <w:bottom w:val="none" w:sz="0" w:space="0" w:color="auto"/>
                <w:right w:val="none" w:sz="0" w:space="0" w:color="auto"/>
              </w:divBdr>
              <w:divsChild>
                <w:div w:id="1926068837">
                  <w:marLeft w:val="0"/>
                  <w:marRight w:val="0"/>
                  <w:marTop w:val="0"/>
                  <w:marBottom w:val="0"/>
                  <w:divBdr>
                    <w:top w:val="none" w:sz="0" w:space="0" w:color="auto"/>
                    <w:left w:val="none" w:sz="0" w:space="0" w:color="auto"/>
                    <w:bottom w:val="none" w:sz="0" w:space="0" w:color="auto"/>
                    <w:right w:val="none" w:sz="0" w:space="0" w:color="auto"/>
                  </w:divBdr>
                  <w:divsChild>
                    <w:div w:id="895094491">
                      <w:marLeft w:val="0"/>
                      <w:marRight w:val="0"/>
                      <w:marTop w:val="0"/>
                      <w:marBottom w:val="0"/>
                      <w:divBdr>
                        <w:top w:val="none" w:sz="0" w:space="0" w:color="auto"/>
                        <w:left w:val="none" w:sz="0" w:space="0" w:color="auto"/>
                        <w:bottom w:val="none" w:sz="0" w:space="0" w:color="auto"/>
                        <w:right w:val="none" w:sz="0" w:space="0" w:color="auto"/>
                      </w:divBdr>
                      <w:divsChild>
                        <w:div w:id="1682272695">
                          <w:marLeft w:val="0"/>
                          <w:marRight w:val="0"/>
                          <w:marTop w:val="0"/>
                          <w:marBottom w:val="0"/>
                          <w:divBdr>
                            <w:top w:val="none" w:sz="0" w:space="0" w:color="auto"/>
                            <w:left w:val="none" w:sz="0" w:space="0" w:color="auto"/>
                            <w:bottom w:val="none" w:sz="0" w:space="0" w:color="auto"/>
                            <w:right w:val="none" w:sz="0" w:space="0" w:color="auto"/>
                          </w:divBdr>
                        </w:div>
                        <w:div w:id="1574850277">
                          <w:marLeft w:val="0"/>
                          <w:marRight w:val="0"/>
                          <w:marTop w:val="0"/>
                          <w:marBottom w:val="0"/>
                          <w:divBdr>
                            <w:top w:val="none" w:sz="0" w:space="0" w:color="auto"/>
                            <w:left w:val="none" w:sz="0" w:space="0" w:color="auto"/>
                            <w:bottom w:val="none" w:sz="0" w:space="0" w:color="auto"/>
                            <w:right w:val="none" w:sz="0" w:space="0" w:color="auto"/>
                          </w:divBdr>
                          <w:divsChild>
                            <w:div w:id="553197089">
                              <w:marLeft w:val="0"/>
                              <w:marRight w:val="300"/>
                              <w:marTop w:val="180"/>
                              <w:marBottom w:val="0"/>
                              <w:divBdr>
                                <w:top w:val="none" w:sz="0" w:space="0" w:color="auto"/>
                                <w:left w:val="none" w:sz="0" w:space="0" w:color="auto"/>
                                <w:bottom w:val="none" w:sz="0" w:space="0" w:color="auto"/>
                                <w:right w:val="none" w:sz="0" w:space="0" w:color="auto"/>
                              </w:divBdr>
                              <w:divsChild>
                                <w:div w:id="5283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74713">
          <w:marLeft w:val="0"/>
          <w:marRight w:val="0"/>
          <w:marTop w:val="0"/>
          <w:marBottom w:val="0"/>
          <w:divBdr>
            <w:top w:val="none" w:sz="0" w:space="0" w:color="auto"/>
            <w:left w:val="none" w:sz="0" w:space="0" w:color="auto"/>
            <w:bottom w:val="none" w:sz="0" w:space="0" w:color="auto"/>
            <w:right w:val="none" w:sz="0" w:space="0" w:color="auto"/>
          </w:divBdr>
          <w:divsChild>
            <w:div w:id="1496073497">
              <w:marLeft w:val="0"/>
              <w:marRight w:val="0"/>
              <w:marTop w:val="0"/>
              <w:marBottom w:val="0"/>
              <w:divBdr>
                <w:top w:val="none" w:sz="0" w:space="0" w:color="auto"/>
                <w:left w:val="none" w:sz="0" w:space="0" w:color="auto"/>
                <w:bottom w:val="none" w:sz="0" w:space="0" w:color="auto"/>
                <w:right w:val="none" w:sz="0" w:space="0" w:color="auto"/>
              </w:divBdr>
              <w:divsChild>
                <w:div w:id="1190878957">
                  <w:marLeft w:val="0"/>
                  <w:marRight w:val="0"/>
                  <w:marTop w:val="0"/>
                  <w:marBottom w:val="0"/>
                  <w:divBdr>
                    <w:top w:val="none" w:sz="0" w:space="0" w:color="auto"/>
                    <w:left w:val="none" w:sz="0" w:space="0" w:color="auto"/>
                    <w:bottom w:val="none" w:sz="0" w:space="0" w:color="auto"/>
                    <w:right w:val="none" w:sz="0" w:space="0" w:color="auto"/>
                  </w:divBdr>
                  <w:divsChild>
                    <w:div w:id="769012965">
                      <w:marLeft w:val="0"/>
                      <w:marRight w:val="0"/>
                      <w:marTop w:val="0"/>
                      <w:marBottom w:val="0"/>
                      <w:divBdr>
                        <w:top w:val="none" w:sz="0" w:space="0" w:color="auto"/>
                        <w:left w:val="none" w:sz="0" w:space="0" w:color="auto"/>
                        <w:bottom w:val="none" w:sz="0" w:space="0" w:color="auto"/>
                        <w:right w:val="none" w:sz="0" w:space="0" w:color="auto"/>
                      </w:divBdr>
                      <w:divsChild>
                        <w:div w:id="1512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C3F66-E231-4FB3-8810-4E49D50F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Pages>
  <Words>15955</Words>
  <Characters>9095</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Vysockaja-Mockienė</dc:creator>
  <cp:lastModifiedBy>Audronė Pavlovičienė</cp:lastModifiedBy>
  <cp:revision>21</cp:revision>
  <cp:lastPrinted>2019-05-06T11:59:00Z</cp:lastPrinted>
  <dcterms:created xsi:type="dcterms:W3CDTF">2019-02-04T05:14:00Z</dcterms:created>
  <dcterms:modified xsi:type="dcterms:W3CDTF">2019-05-06T12:52:00Z</dcterms:modified>
</cp:coreProperties>
</file>