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13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9DA3649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23617D7E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Ignalinos atominės elektrinės eksploatavimo nutraukimo fina</w:t>
      </w:r>
      <w:r>
        <w:rPr>
          <w:b/>
        </w:rPr>
        <w:t>nsavimo po 2020 metų</w:t>
      </w:r>
    </w:p>
    <w:p w14:paraId="6E17FE9F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29900E47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14:paraId="16807EA8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A87A3BC" w14:textId="77777777" w:rsidR="00744E98" w:rsidRDefault="00744E98">
      <w:pPr>
        <w:rPr>
          <w:lang w:val="lt"/>
        </w:rPr>
      </w:pPr>
    </w:p>
    <w:p w14:paraId="20A13FB0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14F4FD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2015 m. balandžio 15 d. nutarimo Nr. 389 „Dėl Kuršių nerijos nacionalinio parko tvarkymo plano rengimo“ pakeitimo (TAP-17-1214) (17-8568(2)</w:t>
      </w:r>
    </w:p>
    <w:p w14:paraId="700774A2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9126C2D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</w:t>
      </w:r>
      <w:r>
        <w:t>liūtė, Kultūros paveldo departamento direktorė Diana Varnaitė, Valstybinės saugomų teritorijų tarnybos direktorius Albertas Stanislovaitis</w:t>
      </w:r>
    </w:p>
    <w:p w14:paraId="02CCE7F9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9EBE4F9" w14:textId="77777777" w:rsidR="00744E98" w:rsidRDefault="00744E98">
      <w:pPr>
        <w:rPr>
          <w:lang w:val="lt"/>
        </w:rPr>
      </w:pPr>
    </w:p>
    <w:p w14:paraId="39BBC9B3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435AD0F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Atlyginimo už dokumentų teikimą tvarkos aprašo patvirtinimo (TAP-17-1239) (17-5269(3)</w:t>
      </w:r>
    </w:p>
    <w:p w14:paraId="4A3D0F96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susisiekimo ministras Rokas Masiulis</w:t>
      </w:r>
    </w:p>
    <w:p w14:paraId="238BC024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Martynas Jokūbauskas</w:t>
      </w:r>
    </w:p>
    <w:p w14:paraId="4356E5F7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7C11A1B" w14:textId="77777777" w:rsidR="00744E98" w:rsidRDefault="00744E98">
      <w:pPr>
        <w:rPr>
          <w:lang w:val="lt"/>
        </w:rPr>
      </w:pPr>
    </w:p>
    <w:p w14:paraId="461374CB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3747AAA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VESK SIŪLO NEPRISTATYTI. Dėl Lietuvos Respublikos pozicijų dėl klausimų, svarstomų 2017 m. rugsėjo 14 d. Europos Sąjungos Teisingumo ir vidaus reikalų tarybos posėdyje</w:t>
      </w:r>
    </w:p>
    <w:p w14:paraId="5692D3AD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</w:t>
      </w:r>
      <w:r>
        <w:t>anešėjas</w:t>
      </w:r>
      <w:r>
        <w:tab/>
        <w:t>–</w:t>
      </w:r>
      <w:r>
        <w:tab/>
        <w:t>vidaus reikalų ministras Eimutis Misiūnas</w:t>
      </w:r>
    </w:p>
    <w:p w14:paraId="59CF80DE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88FA981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668013" w14:textId="77777777" w:rsidR="00744E98" w:rsidRDefault="00744E98">
      <w:pPr>
        <w:rPr>
          <w:lang w:val="lt"/>
        </w:rPr>
      </w:pPr>
    </w:p>
    <w:p w14:paraId="194C13F3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6A609DA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VESK SIŪLO NEPRISTATYTI. Dėl Lietuvos Respublikos pozicijų dėl klausimų, svarstomų 2017 m. rugsėjo 25 d. Europos Sąjungos Bendrųjų reikalų ir</w:t>
      </w:r>
      <w:r>
        <w:rPr>
          <w:b/>
        </w:rPr>
        <w:t xml:space="preserve"> specialiosios Bendrųjų reikalų (50 str.) tarybų posėdžiuose</w:t>
      </w:r>
    </w:p>
    <w:p w14:paraId="7AD4A8FD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4B63E5F9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27A693B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23EC3A" w14:textId="77777777" w:rsidR="00744E98" w:rsidRDefault="00744E98">
      <w:pPr>
        <w:rPr>
          <w:lang w:val="lt"/>
        </w:rPr>
      </w:pPr>
    </w:p>
    <w:p w14:paraId="262A4736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EFAA9CD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VESK SIŪLO NEPRISTATYTI. Dėl Lietuvos Respublikos siekio prisijungti prie ES Bendrosios saugumo ir gynybos politikos Nuolatinio struktūruoto bendradarbiavimo (angl. Permanent Structured Cooperation, PESCO) formato</w:t>
      </w:r>
    </w:p>
    <w:p w14:paraId="3150E661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</w:t>
      </w:r>
      <w:r>
        <w:t>Raimundas Karoblis</w:t>
      </w:r>
    </w:p>
    <w:p w14:paraId="07A2E6F7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F834F66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B89C257" w14:textId="77777777" w:rsidR="00744E98" w:rsidRDefault="00744E98">
      <w:pPr>
        <w:rPr>
          <w:lang w:val="lt"/>
        </w:rPr>
      </w:pPr>
    </w:p>
    <w:p w14:paraId="2EF1459E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9089935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1863–1864 m. sukilimo vadų atminimo įamžinimo komisijos sudarymo (TAP-17-1288) (17-10550)</w:t>
      </w:r>
    </w:p>
    <w:p w14:paraId="59EA8C26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60F7E6D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</w:t>
      </w:r>
      <w:r>
        <w:t>ecialistas Piotr Gerasimovič</w:t>
      </w:r>
    </w:p>
    <w:p w14:paraId="6B71CF4C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2A7D31" w14:textId="77777777" w:rsidR="00744E98" w:rsidRDefault="00744E98">
      <w:pPr>
        <w:rPr>
          <w:lang w:val="lt"/>
        </w:rPr>
      </w:pPr>
    </w:p>
    <w:p w14:paraId="61116789" w14:textId="77777777" w:rsidR="00744E98" w:rsidRDefault="00744E9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3BDEF73" w14:textId="77777777" w:rsidR="00744E98" w:rsidRDefault="00F5321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A. Mikulskio paskyrimo</w:t>
      </w:r>
    </w:p>
    <w:p w14:paraId="5897F235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5833B697" w14:textId="77777777" w:rsidR="00744E98" w:rsidRDefault="00F5321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2F0A8CE" w14:textId="77777777" w:rsidR="00744E98" w:rsidRDefault="00744E9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F53217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44E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F14D86"/>
    <w:rsid w:val="00F53217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2019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2260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2017-09-14T12:18:00Z</dcterms:created>
  <dcterms:modified xsi:type="dcterms:W3CDTF">2017-09-14T12:18:00Z</dcterms:modified>
</cp:coreProperties>
</file>