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974F0" w14:textId="77777777" w:rsidR="008F663C" w:rsidRPr="0073538D" w:rsidRDefault="006F585D" w:rsidP="001A724B">
      <w:pPr>
        <w:jc w:val="center"/>
        <w:rPr>
          <w:rFonts w:ascii="Times New Roman" w:hAnsi="Times New Roman" w:cs="Times New Roman"/>
          <w:b/>
        </w:rPr>
      </w:pPr>
      <w:r w:rsidRPr="0073538D">
        <w:rPr>
          <w:rFonts w:ascii="Times New Roman" w:hAnsi="Times New Roman" w:cs="Times New Roman"/>
          <w:b/>
        </w:rPr>
        <w:t>DERINIMO PAŽYMA</w:t>
      </w:r>
    </w:p>
    <w:p w14:paraId="6F37FE3D" w14:textId="77777777" w:rsidR="0073538D" w:rsidRDefault="0073538D" w:rsidP="001A724B">
      <w:pPr>
        <w:spacing w:after="0" w:line="240" w:lineRule="auto"/>
        <w:jc w:val="center"/>
        <w:rPr>
          <w:rFonts w:ascii="Times New Roman" w:eastAsia="Times New Roman" w:hAnsi="Times New Roman" w:cs="Times New Roman"/>
          <w:b/>
          <w:sz w:val="24"/>
          <w:szCs w:val="20"/>
        </w:rPr>
      </w:pPr>
      <w:r w:rsidRPr="0073538D">
        <w:rPr>
          <w:rFonts w:ascii="Times New Roman" w:eastAsia="Times New Roman" w:hAnsi="Times New Roman" w:cs="Times New Roman"/>
          <w:b/>
          <w:sz w:val="24"/>
          <w:szCs w:val="20"/>
        </w:rPr>
        <w:t xml:space="preserve">DĖL LIETUVOS RESPUBLIKOS VYRIAUSYBĖS </w:t>
      </w:r>
      <w:r w:rsidR="001B4D32" w:rsidRPr="0073538D">
        <w:rPr>
          <w:rFonts w:ascii="Times New Roman" w:eastAsia="Times New Roman" w:hAnsi="Times New Roman" w:cs="Times New Roman"/>
          <w:b/>
          <w:sz w:val="24"/>
          <w:szCs w:val="20"/>
        </w:rPr>
        <w:t>20</w:t>
      </w:r>
      <w:r w:rsidR="001B4D32">
        <w:rPr>
          <w:rFonts w:ascii="Times New Roman" w:eastAsia="Times New Roman" w:hAnsi="Times New Roman" w:cs="Times New Roman"/>
          <w:b/>
          <w:sz w:val="24"/>
          <w:szCs w:val="20"/>
        </w:rPr>
        <w:t>18</w:t>
      </w:r>
      <w:r w:rsidR="001B4D32" w:rsidRPr="0073538D">
        <w:rPr>
          <w:rFonts w:ascii="Times New Roman" w:eastAsia="Times New Roman" w:hAnsi="Times New Roman" w:cs="Times New Roman"/>
          <w:b/>
          <w:sz w:val="24"/>
          <w:szCs w:val="20"/>
        </w:rPr>
        <w:t xml:space="preserve"> </w:t>
      </w:r>
      <w:r w:rsidRPr="0073538D">
        <w:rPr>
          <w:rFonts w:ascii="Times New Roman" w:eastAsia="Times New Roman" w:hAnsi="Times New Roman" w:cs="Times New Roman"/>
          <w:b/>
          <w:sz w:val="24"/>
          <w:szCs w:val="20"/>
        </w:rPr>
        <w:t xml:space="preserve">M. </w:t>
      </w:r>
      <w:r w:rsidR="001B4D32">
        <w:rPr>
          <w:rFonts w:ascii="Times New Roman" w:eastAsia="Times New Roman" w:hAnsi="Times New Roman" w:cs="Times New Roman"/>
          <w:b/>
          <w:sz w:val="24"/>
          <w:szCs w:val="20"/>
        </w:rPr>
        <w:t>VASARIO</w:t>
      </w:r>
      <w:r w:rsidR="001B4D32" w:rsidRPr="0073538D">
        <w:rPr>
          <w:rFonts w:ascii="Times New Roman" w:eastAsia="Times New Roman" w:hAnsi="Times New Roman" w:cs="Times New Roman"/>
          <w:b/>
          <w:sz w:val="24"/>
          <w:szCs w:val="20"/>
        </w:rPr>
        <w:t xml:space="preserve"> </w:t>
      </w:r>
      <w:r w:rsidR="001B4D32">
        <w:rPr>
          <w:rFonts w:ascii="Times New Roman" w:eastAsia="Times New Roman" w:hAnsi="Times New Roman" w:cs="Times New Roman"/>
          <w:b/>
          <w:sz w:val="24"/>
          <w:szCs w:val="20"/>
        </w:rPr>
        <w:t>7</w:t>
      </w:r>
      <w:r w:rsidR="001B4D32" w:rsidRPr="0073538D">
        <w:rPr>
          <w:rFonts w:ascii="Times New Roman" w:eastAsia="Times New Roman" w:hAnsi="Times New Roman" w:cs="Times New Roman"/>
          <w:b/>
          <w:sz w:val="24"/>
          <w:szCs w:val="20"/>
        </w:rPr>
        <w:t xml:space="preserve"> </w:t>
      </w:r>
      <w:r w:rsidRPr="0073538D">
        <w:rPr>
          <w:rFonts w:ascii="Times New Roman" w:eastAsia="Times New Roman" w:hAnsi="Times New Roman" w:cs="Times New Roman"/>
          <w:b/>
          <w:sz w:val="24"/>
          <w:szCs w:val="20"/>
        </w:rPr>
        <w:t xml:space="preserve">D. NUTARIMO NR. </w:t>
      </w:r>
      <w:r w:rsidR="001B4D32">
        <w:rPr>
          <w:rFonts w:ascii="Times New Roman" w:eastAsia="Times New Roman" w:hAnsi="Times New Roman" w:cs="Times New Roman"/>
          <w:b/>
          <w:sz w:val="24"/>
          <w:szCs w:val="20"/>
        </w:rPr>
        <w:t>139</w:t>
      </w:r>
      <w:r w:rsidR="001B4D32" w:rsidRPr="0073538D">
        <w:rPr>
          <w:rFonts w:ascii="Times New Roman" w:eastAsia="Times New Roman" w:hAnsi="Times New Roman" w:cs="Times New Roman"/>
          <w:b/>
          <w:sz w:val="24"/>
          <w:szCs w:val="20"/>
        </w:rPr>
        <w:t xml:space="preserve"> </w:t>
      </w:r>
      <w:r w:rsidRPr="0073538D">
        <w:rPr>
          <w:rFonts w:ascii="Times New Roman" w:eastAsia="Times New Roman" w:hAnsi="Times New Roman" w:cs="Times New Roman"/>
          <w:b/>
          <w:sz w:val="24"/>
          <w:szCs w:val="20"/>
        </w:rPr>
        <w:t>„DĖL</w:t>
      </w:r>
      <w:r w:rsidR="003E0B73">
        <w:rPr>
          <w:rFonts w:ascii="Times New Roman" w:eastAsia="Times New Roman" w:hAnsi="Times New Roman" w:cs="Times New Roman"/>
          <w:b/>
          <w:sz w:val="24"/>
          <w:szCs w:val="20"/>
        </w:rPr>
        <w:t xml:space="preserve"> </w:t>
      </w:r>
      <w:r w:rsidR="001B4D32">
        <w:rPr>
          <w:rFonts w:ascii="Times New Roman" w:eastAsia="Times New Roman" w:hAnsi="Times New Roman" w:cs="Times New Roman"/>
          <w:b/>
          <w:sz w:val="24"/>
          <w:szCs w:val="20"/>
        </w:rPr>
        <w:t>SOCIALINIŲ IR EKONOMINIŲ PARTNERIŲ PASIŪLYTŲ ATSTOVŲ SKYRIMO Į REGIONŲ PLĖTROS TARYBAS IR ATŠAUKIMO TVARKOS APRAŠO PATVIRTINIMO</w:t>
      </w:r>
      <w:r w:rsidRPr="0073538D">
        <w:rPr>
          <w:rFonts w:ascii="Times New Roman" w:eastAsia="Times New Roman" w:hAnsi="Times New Roman" w:cs="Times New Roman"/>
          <w:b/>
          <w:sz w:val="24"/>
          <w:szCs w:val="20"/>
        </w:rPr>
        <w:t>“ PAKEITIMO</w:t>
      </w:r>
      <w:r>
        <w:rPr>
          <w:rFonts w:ascii="Times New Roman" w:eastAsia="Times New Roman" w:hAnsi="Times New Roman" w:cs="Times New Roman"/>
          <w:b/>
          <w:sz w:val="24"/>
          <w:szCs w:val="20"/>
        </w:rPr>
        <w:t xml:space="preserve"> PROJEKTO</w:t>
      </w:r>
    </w:p>
    <w:p w14:paraId="52216F4F" w14:textId="0A6799E9" w:rsidR="0073538D" w:rsidRPr="0073538D" w:rsidRDefault="0073538D" w:rsidP="001A724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w:t>
      </w:r>
      <w:r w:rsidRPr="004A1EB9">
        <w:rPr>
          <w:rFonts w:ascii="Times New Roman" w:eastAsia="Times New Roman" w:hAnsi="Times New Roman" w:cs="Times New Roman"/>
          <w:b/>
          <w:sz w:val="24"/>
          <w:szCs w:val="20"/>
        </w:rPr>
        <w:t xml:space="preserve">toliau – </w:t>
      </w:r>
      <w:r w:rsidR="00720D5D">
        <w:rPr>
          <w:rFonts w:ascii="Times New Roman" w:eastAsia="Times New Roman" w:hAnsi="Times New Roman" w:cs="Times New Roman"/>
          <w:b/>
          <w:sz w:val="24"/>
          <w:szCs w:val="20"/>
        </w:rPr>
        <w:t>p</w:t>
      </w:r>
      <w:r w:rsidR="00720D5D" w:rsidRPr="004A1EB9">
        <w:rPr>
          <w:rFonts w:ascii="Times New Roman" w:eastAsia="Times New Roman" w:hAnsi="Times New Roman" w:cs="Times New Roman"/>
          <w:b/>
          <w:sz w:val="24"/>
          <w:szCs w:val="20"/>
        </w:rPr>
        <w:t>rojektas</w:t>
      </w:r>
      <w:r w:rsidRPr="004A1EB9">
        <w:rPr>
          <w:rFonts w:ascii="Times New Roman" w:eastAsia="Times New Roman" w:hAnsi="Times New Roman" w:cs="Times New Roman"/>
          <w:b/>
          <w:sz w:val="24"/>
          <w:szCs w:val="20"/>
        </w:rPr>
        <w:t>)</w:t>
      </w:r>
    </w:p>
    <w:p w14:paraId="67B7FAFF" w14:textId="77777777" w:rsidR="0073538D" w:rsidRPr="0073538D" w:rsidRDefault="0073538D" w:rsidP="004A1EB9">
      <w:pPr>
        <w:spacing w:after="0" w:line="240" w:lineRule="auto"/>
        <w:jc w:val="both"/>
        <w:rPr>
          <w:rFonts w:ascii="Times New Roman" w:eastAsia="Times New Roman" w:hAnsi="Times New Roman" w:cs="Times New Roman"/>
          <w:sz w:val="24"/>
          <w:szCs w:val="20"/>
        </w:rPr>
      </w:pPr>
    </w:p>
    <w:p w14:paraId="1824E58D" w14:textId="77777777" w:rsidR="008F663C" w:rsidRDefault="008F663C" w:rsidP="004A1EB9">
      <w:pPr>
        <w:jc w:val="both"/>
      </w:pPr>
    </w:p>
    <w:tbl>
      <w:tblPr>
        <w:tblStyle w:val="Lentelstinklelis"/>
        <w:tblW w:w="14879" w:type="dxa"/>
        <w:tblLook w:val="04A0" w:firstRow="1" w:lastRow="0" w:firstColumn="1" w:lastColumn="0" w:noHBand="0" w:noVBand="1"/>
      </w:tblPr>
      <w:tblGrid>
        <w:gridCol w:w="2972"/>
        <w:gridCol w:w="5103"/>
        <w:gridCol w:w="6804"/>
      </w:tblGrid>
      <w:tr w:rsidR="008F663C" w14:paraId="3992C86E" w14:textId="77777777" w:rsidTr="004A1EB9">
        <w:tc>
          <w:tcPr>
            <w:tcW w:w="2972" w:type="dxa"/>
          </w:tcPr>
          <w:p w14:paraId="5A870EB0" w14:textId="77777777" w:rsidR="008F663C" w:rsidRPr="008F663C" w:rsidRDefault="008F663C" w:rsidP="004A1EB9">
            <w:pPr>
              <w:spacing w:line="276" w:lineRule="auto"/>
              <w:jc w:val="both"/>
              <w:rPr>
                <w:rFonts w:ascii="Times New Roman" w:hAnsi="Times New Roman" w:cs="Times New Roman"/>
                <w:b/>
                <w:sz w:val="24"/>
                <w:szCs w:val="24"/>
              </w:rPr>
            </w:pPr>
            <w:r>
              <w:rPr>
                <w:rFonts w:ascii="Times New Roman" w:hAnsi="Times New Roman" w:cs="Times New Roman"/>
                <w:b/>
                <w:sz w:val="24"/>
                <w:szCs w:val="24"/>
              </w:rPr>
              <w:t>Institucija, rašto data, numeris</w:t>
            </w:r>
          </w:p>
        </w:tc>
        <w:tc>
          <w:tcPr>
            <w:tcW w:w="5103" w:type="dxa"/>
          </w:tcPr>
          <w:p w14:paraId="0A4B662F" w14:textId="77777777" w:rsidR="008F663C" w:rsidRPr="008F663C" w:rsidRDefault="008F663C" w:rsidP="004A1EB9">
            <w:pPr>
              <w:spacing w:line="276" w:lineRule="auto"/>
              <w:jc w:val="both"/>
              <w:rPr>
                <w:rFonts w:ascii="Times New Roman" w:hAnsi="Times New Roman" w:cs="Times New Roman"/>
                <w:b/>
                <w:sz w:val="24"/>
                <w:szCs w:val="24"/>
              </w:rPr>
            </w:pPr>
            <w:r w:rsidRPr="008F663C">
              <w:rPr>
                <w:rFonts w:ascii="Times New Roman" w:hAnsi="Times New Roman" w:cs="Times New Roman"/>
                <w:b/>
                <w:sz w:val="24"/>
                <w:szCs w:val="24"/>
              </w:rPr>
              <w:t>Pastabos ir pasiūlymai</w:t>
            </w:r>
          </w:p>
        </w:tc>
        <w:tc>
          <w:tcPr>
            <w:tcW w:w="6804" w:type="dxa"/>
          </w:tcPr>
          <w:p w14:paraId="099BD04D" w14:textId="77777777" w:rsidR="008F663C" w:rsidRPr="004229E4" w:rsidRDefault="008F663C" w:rsidP="004A1EB9">
            <w:pPr>
              <w:spacing w:line="276" w:lineRule="auto"/>
              <w:jc w:val="both"/>
              <w:rPr>
                <w:rFonts w:ascii="Times New Roman" w:hAnsi="Times New Roman" w:cs="Times New Roman"/>
                <w:b/>
                <w:sz w:val="24"/>
                <w:szCs w:val="24"/>
              </w:rPr>
            </w:pPr>
            <w:r w:rsidRPr="004229E4">
              <w:rPr>
                <w:rFonts w:ascii="Times New Roman" w:eastAsia="Times New Roman" w:hAnsi="Times New Roman" w:cs="Times New Roman"/>
                <w:b/>
                <w:sz w:val="24"/>
                <w:szCs w:val="24"/>
              </w:rPr>
              <w:t>Įvertinimas</w:t>
            </w:r>
          </w:p>
        </w:tc>
      </w:tr>
      <w:tr w:rsidR="008F663C" w14:paraId="7348EC7E" w14:textId="77777777" w:rsidTr="004A1EB9">
        <w:tc>
          <w:tcPr>
            <w:tcW w:w="2972" w:type="dxa"/>
          </w:tcPr>
          <w:p w14:paraId="4F1FEF1D" w14:textId="77777777" w:rsidR="008F663C" w:rsidRPr="00591999" w:rsidRDefault="001B4D32" w:rsidP="004229E4">
            <w:pPr>
              <w:spacing w:line="276" w:lineRule="auto"/>
              <w:jc w:val="both"/>
              <w:rPr>
                <w:rFonts w:ascii="Times New Roman" w:eastAsia="Times New Roman" w:hAnsi="Times New Roman" w:cs="Times New Roman"/>
                <w:sz w:val="24"/>
                <w:szCs w:val="24"/>
              </w:rPr>
            </w:pPr>
            <w:r w:rsidRPr="00591999">
              <w:rPr>
                <w:rFonts w:ascii="Times New Roman" w:eastAsia="Times New Roman" w:hAnsi="Times New Roman" w:cs="Times New Roman"/>
                <w:sz w:val="24"/>
                <w:szCs w:val="24"/>
              </w:rPr>
              <w:t xml:space="preserve">Finansų </w:t>
            </w:r>
            <w:r w:rsidR="008F663C" w:rsidRPr="00591999">
              <w:rPr>
                <w:rFonts w:ascii="Times New Roman" w:eastAsia="Times New Roman" w:hAnsi="Times New Roman" w:cs="Times New Roman"/>
                <w:sz w:val="24"/>
                <w:szCs w:val="24"/>
              </w:rPr>
              <w:t xml:space="preserve">ministerija, </w:t>
            </w:r>
            <w:r w:rsidRPr="00591999">
              <w:rPr>
                <w:rFonts w:ascii="Times New Roman" w:eastAsia="Times New Roman" w:hAnsi="Times New Roman" w:cs="Times New Roman"/>
                <w:sz w:val="24"/>
                <w:szCs w:val="24"/>
              </w:rPr>
              <w:t>2019</w:t>
            </w:r>
            <w:r w:rsidR="008F663C" w:rsidRPr="00591999">
              <w:rPr>
                <w:rFonts w:ascii="Times New Roman" w:eastAsia="Times New Roman" w:hAnsi="Times New Roman" w:cs="Times New Roman"/>
                <w:sz w:val="24"/>
                <w:szCs w:val="24"/>
              </w:rPr>
              <w:t>-</w:t>
            </w:r>
            <w:r w:rsidRPr="00591999">
              <w:rPr>
                <w:rFonts w:ascii="Times New Roman" w:eastAsia="Times New Roman" w:hAnsi="Times New Roman" w:cs="Times New Roman"/>
                <w:sz w:val="24"/>
                <w:szCs w:val="24"/>
              </w:rPr>
              <w:t>03</w:t>
            </w:r>
            <w:r w:rsidR="008F663C" w:rsidRPr="00591999">
              <w:rPr>
                <w:rFonts w:ascii="Times New Roman" w:eastAsia="Times New Roman" w:hAnsi="Times New Roman" w:cs="Times New Roman"/>
                <w:sz w:val="24"/>
                <w:szCs w:val="24"/>
              </w:rPr>
              <w:t>-</w:t>
            </w:r>
            <w:r w:rsidRPr="00591999">
              <w:rPr>
                <w:rFonts w:ascii="Times New Roman" w:eastAsia="Times New Roman" w:hAnsi="Times New Roman" w:cs="Times New Roman"/>
                <w:sz w:val="24"/>
                <w:szCs w:val="24"/>
              </w:rPr>
              <w:t>08</w:t>
            </w:r>
            <w:r w:rsidR="00F82F33" w:rsidRPr="00591999">
              <w:rPr>
                <w:rFonts w:ascii="Times New Roman" w:eastAsia="Times New Roman" w:hAnsi="Times New Roman" w:cs="Times New Roman"/>
                <w:sz w:val="24"/>
                <w:szCs w:val="24"/>
              </w:rPr>
              <w:t>,</w:t>
            </w:r>
            <w:r w:rsidR="008F663C" w:rsidRPr="00591999">
              <w:rPr>
                <w:rFonts w:ascii="Times New Roman" w:eastAsia="Times New Roman" w:hAnsi="Times New Roman" w:cs="Times New Roman"/>
                <w:sz w:val="24"/>
                <w:szCs w:val="24"/>
              </w:rPr>
              <w:t xml:space="preserve"> Nr. </w:t>
            </w:r>
            <w:r w:rsidRPr="00591999">
              <w:rPr>
                <w:rFonts w:ascii="Times New Roman" w:eastAsia="Times New Roman" w:hAnsi="Times New Roman" w:cs="Times New Roman"/>
                <w:sz w:val="24"/>
                <w:szCs w:val="24"/>
              </w:rPr>
              <w:t>1D-1350</w:t>
            </w:r>
          </w:p>
          <w:p w14:paraId="17250C7F" w14:textId="77777777" w:rsidR="001B4D32" w:rsidRPr="00591999" w:rsidRDefault="001B4D32" w:rsidP="004229E4">
            <w:pPr>
              <w:spacing w:line="276" w:lineRule="auto"/>
              <w:jc w:val="both"/>
              <w:rPr>
                <w:rFonts w:ascii="Times New Roman" w:hAnsi="Times New Roman" w:cs="Times New Roman"/>
                <w:sz w:val="24"/>
                <w:szCs w:val="24"/>
              </w:rPr>
            </w:pPr>
          </w:p>
        </w:tc>
        <w:tc>
          <w:tcPr>
            <w:tcW w:w="5103" w:type="dxa"/>
          </w:tcPr>
          <w:p w14:paraId="035D1944" w14:textId="028DFDA8" w:rsidR="001B4D32" w:rsidRPr="00591999" w:rsidRDefault="0033206B" w:rsidP="001A724B">
            <w:pPr>
              <w:pStyle w:val="Sraopastraipa"/>
              <w:spacing w:line="276" w:lineRule="auto"/>
              <w:ind w:left="34"/>
              <w:jc w:val="both"/>
              <w:rPr>
                <w:rFonts w:ascii="Times New Roman" w:hAnsi="Times New Roman" w:cs="Times New Roman"/>
                <w:sz w:val="24"/>
                <w:szCs w:val="24"/>
              </w:rPr>
            </w:pPr>
            <w:r w:rsidRPr="00591999">
              <w:rPr>
                <w:rFonts w:ascii="Times New Roman" w:hAnsi="Times New Roman" w:cs="Times New Roman"/>
                <w:sz w:val="24"/>
                <w:szCs w:val="24"/>
              </w:rPr>
              <w:t xml:space="preserve">1. </w:t>
            </w:r>
            <w:r w:rsidR="001B4D32" w:rsidRPr="00591999">
              <w:rPr>
                <w:rFonts w:ascii="Times New Roman" w:hAnsi="Times New Roman" w:cs="Times New Roman"/>
                <w:sz w:val="24"/>
                <w:szCs w:val="24"/>
              </w:rPr>
              <w:t>Finansų ministerija skatina partnerystės principo, įtvirtinto Europos partnerystės kodekse</w:t>
            </w:r>
            <w:r w:rsidR="001B4D32" w:rsidRPr="00CC6D9B">
              <w:rPr>
                <w:rStyle w:val="Puslapioinaosnuoroda"/>
                <w:rFonts w:ascii="Times New Roman" w:hAnsi="Times New Roman" w:cs="Times New Roman"/>
              </w:rPr>
              <w:footnoteReference w:id="1"/>
            </w:r>
            <w:r w:rsidR="001B4D32" w:rsidRPr="00591999">
              <w:rPr>
                <w:rFonts w:ascii="Times New Roman" w:hAnsi="Times New Roman" w:cs="Times New Roman"/>
                <w:sz w:val="24"/>
                <w:szCs w:val="24"/>
              </w:rPr>
              <w:t xml:space="preserve">, taikymą </w:t>
            </w:r>
            <w:r w:rsidR="003E0B73">
              <w:rPr>
                <w:rFonts w:ascii="Times New Roman" w:hAnsi="Times New Roman" w:cs="Times New Roman"/>
                <w:sz w:val="24"/>
                <w:szCs w:val="24"/>
              </w:rPr>
              <w:t xml:space="preserve">priimant </w:t>
            </w:r>
            <w:r w:rsidR="001B4D32" w:rsidRPr="00591999">
              <w:rPr>
                <w:rFonts w:ascii="Times New Roman" w:hAnsi="Times New Roman" w:cs="Times New Roman"/>
                <w:sz w:val="24"/>
                <w:szCs w:val="24"/>
              </w:rPr>
              <w:t>sprendim</w:t>
            </w:r>
            <w:r w:rsidR="003E0B73">
              <w:rPr>
                <w:rFonts w:ascii="Times New Roman" w:hAnsi="Times New Roman" w:cs="Times New Roman"/>
                <w:sz w:val="24"/>
                <w:szCs w:val="24"/>
              </w:rPr>
              <w:t>us</w:t>
            </w:r>
            <w:r w:rsidR="001B4D32" w:rsidRPr="00591999">
              <w:rPr>
                <w:rFonts w:ascii="Times New Roman" w:hAnsi="Times New Roman" w:cs="Times New Roman"/>
                <w:sz w:val="24"/>
                <w:szCs w:val="24"/>
              </w:rPr>
              <w:t>. Šio principo taikymas užtikrina tvarią, darnią ir dalyvavimu grįstą regioninę politiką. Atsižvelgdami į tai, siūlome į regionų plėtros tarybas įtraukti ir pilietinės visuomenės atstovus.</w:t>
            </w:r>
          </w:p>
          <w:p w14:paraId="259EF0DD" w14:textId="1F8306F2" w:rsidR="0033206B" w:rsidRPr="00591999" w:rsidRDefault="0033206B" w:rsidP="0074558B">
            <w:pPr>
              <w:pStyle w:val="Sraopastraipa"/>
              <w:spacing w:line="276" w:lineRule="auto"/>
              <w:ind w:left="34"/>
              <w:jc w:val="both"/>
              <w:rPr>
                <w:rFonts w:ascii="Times New Roman" w:hAnsi="Times New Roman" w:cs="Times New Roman"/>
                <w:sz w:val="24"/>
                <w:szCs w:val="24"/>
              </w:rPr>
            </w:pPr>
            <w:r w:rsidRPr="00591999">
              <w:rPr>
                <w:rFonts w:ascii="Times New Roman" w:hAnsi="Times New Roman" w:cs="Times New Roman"/>
                <w:sz w:val="24"/>
                <w:szCs w:val="24"/>
              </w:rPr>
              <w:t xml:space="preserve">2. Aprašo 2 punkte prašome patikslinti, kokie institucijos socialiniai ir ekonominiai partneriai yra kviečiami </w:t>
            </w:r>
            <w:bookmarkStart w:id="0" w:name="_GoBack"/>
            <w:r w:rsidRPr="00591999">
              <w:rPr>
                <w:rFonts w:ascii="Times New Roman" w:hAnsi="Times New Roman" w:cs="Times New Roman"/>
                <w:sz w:val="24"/>
                <w:szCs w:val="24"/>
              </w:rPr>
              <w:t xml:space="preserve">teikti pasiūlymus. Siūlome </w:t>
            </w:r>
            <w:r w:rsidR="00720D5D">
              <w:rPr>
                <w:rFonts w:ascii="Times New Roman" w:hAnsi="Times New Roman" w:cs="Times New Roman"/>
                <w:sz w:val="24"/>
                <w:szCs w:val="24"/>
              </w:rPr>
              <w:t>a</w:t>
            </w:r>
            <w:r w:rsidR="00720D5D" w:rsidRPr="004A1EB9">
              <w:rPr>
                <w:rFonts w:ascii="Times New Roman" w:hAnsi="Times New Roman" w:cs="Times New Roman"/>
                <w:sz w:val="24"/>
                <w:szCs w:val="24"/>
              </w:rPr>
              <w:t>pr</w:t>
            </w:r>
            <w:r w:rsidR="00720D5D" w:rsidRPr="00591999">
              <w:rPr>
                <w:rFonts w:ascii="Times New Roman" w:hAnsi="Times New Roman" w:cs="Times New Roman"/>
                <w:sz w:val="24"/>
                <w:szCs w:val="24"/>
              </w:rPr>
              <w:t xml:space="preserve">aše </w:t>
            </w:r>
            <w:r w:rsidRPr="00591999">
              <w:rPr>
                <w:rFonts w:ascii="Times New Roman" w:hAnsi="Times New Roman" w:cs="Times New Roman"/>
                <w:sz w:val="24"/>
                <w:szCs w:val="24"/>
              </w:rPr>
              <w:t xml:space="preserve">apibrėžti sąvoką </w:t>
            </w:r>
            <w:r w:rsidR="00430BF5">
              <w:rPr>
                <w:rFonts w:ascii="Times New Roman" w:hAnsi="Times New Roman" w:cs="Times New Roman"/>
                <w:sz w:val="24"/>
                <w:szCs w:val="24"/>
              </w:rPr>
              <w:t>„</w:t>
            </w:r>
            <w:r w:rsidRPr="00591999">
              <w:rPr>
                <w:rFonts w:ascii="Times New Roman" w:hAnsi="Times New Roman" w:cs="Times New Roman"/>
                <w:sz w:val="24"/>
                <w:szCs w:val="24"/>
              </w:rPr>
              <w:t>socialiniai ir ekonominiai partneriai</w:t>
            </w:r>
            <w:r w:rsidR="00430BF5">
              <w:rPr>
                <w:rFonts w:ascii="Times New Roman" w:hAnsi="Times New Roman" w:cs="Times New Roman"/>
                <w:sz w:val="24"/>
                <w:szCs w:val="24"/>
              </w:rPr>
              <w:t>“</w:t>
            </w:r>
            <w:r w:rsidRPr="00591999">
              <w:rPr>
                <w:rFonts w:ascii="Times New Roman" w:hAnsi="Times New Roman" w:cs="Times New Roman"/>
                <w:sz w:val="24"/>
                <w:szCs w:val="24"/>
              </w:rPr>
              <w:t xml:space="preserve">. </w:t>
            </w:r>
          </w:p>
          <w:bookmarkEnd w:id="0"/>
          <w:p w14:paraId="5D8B19BD" w14:textId="77777777" w:rsidR="0033206B" w:rsidRPr="00591999" w:rsidRDefault="0033206B" w:rsidP="004229E4">
            <w:pPr>
              <w:pStyle w:val="Sraopastraipa"/>
              <w:spacing w:line="276" w:lineRule="auto"/>
              <w:ind w:left="34"/>
              <w:jc w:val="both"/>
              <w:rPr>
                <w:rFonts w:ascii="Times New Roman" w:hAnsi="Times New Roman" w:cs="Times New Roman"/>
                <w:sz w:val="24"/>
                <w:szCs w:val="24"/>
              </w:rPr>
            </w:pPr>
          </w:p>
          <w:p w14:paraId="3C673E21" w14:textId="77777777" w:rsidR="001B4D32" w:rsidRPr="00591999" w:rsidRDefault="0033206B" w:rsidP="004229E4">
            <w:pPr>
              <w:pStyle w:val="Sraopastraipa"/>
              <w:spacing w:line="276" w:lineRule="auto"/>
              <w:ind w:left="34"/>
              <w:jc w:val="both"/>
              <w:rPr>
                <w:rFonts w:ascii="Times New Roman" w:hAnsi="Times New Roman" w:cs="Times New Roman"/>
                <w:sz w:val="24"/>
                <w:szCs w:val="24"/>
              </w:rPr>
            </w:pPr>
            <w:r w:rsidRPr="00591999">
              <w:rPr>
                <w:rFonts w:ascii="Times New Roman" w:hAnsi="Times New Roman" w:cs="Times New Roman"/>
                <w:sz w:val="24"/>
                <w:szCs w:val="24"/>
              </w:rPr>
              <w:t xml:space="preserve"> </w:t>
            </w:r>
          </w:p>
          <w:p w14:paraId="5FC742FD" w14:textId="77777777" w:rsidR="001B4D32" w:rsidRPr="00591999" w:rsidRDefault="001B4D32" w:rsidP="004229E4">
            <w:pPr>
              <w:pStyle w:val="Sraopastraipa"/>
              <w:spacing w:line="276" w:lineRule="auto"/>
              <w:ind w:left="0"/>
              <w:jc w:val="both"/>
              <w:rPr>
                <w:rFonts w:ascii="Times New Roman" w:hAnsi="Times New Roman" w:cs="Times New Roman"/>
                <w:sz w:val="24"/>
                <w:szCs w:val="24"/>
              </w:rPr>
            </w:pPr>
          </w:p>
          <w:p w14:paraId="7A61DD4A" w14:textId="77777777" w:rsidR="008F663C" w:rsidRPr="00591999" w:rsidRDefault="008F663C" w:rsidP="004229E4">
            <w:pPr>
              <w:pStyle w:val="Sraopastraipa"/>
              <w:tabs>
                <w:tab w:val="left" w:pos="0"/>
                <w:tab w:val="left" w:pos="600"/>
                <w:tab w:val="left" w:pos="993"/>
              </w:tabs>
              <w:spacing w:line="276" w:lineRule="auto"/>
              <w:ind w:left="1656"/>
              <w:jc w:val="both"/>
              <w:rPr>
                <w:rFonts w:ascii="Times New Roman" w:hAnsi="Times New Roman" w:cs="Times New Roman"/>
                <w:sz w:val="24"/>
                <w:szCs w:val="24"/>
              </w:rPr>
            </w:pPr>
          </w:p>
        </w:tc>
        <w:tc>
          <w:tcPr>
            <w:tcW w:w="6804" w:type="dxa"/>
          </w:tcPr>
          <w:p w14:paraId="177369FA" w14:textId="77777777" w:rsidR="00CA7B46" w:rsidRDefault="008F663C" w:rsidP="004229E4">
            <w:pPr>
              <w:spacing w:line="276" w:lineRule="auto"/>
              <w:jc w:val="both"/>
              <w:rPr>
                <w:rFonts w:ascii="Times New Roman" w:hAnsi="Times New Roman" w:cs="Times New Roman"/>
                <w:b/>
                <w:sz w:val="24"/>
                <w:szCs w:val="24"/>
              </w:rPr>
            </w:pPr>
            <w:r w:rsidRPr="004229E4">
              <w:rPr>
                <w:rFonts w:ascii="Times New Roman" w:hAnsi="Times New Roman" w:cs="Times New Roman"/>
                <w:b/>
                <w:sz w:val="24"/>
                <w:szCs w:val="24"/>
              </w:rPr>
              <w:t>Neatsižvelgta.</w:t>
            </w:r>
          </w:p>
          <w:p w14:paraId="41B56CAB" w14:textId="1A4631C6" w:rsidR="0074558B" w:rsidRPr="004A1EB9" w:rsidRDefault="0074558B" w:rsidP="004229E4">
            <w:pPr>
              <w:spacing w:line="276" w:lineRule="auto"/>
              <w:jc w:val="both"/>
              <w:rPr>
                <w:rFonts w:ascii="Times New Roman" w:hAnsi="Times New Roman" w:cs="Times New Roman"/>
                <w:sz w:val="24"/>
                <w:szCs w:val="24"/>
              </w:rPr>
            </w:pPr>
            <w:r w:rsidRPr="004A1EB9">
              <w:rPr>
                <w:rFonts w:ascii="Times New Roman" w:hAnsi="Times New Roman" w:cs="Times New Roman"/>
                <w:sz w:val="24"/>
                <w:szCs w:val="24"/>
              </w:rPr>
              <w:t xml:space="preserve">1. </w:t>
            </w:r>
            <w:r w:rsidR="00591999" w:rsidRPr="004A1EB9">
              <w:rPr>
                <w:rFonts w:ascii="Times New Roman" w:hAnsi="Times New Roman" w:cs="Times New Roman"/>
                <w:sz w:val="24"/>
                <w:szCs w:val="24"/>
              </w:rPr>
              <w:t xml:space="preserve">Neatsižvelgta į Finansų ministerijos pastabas, </w:t>
            </w:r>
            <w:r w:rsidR="003E0B73">
              <w:rPr>
                <w:rFonts w:ascii="Times New Roman" w:hAnsi="Times New Roman" w:cs="Times New Roman"/>
                <w:sz w:val="24"/>
                <w:szCs w:val="24"/>
              </w:rPr>
              <w:t>kad</w:t>
            </w:r>
            <w:r w:rsidR="00D63437">
              <w:rPr>
                <w:rFonts w:ascii="Times New Roman" w:hAnsi="Times New Roman" w:cs="Times New Roman"/>
                <w:sz w:val="24"/>
                <w:szCs w:val="24"/>
              </w:rPr>
              <w:t>,</w:t>
            </w:r>
            <w:r w:rsidR="00591999" w:rsidRPr="004A1EB9">
              <w:rPr>
                <w:rFonts w:ascii="Times New Roman" w:hAnsi="Times New Roman" w:cs="Times New Roman"/>
                <w:sz w:val="24"/>
                <w:szCs w:val="24"/>
              </w:rPr>
              <w:t xml:space="preserve"> skatinant partnerystės principo, įtvirtinto Europos partnerystės kodekse</w:t>
            </w:r>
            <w:r w:rsidR="00B02603" w:rsidRPr="00AD7109">
              <w:rPr>
                <w:rStyle w:val="Puslapioinaosnuoroda"/>
                <w:rFonts w:ascii="Times New Roman" w:hAnsi="Times New Roman" w:cs="Times New Roman"/>
              </w:rPr>
              <w:t>1</w:t>
            </w:r>
            <w:r w:rsidR="00B02603" w:rsidRPr="004A1EB9">
              <w:rPr>
                <w:rFonts w:ascii="Times New Roman" w:hAnsi="Times New Roman" w:cs="Times New Roman"/>
                <w:sz w:val="24"/>
                <w:szCs w:val="24"/>
              </w:rPr>
              <w:t xml:space="preserve">, </w:t>
            </w:r>
            <w:r w:rsidR="00591999" w:rsidRPr="004A1EB9">
              <w:rPr>
                <w:rFonts w:ascii="Times New Roman" w:hAnsi="Times New Roman" w:cs="Times New Roman"/>
                <w:sz w:val="24"/>
                <w:szCs w:val="24"/>
              </w:rPr>
              <w:t xml:space="preserve">taikymą </w:t>
            </w:r>
            <w:r w:rsidR="003E0B73">
              <w:rPr>
                <w:rFonts w:ascii="Times New Roman" w:hAnsi="Times New Roman" w:cs="Times New Roman"/>
                <w:sz w:val="24"/>
                <w:szCs w:val="24"/>
              </w:rPr>
              <w:t xml:space="preserve">priimant </w:t>
            </w:r>
            <w:r w:rsidR="00591999" w:rsidRPr="004A1EB9">
              <w:rPr>
                <w:rFonts w:ascii="Times New Roman" w:hAnsi="Times New Roman" w:cs="Times New Roman"/>
                <w:sz w:val="24"/>
                <w:szCs w:val="24"/>
              </w:rPr>
              <w:t>sprendim</w:t>
            </w:r>
            <w:r w:rsidR="003E0B73">
              <w:rPr>
                <w:rFonts w:ascii="Times New Roman" w:hAnsi="Times New Roman" w:cs="Times New Roman"/>
                <w:sz w:val="24"/>
                <w:szCs w:val="24"/>
              </w:rPr>
              <w:t>us</w:t>
            </w:r>
            <w:r w:rsidR="00591999" w:rsidRPr="004A1EB9">
              <w:rPr>
                <w:rFonts w:ascii="Times New Roman" w:hAnsi="Times New Roman" w:cs="Times New Roman"/>
                <w:sz w:val="24"/>
                <w:szCs w:val="24"/>
              </w:rPr>
              <w:t>, siūlyta į regionų plėtros tarybas įtraukti ir pilietinės visuomenės atstovus</w:t>
            </w:r>
            <w:r w:rsidR="00D63437">
              <w:rPr>
                <w:rFonts w:ascii="Times New Roman" w:hAnsi="Times New Roman" w:cs="Times New Roman"/>
                <w:sz w:val="24"/>
                <w:szCs w:val="24"/>
              </w:rPr>
              <w:t>,</w:t>
            </w:r>
            <w:r w:rsidR="00591999" w:rsidRPr="004A1EB9">
              <w:rPr>
                <w:rFonts w:ascii="Times New Roman" w:hAnsi="Times New Roman" w:cs="Times New Roman"/>
                <w:sz w:val="24"/>
                <w:szCs w:val="24"/>
              </w:rPr>
              <w:t xml:space="preserve"> bei pasiūlymą apibrėžti socialinių ir ekonominių partnerių sąvoką. Socialinių ir ekonominių partnerių samprata siejasi su bendrojo partnerystės principo</w:t>
            </w:r>
            <w:r w:rsidR="00D63437">
              <w:rPr>
                <w:rFonts w:ascii="Times New Roman" w:hAnsi="Times New Roman" w:cs="Times New Roman"/>
                <w:sz w:val="24"/>
                <w:szCs w:val="24"/>
              </w:rPr>
              <w:t>, susijusi</w:t>
            </w:r>
            <w:r w:rsidR="0072653B">
              <w:rPr>
                <w:rFonts w:ascii="Times New Roman" w:hAnsi="Times New Roman" w:cs="Times New Roman"/>
                <w:sz w:val="24"/>
                <w:szCs w:val="24"/>
              </w:rPr>
              <w:t>o</w:t>
            </w:r>
            <w:r w:rsidR="00D63437">
              <w:rPr>
                <w:rFonts w:ascii="Times New Roman" w:hAnsi="Times New Roman" w:cs="Times New Roman"/>
                <w:sz w:val="24"/>
                <w:szCs w:val="24"/>
              </w:rPr>
              <w:t xml:space="preserve"> su</w:t>
            </w:r>
            <w:r w:rsidR="00591999" w:rsidRPr="004A1EB9">
              <w:rPr>
                <w:rFonts w:ascii="Times New Roman" w:hAnsi="Times New Roman" w:cs="Times New Roman"/>
                <w:sz w:val="24"/>
                <w:szCs w:val="24"/>
              </w:rPr>
              <w:t xml:space="preserve"> Europos Sąjungos (toliau – ES) sanglaudos politik</w:t>
            </w:r>
            <w:r w:rsidR="00D63437">
              <w:rPr>
                <w:rFonts w:ascii="Times New Roman" w:hAnsi="Times New Roman" w:cs="Times New Roman"/>
                <w:sz w:val="24"/>
                <w:szCs w:val="24"/>
              </w:rPr>
              <w:t>a,</w:t>
            </w:r>
            <w:r w:rsidR="00591999" w:rsidRPr="004A1EB9">
              <w:rPr>
                <w:rFonts w:ascii="Times New Roman" w:hAnsi="Times New Roman" w:cs="Times New Roman"/>
                <w:sz w:val="24"/>
                <w:szCs w:val="24"/>
              </w:rPr>
              <w:t xml:space="preserve"> įgyvendinimo realizavimu, kuris pirmą kartą buvo įtvirtintas 1988 m. birželio 24 d. Tarybos reglamentu Nr. 2052/88. Pa</w:t>
            </w:r>
            <w:r w:rsidR="00D63437">
              <w:rPr>
                <w:rFonts w:ascii="Times New Roman" w:hAnsi="Times New Roman" w:cs="Times New Roman"/>
                <w:sz w:val="24"/>
                <w:szCs w:val="24"/>
              </w:rPr>
              <w:t>brėžtina</w:t>
            </w:r>
            <w:r w:rsidR="00591999" w:rsidRPr="004A1EB9">
              <w:rPr>
                <w:rFonts w:ascii="Times New Roman" w:hAnsi="Times New Roman" w:cs="Times New Roman"/>
                <w:sz w:val="24"/>
                <w:szCs w:val="24"/>
              </w:rPr>
              <w:t>, kad nuo įgyvendinimo pradžios šis principas evoliucionavo, jo apimtis plėtėsi ir dabar jis apima glaudų Europos Komisijos, šalių narių nacionalinio, regioninio, vietinio lygmens valdžių ir kitų vyriausybinių ir nevyriausybinių organizacijų įvairiuose ES fondų įgyvendinimo ciklo etapuose ir įvairiais aspektais</w:t>
            </w:r>
            <w:r w:rsidR="00A56D89" w:rsidRPr="00AB22A1">
              <w:rPr>
                <w:rFonts w:ascii="Times New Roman" w:hAnsi="Times New Roman" w:cs="Times New Roman"/>
                <w:sz w:val="24"/>
                <w:szCs w:val="24"/>
              </w:rPr>
              <w:t xml:space="preserve"> bendradarbiavimą</w:t>
            </w:r>
            <w:r w:rsidR="00591999" w:rsidRPr="004A1EB9">
              <w:rPr>
                <w:rFonts w:ascii="Times New Roman" w:hAnsi="Times New Roman" w:cs="Times New Roman"/>
                <w:sz w:val="24"/>
                <w:szCs w:val="24"/>
              </w:rPr>
              <w:t xml:space="preserve">. </w:t>
            </w:r>
          </w:p>
          <w:p w14:paraId="6816B595" w14:textId="0B508670" w:rsidR="0074558B" w:rsidRPr="004A1EB9" w:rsidRDefault="0074558B" w:rsidP="004229E4">
            <w:pPr>
              <w:spacing w:line="276" w:lineRule="auto"/>
              <w:jc w:val="both"/>
              <w:rPr>
                <w:rFonts w:ascii="Times New Roman" w:hAnsi="Times New Roman" w:cs="Times New Roman"/>
                <w:sz w:val="24"/>
                <w:szCs w:val="24"/>
              </w:rPr>
            </w:pPr>
            <w:r w:rsidRPr="004A1EB9">
              <w:rPr>
                <w:rFonts w:ascii="Times New Roman" w:hAnsi="Times New Roman" w:cs="Times New Roman"/>
                <w:sz w:val="24"/>
                <w:szCs w:val="24"/>
              </w:rPr>
              <w:t xml:space="preserve">2. </w:t>
            </w:r>
            <w:r w:rsidR="00591999" w:rsidRPr="004A1EB9">
              <w:rPr>
                <w:rFonts w:ascii="Times New Roman" w:hAnsi="Times New Roman" w:cs="Times New Roman"/>
                <w:sz w:val="24"/>
                <w:szCs w:val="24"/>
              </w:rPr>
              <w:t xml:space="preserve">Socialinių ir ekonominių partnerių samprata paaiškinama 2014 m. sausio 7 d. Komisijos deleguotuoju reglamentu (ES) Nr. 240/2014 dėl Europos struktūrinių ir investicinių fondų Europos partnerystės </w:t>
            </w:r>
            <w:r w:rsidR="00591999" w:rsidRPr="004A1EB9">
              <w:rPr>
                <w:rFonts w:ascii="Times New Roman" w:hAnsi="Times New Roman" w:cs="Times New Roman"/>
                <w:sz w:val="24"/>
                <w:szCs w:val="24"/>
              </w:rPr>
              <w:lastRenderedPageBreak/>
              <w:t>elgesio kodekso (OL L 74, 2014, p. 1) (toliau – Reglamentas Nr. 240/2014). ES fondų kontekste ekonominių ir socialinių partnerių samprata (remiantis Reglamento Nr. 240/2014 4 straipsniu) apima nacionaliniu ar regioniniu mastu pripažintas socialinių partnerių organizacijas, visų pirma, bendras įvairių pramonės šakų ir sektorių organizacijas, kurių sektoriai susiję su planuojamu ES fondų paramos naudojimu tam tikrai programai įgyvendinti; nacionalinius ar regioninius prekybos rūmus ir verslo asociacijas, atstovaujančias bendriesiems pramonės ar jos šakų interesams, siekiant užtikrinti subalansuotą atstovavimą didelėms, vidutinėms, mažosioms ir labai mažoms įmonėms ir socialinės ekonomikos atstovams; kitus panašius nacionalinio ar regioninio lygmens subjektus</w:t>
            </w:r>
            <w:r w:rsidR="002E25B5" w:rsidRPr="004A1EB9">
              <w:rPr>
                <w:rFonts w:ascii="Times New Roman" w:hAnsi="Times New Roman" w:cs="Times New Roman"/>
                <w:sz w:val="24"/>
                <w:szCs w:val="24"/>
              </w:rPr>
              <w:t>, k</w:t>
            </w:r>
            <w:r w:rsidR="00591999" w:rsidRPr="004A1EB9">
              <w:rPr>
                <w:rFonts w:ascii="Times New Roman" w:hAnsi="Times New Roman" w:cs="Times New Roman"/>
                <w:sz w:val="24"/>
                <w:szCs w:val="24"/>
              </w:rPr>
              <w:t>adangi ES fondų investicijos yra susijusios su įvairių pramonės šakų ir sektorių plėtra, o Reglamente Nr. 240/2014 socialinių ir ekonominių partnerių samprata siejama su sektoriais, kuriuos paveiks planuojamos ES fondų investicijos (t. y partnerystė vystoma su tais, kuriems yra aktuali atitinkama sritis).</w:t>
            </w:r>
          </w:p>
          <w:p w14:paraId="2137C338" w14:textId="3C7678C1" w:rsidR="00DD27DA" w:rsidRPr="004229E4" w:rsidRDefault="00591999" w:rsidP="004229E4">
            <w:pPr>
              <w:spacing w:line="276" w:lineRule="auto"/>
              <w:jc w:val="both"/>
              <w:rPr>
                <w:rFonts w:ascii="Times New Roman" w:hAnsi="Times New Roman" w:cs="Times New Roman"/>
                <w:sz w:val="24"/>
                <w:szCs w:val="24"/>
              </w:rPr>
            </w:pPr>
            <w:r w:rsidRPr="004A1EB9">
              <w:rPr>
                <w:rFonts w:ascii="Times New Roman" w:hAnsi="Times New Roman" w:cs="Times New Roman"/>
                <w:sz w:val="24"/>
                <w:szCs w:val="24"/>
              </w:rPr>
              <w:t>Įvertinant tai, kad partnerystės principo taikymas iš ES fondų administravimo palaipsniui persikelia į kitas valdymo sritis, suprantamas poreikis socialinių ir ekonominių partnerių sąvoką apibrėžti ir nacionaliniuose teisės aktuose. Tačiau ši sąvoka (samprata) negali būti apibrėžta specialiajame konkrečiam sektoriui (valdymo sričiai) taikomame teisės akte, nes Partnerystės principo įgyvendinimas regioninės plėtros srityje gali reikšti partnerystę su visai kitokio pobūdžio organizacijomis negu, pvz., aplinkosaugos, lyčių lygybės, žmogaus teisių ir kitose srityse. Pa</w:t>
            </w:r>
            <w:r w:rsidR="002E25B5" w:rsidRPr="004A1EB9">
              <w:rPr>
                <w:rFonts w:ascii="Times New Roman" w:hAnsi="Times New Roman" w:cs="Times New Roman"/>
                <w:sz w:val="24"/>
                <w:szCs w:val="24"/>
              </w:rPr>
              <w:t>minėtina</w:t>
            </w:r>
            <w:r w:rsidRPr="004A1EB9">
              <w:rPr>
                <w:rFonts w:ascii="Times New Roman" w:hAnsi="Times New Roman" w:cs="Times New Roman"/>
                <w:sz w:val="24"/>
                <w:szCs w:val="24"/>
              </w:rPr>
              <w:t xml:space="preserve">, kad Reglamento Nr. 240/2014 4 straipsnyje yra paaiškinama pilietinei visuomenei atstovaujančių subjektų samprata bei kompetentingų regioninių, vietos, miesto ir kitų valdžios institucijų samprata </w:t>
            </w:r>
            <w:r w:rsidRPr="004A1EB9">
              <w:t>ir</w:t>
            </w:r>
            <w:r w:rsidR="00624F27" w:rsidRPr="004A1EB9">
              <w:rPr>
                <w:rFonts w:ascii="Times New Roman" w:hAnsi="Times New Roman" w:cs="Times New Roman"/>
                <w:sz w:val="24"/>
                <w:szCs w:val="24"/>
              </w:rPr>
              <w:t xml:space="preserve"> kad</w:t>
            </w:r>
            <w:r w:rsidRPr="004A1EB9">
              <w:t xml:space="preserve"> </w:t>
            </w:r>
            <w:r w:rsidRPr="004A1EB9">
              <w:rPr>
                <w:rFonts w:ascii="Times New Roman" w:hAnsi="Times New Roman" w:cs="Times New Roman"/>
                <w:sz w:val="24"/>
                <w:szCs w:val="24"/>
              </w:rPr>
              <w:t xml:space="preserve">šios sampratos nėra tapačios socialinių ir ekonominių partnerių </w:t>
            </w:r>
            <w:r w:rsidRPr="004A1EB9">
              <w:rPr>
                <w:rFonts w:ascii="Times New Roman" w:hAnsi="Times New Roman" w:cs="Times New Roman"/>
                <w:sz w:val="24"/>
                <w:szCs w:val="24"/>
              </w:rPr>
              <w:lastRenderedPageBreak/>
              <w:t>sampratai. Atkreipiame dėmesį, kad Regioninės plėtros įstatymo 15 straipsnio 1 dalyje vienareikšmiškai nurodoma, kad Regiono plėtros taryba sudaroma iš regiono savivaldybių merų, deleguotų savivaldybių tarybų narių, Vyriausybės paskirto asmens ir socialinių ir ekonominių partnerių atstovų, t. y</w:t>
            </w:r>
            <w:r w:rsidR="002E25B5">
              <w:rPr>
                <w:rFonts w:ascii="Times New Roman" w:hAnsi="Times New Roman" w:cs="Times New Roman"/>
                <w:sz w:val="24"/>
                <w:szCs w:val="24"/>
              </w:rPr>
              <w:t>.</w:t>
            </w:r>
            <w:r w:rsidRPr="004A1EB9">
              <w:rPr>
                <w:rFonts w:ascii="Times New Roman" w:hAnsi="Times New Roman" w:cs="Times New Roman"/>
                <w:sz w:val="24"/>
                <w:szCs w:val="24"/>
              </w:rPr>
              <w:t xml:space="preserve"> ši sąvoka neturėtų būti vartojama plečiamai žemesnės galios teisės akte, papildomai minint pilietinę visuomenę ar kitus nesusijusius subjektus. Regioninės plėtros įstatyme į regioninės plėtros tarybas siūloma skirti tik socialinių ir ekonominių partnerių atstovus.</w:t>
            </w:r>
            <w:r w:rsidR="00624F27">
              <w:rPr>
                <w:rFonts w:ascii="Times New Roman" w:hAnsi="Times New Roman" w:cs="Times New Roman"/>
                <w:sz w:val="24"/>
                <w:szCs w:val="24"/>
              </w:rPr>
              <w:t xml:space="preserve"> </w:t>
            </w:r>
            <w:r w:rsidRPr="004A1EB9">
              <w:rPr>
                <w:rFonts w:ascii="Times New Roman" w:hAnsi="Times New Roman" w:cs="Times New Roman"/>
                <w:sz w:val="24"/>
                <w:szCs w:val="24"/>
              </w:rPr>
              <w:t>Atsižvelg</w:t>
            </w:r>
            <w:r w:rsidR="002E25B5">
              <w:rPr>
                <w:rFonts w:ascii="Times New Roman" w:hAnsi="Times New Roman" w:cs="Times New Roman"/>
                <w:sz w:val="24"/>
                <w:szCs w:val="24"/>
              </w:rPr>
              <w:t>dami</w:t>
            </w:r>
            <w:r w:rsidRPr="004A1EB9">
              <w:rPr>
                <w:rFonts w:ascii="Times New Roman" w:hAnsi="Times New Roman" w:cs="Times New Roman"/>
                <w:sz w:val="24"/>
                <w:szCs w:val="24"/>
              </w:rPr>
              <w:t xml:space="preserve"> </w:t>
            </w:r>
            <w:r w:rsidR="002E25B5">
              <w:rPr>
                <w:rFonts w:ascii="Times New Roman" w:hAnsi="Times New Roman" w:cs="Times New Roman"/>
                <w:sz w:val="24"/>
                <w:szCs w:val="24"/>
              </w:rPr>
              <w:t xml:space="preserve">į </w:t>
            </w:r>
            <w:r w:rsidRPr="004A1EB9">
              <w:rPr>
                <w:rFonts w:ascii="Times New Roman" w:hAnsi="Times New Roman" w:cs="Times New Roman"/>
                <w:sz w:val="24"/>
                <w:szCs w:val="24"/>
              </w:rPr>
              <w:t>tai, kad šiuo metu yra rengiamas bendrasis vis</w:t>
            </w:r>
            <w:r w:rsidR="002E25B5">
              <w:rPr>
                <w:rFonts w:ascii="Times New Roman" w:hAnsi="Times New Roman" w:cs="Times New Roman"/>
                <w:sz w:val="24"/>
                <w:szCs w:val="24"/>
              </w:rPr>
              <w:t>ų</w:t>
            </w:r>
            <w:r w:rsidRPr="004A1EB9">
              <w:rPr>
                <w:rFonts w:ascii="Times New Roman" w:hAnsi="Times New Roman" w:cs="Times New Roman"/>
                <w:sz w:val="24"/>
                <w:szCs w:val="24"/>
              </w:rPr>
              <w:t xml:space="preserve"> valdymo sri</w:t>
            </w:r>
            <w:r w:rsidR="002E25B5">
              <w:rPr>
                <w:rFonts w:ascii="Times New Roman" w:hAnsi="Times New Roman" w:cs="Times New Roman"/>
                <w:sz w:val="24"/>
                <w:szCs w:val="24"/>
              </w:rPr>
              <w:t>čių</w:t>
            </w:r>
            <w:r w:rsidRPr="004A1EB9">
              <w:rPr>
                <w:rFonts w:ascii="Times New Roman" w:hAnsi="Times New Roman" w:cs="Times New Roman"/>
                <w:sz w:val="24"/>
                <w:szCs w:val="24"/>
              </w:rPr>
              <w:t xml:space="preserve"> teisės aktas – Strateginio valdymo įstatymas, siūlytume šiame teisės akte nustatyti šiuo metu nacionaliniuose teisės aktuose neapibrėžtas, tačiau strateginio valdymo srityje tradiciškai vartojamas sąvokas (socialinių ir ekonominių partnerių, pilietinės visuomenės).</w:t>
            </w:r>
            <w:r w:rsidR="00624F27">
              <w:rPr>
                <w:rFonts w:ascii="Times New Roman" w:hAnsi="Times New Roman" w:cs="Times New Roman"/>
                <w:sz w:val="24"/>
                <w:szCs w:val="24"/>
              </w:rPr>
              <w:t xml:space="preserve"> </w:t>
            </w:r>
            <w:r w:rsidRPr="004A1EB9">
              <w:rPr>
                <w:rFonts w:ascii="Times New Roman" w:hAnsi="Times New Roman" w:cs="Times New Roman"/>
                <w:sz w:val="24"/>
                <w:szCs w:val="24"/>
              </w:rPr>
              <w:t>Kol bus priimtas bendrąsias sąvokas apibrėžiantis (patikslinantis) nacionalinis teisės aktas, įgyvendinant Nutarimą socialinių ir ekonominių partnerių sąvoką siūlome traktuoti taip, kaip ją paaiškina Reglamentas Nr. 240/2014.</w:t>
            </w:r>
          </w:p>
        </w:tc>
      </w:tr>
    </w:tbl>
    <w:p w14:paraId="4FA5A3F8" w14:textId="77777777" w:rsidR="003F7602" w:rsidRDefault="003F7602" w:rsidP="004229E4">
      <w:pPr>
        <w:jc w:val="both"/>
      </w:pPr>
    </w:p>
    <w:p w14:paraId="20904739" w14:textId="77777777" w:rsidR="008F663C" w:rsidRDefault="00205FDB" w:rsidP="004A1EB9">
      <w:pPr>
        <w:jc w:val="center"/>
      </w:pPr>
      <w:r>
        <w:t>__________________</w:t>
      </w:r>
    </w:p>
    <w:sectPr w:rsidR="008F663C" w:rsidSect="006072DF">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188C9" w14:textId="77777777" w:rsidR="00227BF6" w:rsidRDefault="00227BF6" w:rsidP="008F663C">
      <w:pPr>
        <w:spacing w:after="0" w:line="240" w:lineRule="auto"/>
      </w:pPr>
      <w:r>
        <w:separator/>
      </w:r>
    </w:p>
  </w:endnote>
  <w:endnote w:type="continuationSeparator" w:id="0">
    <w:p w14:paraId="25A3ADAD" w14:textId="77777777" w:rsidR="00227BF6" w:rsidRDefault="00227BF6" w:rsidP="008F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1875E" w14:textId="77777777" w:rsidR="00227BF6" w:rsidRDefault="00227BF6" w:rsidP="008F663C">
      <w:pPr>
        <w:spacing w:after="0" w:line="240" w:lineRule="auto"/>
      </w:pPr>
      <w:r>
        <w:separator/>
      </w:r>
    </w:p>
  </w:footnote>
  <w:footnote w:type="continuationSeparator" w:id="0">
    <w:p w14:paraId="3A7F57DC" w14:textId="77777777" w:rsidR="00227BF6" w:rsidRDefault="00227BF6" w:rsidP="008F663C">
      <w:pPr>
        <w:spacing w:after="0" w:line="240" w:lineRule="auto"/>
      </w:pPr>
      <w:r>
        <w:continuationSeparator/>
      </w:r>
    </w:p>
  </w:footnote>
  <w:footnote w:id="1">
    <w:p w14:paraId="3609F1F8" w14:textId="425EA02E" w:rsidR="001B4D32" w:rsidRPr="004A1EB9" w:rsidRDefault="001B4D32" w:rsidP="001B4D32">
      <w:pPr>
        <w:jc w:val="both"/>
        <w:rPr>
          <w:rFonts w:ascii="Times New Roman" w:hAnsi="Times New Roman" w:cs="Times New Roman"/>
          <w:sz w:val="20"/>
          <w:szCs w:val="20"/>
        </w:rPr>
      </w:pPr>
      <w:r w:rsidRPr="004A1EB9">
        <w:rPr>
          <w:rStyle w:val="Puslapioinaosnuoroda"/>
          <w:rFonts w:ascii="Times New Roman" w:hAnsi="Times New Roman" w:cs="Times New Roman"/>
          <w:sz w:val="20"/>
          <w:szCs w:val="20"/>
        </w:rPr>
        <w:footnoteRef/>
      </w:r>
      <w:r w:rsidRPr="004A1EB9">
        <w:rPr>
          <w:rFonts w:ascii="Times New Roman" w:hAnsi="Times New Roman" w:cs="Times New Roman"/>
          <w:sz w:val="20"/>
          <w:szCs w:val="20"/>
        </w:rPr>
        <w:t xml:space="preserve"> Europos partnerystės elgesio kodeksas parengtas vadovaujantis 2014 m. sausio 7 d. Komisijos deleguotuoju reglamentu (ES) Nr. 240/2014 dėl Europos struktūrinių ir investicinių fondų Europos partnerystės elgesio kodekso (OL L 74, 2014 3 14, p. 1–7) ir skelbiamas šioje nuorodoje.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269852"/>
      <w:docPartObj>
        <w:docPartGallery w:val="Page Numbers (Top of Page)"/>
        <w:docPartUnique/>
      </w:docPartObj>
    </w:sdtPr>
    <w:sdtEndPr/>
    <w:sdtContent>
      <w:p w14:paraId="798199FB" w14:textId="3B0FD6E3" w:rsidR="00262587" w:rsidRDefault="00262587">
        <w:pPr>
          <w:pStyle w:val="Antrats"/>
          <w:jc w:val="center"/>
        </w:pPr>
        <w:r>
          <w:fldChar w:fldCharType="begin"/>
        </w:r>
        <w:r>
          <w:instrText>PAGE   \* MERGEFORMAT</w:instrText>
        </w:r>
        <w:r>
          <w:fldChar w:fldCharType="separate"/>
        </w:r>
        <w:r w:rsidR="000A509E">
          <w:rPr>
            <w:noProof/>
          </w:rPr>
          <w:t>2</w:t>
        </w:r>
        <w:r>
          <w:fldChar w:fldCharType="end"/>
        </w:r>
      </w:p>
    </w:sdtContent>
  </w:sdt>
  <w:p w14:paraId="109A354B" w14:textId="77777777" w:rsidR="00350341" w:rsidRDefault="003503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2AF0"/>
    <w:multiLevelType w:val="multilevel"/>
    <w:tmpl w:val="033E9D48"/>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2."/>
      <w:lvlJc w:val="left"/>
      <w:pPr>
        <w:ind w:left="1656" w:hanging="360"/>
      </w:pPr>
      <w:rPr>
        <w:rFonts w:ascii="Times New Roman" w:eastAsiaTheme="minorHAnsi" w:hAnsi="Times New Roman" w:cs="Times New Roman"/>
        <w:sz w:val="24"/>
      </w:rPr>
    </w:lvl>
    <w:lvl w:ilvl="2">
      <w:start w:val="1"/>
      <w:numFmt w:val="decimal"/>
      <w:isLgl/>
      <w:lvlText w:val="%1.%2.%3."/>
      <w:lvlJc w:val="left"/>
      <w:pPr>
        <w:ind w:left="2952" w:hanging="720"/>
      </w:pPr>
      <w:rPr>
        <w:rFonts w:ascii="Times New Roman" w:hAnsi="Times New Roman" w:cs="Times New Roman" w:hint="default"/>
        <w:sz w:val="24"/>
      </w:rPr>
    </w:lvl>
    <w:lvl w:ilvl="3">
      <w:start w:val="1"/>
      <w:numFmt w:val="decimal"/>
      <w:isLgl/>
      <w:lvlText w:val="%1.%2.%3.%4."/>
      <w:lvlJc w:val="left"/>
      <w:pPr>
        <w:ind w:left="3888" w:hanging="720"/>
      </w:pPr>
      <w:rPr>
        <w:rFonts w:ascii="Times New Roman" w:hAnsi="Times New Roman" w:cs="Times New Roman" w:hint="default"/>
        <w:sz w:val="24"/>
      </w:rPr>
    </w:lvl>
    <w:lvl w:ilvl="4">
      <w:start w:val="1"/>
      <w:numFmt w:val="decimal"/>
      <w:isLgl/>
      <w:lvlText w:val="%1.%2.%3.%4.%5."/>
      <w:lvlJc w:val="left"/>
      <w:pPr>
        <w:ind w:left="5184" w:hanging="1080"/>
      </w:pPr>
      <w:rPr>
        <w:rFonts w:ascii="Times New Roman" w:hAnsi="Times New Roman" w:cs="Times New Roman" w:hint="default"/>
        <w:sz w:val="24"/>
      </w:rPr>
    </w:lvl>
    <w:lvl w:ilvl="5">
      <w:start w:val="1"/>
      <w:numFmt w:val="decimal"/>
      <w:isLgl/>
      <w:lvlText w:val="%1.%2.%3.%4.%5.%6."/>
      <w:lvlJc w:val="left"/>
      <w:pPr>
        <w:ind w:left="6120" w:hanging="1080"/>
      </w:pPr>
      <w:rPr>
        <w:rFonts w:ascii="Times New Roman" w:hAnsi="Times New Roman" w:cs="Times New Roman" w:hint="default"/>
        <w:sz w:val="24"/>
      </w:rPr>
    </w:lvl>
    <w:lvl w:ilvl="6">
      <w:start w:val="1"/>
      <w:numFmt w:val="decimal"/>
      <w:isLgl/>
      <w:lvlText w:val="%1.%2.%3.%4.%5.%6.%7."/>
      <w:lvlJc w:val="left"/>
      <w:pPr>
        <w:ind w:left="7416" w:hanging="1440"/>
      </w:pPr>
      <w:rPr>
        <w:rFonts w:ascii="Times New Roman" w:hAnsi="Times New Roman" w:cs="Times New Roman" w:hint="default"/>
        <w:sz w:val="24"/>
      </w:rPr>
    </w:lvl>
    <w:lvl w:ilvl="7">
      <w:start w:val="1"/>
      <w:numFmt w:val="decimal"/>
      <w:isLgl/>
      <w:lvlText w:val="%1.%2.%3.%4.%5.%6.%7.%8."/>
      <w:lvlJc w:val="left"/>
      <w:pPr>
        <w:ind w:left="8352" w:hanging="1440"/>
      </w:pPr>
      <w:rPr>
        <w:rFonts w:ascii="Times New Roman" w:hAnsi="Times New Roman" w:cs="Times New Roman" w:hint="default"/>
        <w:sz w:val="24"/>
      </w:rPr>
    </w:lvl>
    <w:lvl w:ilvl="8">
      <w:start w:val="1"/>
      <w:numFmt w:val="decimal"/>
      <w:isLgl/>
      <w:lvlText w:val="%1.%2.%3.%4.%5.%6.%7.%8.%9."/>
      <w:lvlJc w:val="left"/>
      <w:pPr>
        <w:ind w:left="9648" w:hanging="1800"/>
      </w:pPr>
      <w:rPr>
        <w:rFonts w:ascii="Times New Roman" w:hAnsi="Times New Roman" w:cs="Times New Roman" w:hint="default"/>
        <w:sz w:val="24"/>
      </w:rPr>
    </w:lvl>
  </w:abstractNum>
  <w:abstractNum w:abstractNumId="1" w15:restartNumberingAfterBreak="0">
    <w:nsid w:val="38223183"/>
    <w:multiLevelType w:val="hybridMultilevel"/>
    <w:tmpl w:val="5B1A8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FE7AE0"/>
    <w:multiLevelType w:val="multilevel"/>
    <w:tmpl w:val="C49656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CD"/>
    <w:rsid w:val="000142CB"/>
    <w:rsid w:val="00085295"/>
    <w:rsid w:val="000A1017"/>
    <w:rsid w:val="000A509E"/>
    <w:rsid w:val="001A724B"/>
    <w:rsid w:val="001B4D32"/>
    <w:rsid w:val="001E79F1"/>
    <w:rsid w:val="00205FDB"/>
    <w:rsid w:val="00227BF6"/>
    <w:rsid w:val="002619C0"/>
    <w:rsid w:val="00262587"/>
    <w:rsid w:val="002E25B5"/>
    <w:rsid w:val="002F0860"/>
    <w:rsid w:val="0033206B"/>
    <w:rsid w:val="00350341"/>
    <w:rsid w:val="003D6A8F"/>
    <w:rsid w:val="003E0B73"/>
    <w:rsid w:val="003F7602"/>
    <w:rsid w:val="004229E4"/>
    <w:rsid w:val="004305FB"/>
    <w:rsid w:val="00430BF5"/>
    <w:rsid w:val="004A1EB9"/>
    <w:rsid w:val="00591999"/>
    <w:rsid w:val="005B608B"/>
    <w:rsid w:val="006072DF"/>
    <w:rsid w:val="00624F27"/>
    <w:rsid w:val="00670EEF"/>
    <w:rsid w:val="00693DA1"/>
    <w:rsid w:val="006F585D"/>
    <w:rsid w:val="00720D5D"/>
    <w:rsid w:val="0072653B"/>
    <w:rsid w:val="0073538D"/>
    <w:rsid w:val="0074558B"/>
    <w:rsid w:val="007E2CD7"/>
    <w:rsid w:val="008F663C"/>
    <w:rsid w:val="00970A0A"/>
    <w:rsid w:val="00A03C96"/>
    <w:rsid w:val="00A56D89"/>
    <w:rsid w:val="00AA58EA"/>
    <w:rsid w:val="00AD7109"/>
    <w:rsid w:val="00B02603"/>
    <w:rsid w:val="00B92E12"/>
    <w:rsid w:val="00C62E66"/>
    <w:rsid w:val="00CA7B46"/>
    <w:rsid w:val="00CC6D9B"/>
    <w:rsid w:val="00D261BD"/>
    <w:rsid w:val="00D278A2"/>
    <w:rsid w:val="00D63437"/>
    <w:rsid w:val="00DD27DA"/>
    <w:rsid w:val="00E80E19"/>
    <w:rsid w:val="00EC02CD"/>
    <w:rsid w:val="00F82F33"/>
    <w:rsid w:val="00FA7997"/>
    <w:rsid w:val="00FF4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32B5A"/>
  <w15:chartTrackingRefBased/>
  <w15:docId w15:val="{738F91B9-6E3D-43C7-B788-D5629264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F66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663C"/>
  </w:style>
  <w:style w:type="paragraph" w:styleId="Porat">
    <w:name w:val="footer"/>
    <w:basedOn w:val="prastasis"/>
    <w:link w:val="PoratDiagrama"/>
    <w:uiPriority w:val="99"/>
    <w:unhideWhenUsed/>
    <w:rsid w:val="008F66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663C"/>
  </w:style>
  <w:style w:type="paragraph" w:styleId="Sraopastraipa">
    <w:name w:val="List Paragraph"/>
    <w:basedOn w:val="prastasis"/>
    <w:uiPriority w:val="34"/>
    <w:qFormat/>
    <w:rsid w:val="008F663C"/>
    <w:pPr>
      <w:ind w:left="720"/>
      <w:contextualSpacing/>
    </w:pPr>
  </w:style>
  <w:style w:type="character" w:styleId="Hipersaitas">
    <w:name w:val="Hyperlink"/>
    <w:basedOn w:val="Numatytasispastraiposriftas"/>
    <w:uiPriority w:val="99"/>
    <w:semiHidden/>
    <w:unhideWhenUsed/>
    <w:rsid w:val="0073538D"/>
    <w:rPr>
      <w:color w:val="0000FF"/>
      <w:u w:val="single"/>
    </w:rPr>
  </w:style>
  <w:style w:type="paragraph" w:styleId="Debesliotekstas">
    <w:name w:val="Balloon Text"/>
    <w:basedOn w:val="prastasis"/>
    <w:link w:val="DebesliotekstasDiagrama"/>
    <w:uiPriority w:val="99"/>
    <w:semiHidden/>
    <w:unhideWhenUsed/>
    <w:rsid w:val="001B4D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4D32"/>
    <w:rPr>
      <w:rFonts w:ascii="Segoe UI" w:hAnsi="Segoe UI" w:cs="Segoe UI"/>
      <w:sz w:val="18"/>
      <w:szCs w:val="18"/>
    </w:rPr>
  </w:style>
  <w:style w:type="character" w:styleId="Puslapioinaosnuoroda">
    <w:name w:val="footnote reference"/>
    <w:basedOn w:val="Numatytasispastraiposriftas"/>
    <w:uiPriority w:val="99"/>
    <w:semiHidden/>
    <w:unhideWhenUsed/>
    <w:rsid w:val="001B4D32"/>
    <w:rPr>
      <w:vertAlign w:val="superscript"/>
    </w:rPr>
  </w:style>
  <w:style w:type="paragraph" w:styleId="Puslapioinaostekstas">
    <w:name w:val="footnote text"/>
    <w:basedOn w:val="prastasis"/>
    <w:link w:val="PuslapioinaostekstasDiagrama"/>
    <w:uiPriority w:val="99"/>
    <w:semiHidden/>
    <w:unhideWhenUsed/>
    <w:rsid w:val="00591999"/>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9199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3E0B73"/>
    <w:rPr>
      <w:sz w:val="16"/>
      <w:szCs w:val="16"/>
    </w:rPr>
  </w:style>
  <w:style w:type="paragraph" w:styleId="Komentarotekstas">
    <w:name w:val="annotation text"/>
    <w:basedOn w:val="prastasis"/>
    <w:link w:val="KomentarotekstasDiagrama"/>
    <w:uiPriority w:val="99"/>
    <w:semiHidden/>
    <w:unhideWhenUsed/>
    <w:rsid w:val="003E0B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E0B73"/>
    <w:rPr>
      <w:sz w:val="20"/>
      <w:szCs w:val="20"/>
    </w:rPr>
  </w:style>
  <w:style w:type="paragraph" w:styleId="Komentarotema">
    <w:name w:val="annotation subject"/>
    <w:basedOn w:val="Komentarotekstas"/>
    <w:next w:val="Komentarotekstas"/>
    <w:link w:val="KomentarotemaDiagrama"/>
    <w:uiPriority w:val="99"/>
    <w:semiHidden/>
    <w:unhideWhenUsed/>
    <w:rsid w:val="003E0B73"/>
    <w:rPr>
      <w:b/>
      <w:bCs/>
    </w:rPr>
  </w:style>
  <w:style w:type="character" w:customStyle="1" w:styleId="KomentarotemaDiagrama">
    <w:name w:val="Komentaro tema Diagrama"/>
    <w:basedOn w:val="KomentarotekstasDiagrama"/>
    <w:link w:val="Komentarotema"/>
    <w:uiPriority w:val="99"/>
    <w:semiHidden/>
    <w:rsid w:val="003E0B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77E9-A2F4-4F7A-AAE4-040CFBB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3254</Words>
  <Characters>1855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Žvaigždinienė</dc:creator>
  <cp:keywords/>
  <dc:description/>
  <cp:lastModifiedBy>Kristina Sabaliauskienė</cp:lastModifiedBy>
  <cp:revision>2</cp:revision>
  <cp:lastPrinted>2019-05-07T11:09:00Z</cp:lastPrinted>
  <dcterms:created xsi:type="dcterms:W3CDTF">2019-05-13T10:00:00Z</dcterms:created>
  <dcterms:modified xsi:type="dcterms:W3CDTF">2019-05-13T10:00:00Z</dcterms:modified>
</cp:coreProperties>
</file>