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12" w:rsidRDefault="006D0612" w:rsidP="00531DCF">
      <w:pPr>
        <w:jc w:val="center"/>
        <w:rPr>
          <w:b/>
        </w:rPr>
      </w:pPr>
      <w:bookmarkStart w:id="0" w:name="_GoBack"/>
      <w:bookmarkEnd w:id="0"/>
      <w:r w:rsidRPr="006D0612">
        <w:rPr>
          <w:b/>
        </w:rPr>
        <w:t xml:space="preserve">LIETUVOS RESPUBLIKOS VYRIAUSYBĖS NUTARIMO „DĖL LIETUVOS </w:t>
      </w:r>
      <w:r w:rsidRPr="008B4B07">
        <w:rPr>
          <w:b/>
        </w:rPr>
        <w:t xml:space="preserve">RESPUBLIKOS VYRIAUSYBĖS 2006 M. </w:t>
      </w:r>
      <w:r w:rsidR="0065697B" w:rsidRPr="008B4B07">
        <w:rPr>
          <w:b/>
        </w:rPr>
        <w:t>BIRŽELIO 14 D. NUTARIMO NR. 583</w:t>
      </w:r>
      <w:r w:rsidRPr="008B4B07">
        <w:rPr>
          <w:b/>
        </w:rPr>
        <w:t xml:space="preserve"> „DĖL </w:t>
      </w:r>
      <w:r w:rsidR="0065697B" w:rsidRPr="008B4B07">
        <w:rPr>
          <w:b/>
        </w:rPr>
        <w:t xml:space="preserve">MOKĖJIMO UŽ SOCIALINES PASLAUGAS TVARKOS APRAŠO </w:t>
      </w:r>
      <w:r w:rsidRPr="008B4B07">
        <w:rPr>
          <w:b/>
        </w:rPr>
        <w:t>PATVIRTINIMO“ PAKEITIMO PROJEKTO</w:t>
      </w:r>
    </w:p>
    <w:p w:rsidR="006D0612" w:rsidRDefault="006D0612" w:rsidP="006D0612">
      <w:pPr>
        <w:jc w:val="center"/>
        <w:rPr>
          <w:b/>
        </w:rPr>
      </w:pPr>
      <w:r w:rsidRPr="00A85F8D">
        <w:rPr>
          <w:b/>
        </w:rPr>
        <w:t>DERINIMO PAŽYMA</w:t>
      </w:r>
    </w:p>
    <w:p w:rsidR="006D0612" w:rsidRDefault="006D0612" w:rsidP="00531DCF">
      <w:pPr>
        <w:jc w:val="center"/>
        <w:rPr>
          <w:b/>
        </w:rPr>
      </w:pPr>
    </w:p>
    <w:p w:rsidR="00A85F8D" w:rsidRDefault="00A85F8D" w:rsidP="006D51A7">
      <w:pPr>
        <w:jc w:val="center"/>
        <w:rPr>
          <w:b/>
        </w:rPr>
      </w:pPr>
    </w:p>
    <w:tbl>
      <w:tblPr>
        <w:tblW w:w="15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5812"/>
        <w:gridCol w:w="7371"/>
      </w:tblGrid>
      <w:tr w:rsidR="00F310EB" w:rsidRPr="00905635" w:rsidTr="00321237">
        <w:trPr>
          <w:trHeight w:val="423"/>
        </w:trPr>
        <w:tc>
          <w:tcPr>
            <w:tcW w:w="1985" w:type="dxa"/>
            <w:shd w:val="clear" w:color="auto" w:fill="auto"/>
            <w:vAlign w:val="center"/>
          </w:tcPr>
          <w:p w:rsidR="00F310EB" w:rsidRPr="00905635" w:rsidRDefault="00F310EB" w:rsidP="00371D47">
            <w:pPr>
              <w:jc w:val="center"/>
              <w:rPr>
                <w:b/>
              </w:rPr>
            </w:pPr>
            <w:r w:rsidRPr="00905635">
              <w:rPr>
                <w:b/>
              </w:rPr>
              <w:t>Institucijos pavadinimas, rašto data ir numeris</w:t>
            </w:r>
          </w:p>
        </w:tc>
        <w:tc>
          <w:tcPr>
            <w:tcW w:w="5812" w:type="dxa"/>
            <w:shd w:val="clear" w:color="auto" w:fill="auto"/>
            <w:vAlign w:val="center"/>
          </w:tcPr>
          <w:p w:rsidR="00F310EB" w:rsidRPr="00905635" w:rsidRDefault="00F310EB" w:rsidP="00371D47">
            <w:pPr>
              <w:jc w:val="center"/>
              <w:rPr>
                <w:b/>
                <w:iCs/>
              </w:rPr>
            </w:pPr>
            <w:r w:rsidRPr="00905635">
              <w:rPr>
                <w:b/>
                <w:iCs/>
              </w:rPr>
              <w:t>Pastabos ir pasiūlymai</w:t>
            </w:r>
          </w:p>
        </w:tc>
        <w:tc>
          <w:tcPr>
            <w:tcW w:w="7371" w:type="dxa"/>
            <w:shd w:val="clear" w:color="auto" w:fill="auto"/>
            <w:vAlign w:val="center"/>
          </w:tcPr>
          <w:p w:rsidR="00F310EB" w:rsidRDefault="00F310EB" w:rsidP="00371D47">
            <w:pPr>
              <w:jc w:val="center"/>
              <w:rPr>
                <w:b/>
                <w:iCs/>
              </w:rPr>
            </w:pPr>
            <w:r w:rsidRPr="00905635">
              <w:rPr>
                <w:b/>
                <w:iCs/>
              </w:rPr>
              <w:t xml:space="preserve">Žyma apie </w:t>
            </w:r>
            <w:r>
              <w:rPr>
                <w:b/>
                <w:iCs/>
              </w:rPr>
              <w:t>pastabas ir pasiūlymus, į kuriuos</w:t>
            </w:r>
          </w:p>
          <w:p w:rsidR="00F310EB" w:rsidRPr="00905635" w:rsidRDefault="00F310EB" w:rsidP="00371D47">
            <w:pPr>
              <w:jc w:val="center"/>
              <w:rPr>
                <w:b/>
                <w:iCs/>
              </w:rPr>
            </w:pPr>
            <w:r>
              <w:rPr>
                <w:b/>
                <w:iCs/>
              </w:rPr>
              <w:t>neatsižvelgta ar atsižvelgta iš dalies</w:t>
            </w:r>
          </w:p>
        </w:tc>
      </w:tr>
      <w:tr w:rsidR="0065697B" w:rsidRPr="00905635" w:rsidTr="00321237">
        <w:trPr>
          <w:trHeight w:val="423"/>
        </w:trPr>
        <w:tc>
          <w:tcPr>
            <w:tcW w:w="1985" w:type="dxa"/>
            <w:shd w:val="clear" w:color="auto" w:fill="auto"/>
            <w:vAlign w:val="center"/>
          </w:tcPr>
          <w:p w:rsidR="0065697B" w:rsidRPr="0065697B" w:rsidRDefault="0065697B" w:rsidP="008A7B09">
            <w:pPr>
              <w:jc w:val="center"/>
            </w:pPr>
            <w:r>
              <w:t>Teisingumo ministerijos 2019</w:t>
            </w:r>
            <w:r w:rsidR="00321237">
              <w:t> </w:t>
            </w:r>
            <w:r>
              <w:t>m. liepos</w:t>
            </w:r>
            <w:r w:rsidR="00492E5A">
              <w:t> </w:t>
            </w:r>
            <w:r>
              <w:t>17</w:t>
            </w:r>
            <w:r w:rsidR="00492E5A">
              <w:t> </w:t>
            </w:r>
            <w:r>
              <w:t>d. raštas Nr.</w:t>
            </w:r>
            <w:r w:rsidR="008A7B09">
              <w:t> </w:t>
            </w:r>
            <w:r>
              <w:t>(1.6E)</w:t>
            </w:r>
            <w:r w:rsidR="008A7B09">
              <w:t xml:space="preserve"> </w:t>
            </w:r>
            <w:r>
              <w:t>2T-716</w:t>
            </w:r>
          </w:p>
        </w:tc>
        <w:tc>
          <w:tcPr>
            <w:tcW w:w="5812" w:type="dxa"/>
            <w:shd w:val="clear" w:color="auto" w:fill="auto"/>
          </w:tcPr>
          <w:p w:rsidR="0065697B" w:rsidRPr="00905635" w:rsidRDefault="00CC51AF" w:rsidP="00280677">
            <w:pPr>
              <w:jc w:val="both"/>
              <w:rPr>
                <w:b/>
                <w:iCs/>
              </w:rPr>
            </w:pPr>
            <w:r>
              <w:t>Iš Projekto 1 punkte dėstomo keičiamo tvarkos aprašo 16</w:t>
            </w:r>
            <w:r>
              <w:rPr>
                <w:vertAlign w:val="superscript"/>
              </w:rPr>
              <w:t>1</w:t>
            </w:r>
            <w:r w:rsidR="00FB275A">
              <w:t> </w:t>
            </w:r>
            <w:r>
              <w:t>punkto lieka neaišku, kokią konkrečiai pagalbą ir kas ją teiktų nemokamai globėjams ir kitiems asmenimis. Svarstytina, ar pagal šio siūlomo papildyti punkto turinį, šis punktas neturėtų būti dėstomas ne, kaip siūloma, keičiamo aprašo skyriuje, kuris reguliuoja mokėjimą už socialinę priežiūrą, o bendrosiose nuostatuose.</w:t>
            </w:r>
          </w:p>
        </w:tc>
        <w:tc>
          <w:tcPr>
            <w:tcW w:w="7371" w:type="dxa"/>
            <w:shd w:val="clear" w:color="auto" w:fill="auto"/>
          </w:tcPr>
          <w:p w:rsidR="0065697B" w:rsidRDefault="00CC51AF" w:rsidP="00280677">
            <w:pPr>
              <w:jc w:val="both"/>
              <w:rPr>
                <w:b/>
                <w:iCs/>
              </w:rPr>
            </w:pPr>
            <w:r>
              <w:rPr>
                <w:b/>
                <w:iCs/>
              </w:rPr>
              <w:t>Neatsižvelgta.</w:t>
            </w:r>
          </w:p>
          <w:p w:rsidR="00CC51AF" w:rsidRPr="00CC51AF" w:rsidRDefault="00CC51AF" w:rsidP="004D18CF">
            <w:pPr>
              <w:jc w:val="both"/>
              <w:rPr>
                <w:iCs/>
              </w:rPr>
            </w:pPr>
            <w:r>
              <w:rPr>
                <w:iCs/>
              </w:rPr>
              <w:t xml:space="preserve">Socialines paslaugas, jų turinį pagal atskiras socialinių paslaugų rūšis bei socialinių paslaugų įstaigų tipus apibrėžia </w:t>
            </w:r>
            <w:r w:rsidR="00160D94">
              <w:rPr>
                <w:iCs/>
              </w:rPr>
              <w:t>S</w:t>
            </w:r>
            <w:r>
              <w:rPr>
                <w:iCs/>
              </w:rPr>
              <w:t xml:space="preserve">ocialinių paslaugų katalogas, patvirtintas </w:t>
            </w:r>
            <w:proofErr w:type="gramStart"/>
            <w:r>
              <w:rPr>
                <w:iCs/>
              </w:rPr>
              <w:t>socialinės apsaugos ir darbo ministro</w:t>
            </w:r>
            <w:proofErr w:type="gramEnd"/>
            <w:r>
              <w:rPr>
                <w:iCs/>
              </w:rPr>
              <w:t xml:space="preserve"> 2006 m. balandžio 5 d. įsakymu Nr. A1-93. Pagal šį katalogą </w:t>
            </w:r>
            <w:r w:rsidR="00C23C40">
              <w:rPr>
                <w:iCs/>
              </w:rPr>
              <w:t xml:space="preserve">pagalba globėjams (rūpintojams), budintiems globotojams, </w:t>
            </w:r>
            <w:proofErr w:type="spellStart"/>
            <w:r w:rsidR="00C23C40">
              <w:rPr>
                <w:iCs/>
              </w:rPr>
              <w:t>įvaikintojams</w:t>
            </w:r>
            <w:proofErr w:type="spellEnd"/>
            <w:r w:rsidR="00C23C40">
              <w:rPr>
                <w:iCs/>
              </w:rPr>
              <w:t xml:space="preserve"> ir šeimynų dalyviams priskiriama prie socialinės priežiūros paslaugų, todėl mokėjimo už šias paslaugas nuostatos dėstomos šiame skyriuje (analogiškai kaip II skyriuje išdėstyta, kokios bendrosios socialinės paslaugos teikiamos nemokamai</w:t>
            </w:r>
            <w:r w:rsidR="00AD68A3">
              <w:rPr>
                <w:iCs/>
              </w:rPr>
              <w:t>)</w:t>
            </w:r>
            <w:r w:rsidR="00C23C40">
              <w:rPr>
                <w:iCs/>
              </w:rPr>
              <w:t>.</w:t>
            </w:r>
          </w:p>
        </w:tc>
      </w:tr>
      <w:tr w:rsidR="00CC51AF" w:rsidRPr="00905635" w:rsidTr="00321237">
        <w:trPr>
          <w:trHeight w:val="423"/>
        </w:trPr>
        <w:tc>
          <w:tcPr>
            <w:tcW w:w="1985" w:type="dxa"/>
            <w:shd w:val="clear" w:color="auto" w:fill="auto"/>
            <w:vAlign w:val="center"/>
          </w:tcPr>
          <w:p w:rsidR="00CC51AF" w:rsidRDefault="00AD2C66" w:rsidP="00AD68A3">
            <w:pPr>
              <w:jc w:val="center"/>
            </w:pPr>
            <w:r>
              <w:t>Lietuvos savivaldybių asociacijos 2019</w:t>
            </w:r>
            <w:r w:rsidR="00321237">
              <w:t> </w:t>
            </w:r>
            <w:r>
              <w:t>m. liepos 15</w:t>
            </w:r>
            <w:r w:rsidR="00492E5A">
              <w:t> </w:t>
            </w:r>
            <w:r>
              <w:t>d. raštas Nr.</w:t>
            </w:r>
            <w:r w:rsidR="00AD68A3">
              <w:t> </w:t>
            </w:r>
            <w:r>
              <w:t xml:space="preserve">(12)-SD-414 </w:t>
            </w:r>
          </w:p>
        </w:tc>
        <w:tc>
          <w:tcPr>
            <w:tcW w:w="5812" w:type="dxa"/>
            <w:shd w:val="clear" w:color="auto" w:fill="auto"/>
            <w:vAlign w:val="center"/>
          </w:tcPr>
          <w:p w:rsidR="00CC51AF" w:rsidRDefault="00AD2C66" w:rsidP="00492E5A">
            <w:pPr>
              <w:pStyle w:val="Sraopastraipa"/>
              <w:tabs>
                <w:tab w:val="left" w:pos="851"/>
                <w:tab w:val="left" w:pos="993"/>
              </w:tabs>
              <w:spacing w:before="0" w:beforeAutospacing="0" w:after="0" w:afterAutospacing="0"/>
              <w:ind w:left="33"/>
              <w:contextualSpacing/>
              <w:jc w:val="both"/>
            </w:pPr>
            <w:r w:rsidRPr="00B635AA">
              <w:rPr>
                <w:rFonts w:eastAsia="Calibri"/>
              </w:rPr>
              <w:t xml:space="preserve">Dėl Projekto 66 punkto </w:t>
            </w:r>
            <w:r w:rsidR="00F029B5" w:rsidRPr="00B635AA">
              <w:rPr>
                <w:rFonts w:eastAsia="Calibri"/>
              </w:rPr>
              <w:t>–</w:t>
            </w:r>
            <w:r w:rsidRPr="00B635AA">
              <w:rPr>
                <w:rFonts w:eastAsia="Calibri"/>
              </w:rPr>
              <w:t xml:space="preserve"> manome, kad socialines paslaugas gaunantis asmuo </w:t>
            </w:r>
            <w:r>
              <w:rPr>
                <w:rFonts w:eastAsia="Calibri"/>
              </w:rPr>
              <w:t xml:space="preserve">galėtų </w:t>
            </w:r>
            <w:r w:rsidRPr="00B635AA">
              <w:rPr>
                <w:rFonts w:eastAsia="Calibri"/>
              </w:rPr>
              <w:t>pranešt</w:t>
            </w:r>
            <w:r>
              <w:rPr>
                <w:rFonts w:eastAsia="Calibri"/>
              </w:rPr>
              <w:t>i</w:t>
            </w:r>
            <w:r w:rsidRPr="00B635AA">
              <w:rPr>
                <w:rFonts w:eastAsia="Calibri"/>
              </w:rPr>
              <w:t xml:space="preserve"> apie </w:t>
            </w:r>
            <w:r w:rsidRPr="00B70EF1">
              <w:rPr>
                <w:rFonts w:eastAsia="Calibri"/>
              </w:rPr>
              <w:t xml:space="preserve">visų </w:t>
            </w:r>
            <w:r w:rsidRPr="00B635AA">
              <w:rPr>
                <w:rFonts w:eastAsia="Calibri"/>
              </w:rPr>
              <w:t xml:space="preserve">gaunamų pajamų (tai palengvintų darbuotojų, atsakingų už mokėjimo dydžio nustatymą darbą, kadangi vienas darbuotojas turi peržiūrėti daugiau, kaip 200 paslaugų gavėjų mokėjimų) ar turto </w:t>
            </w:r>
            <w:r w:rsidRPr="00B70EF1">
              <w:rPr>
                <w:rFonts w:eastAsia="Calibri"/>
              </w:rPr>
              <w:t>pokyčius paslaugas teikiančiai įstaigai</w:t>
            </w:r>
            <w:r w:rsidRPr="00B635AA">
              <w:rPr>
                <w:rFonts w:eastAsia="Calibri"/>
              </w:rPr>
              <w:t xml:space="preserve"> (</w:t>
            </w:r>
            <w:r w:rsidRPr="00582EA4">
              <w:rPr>
                <w:rFonts w:eastAsia="Calibri"/>
              </w:rPr>
              <w:t>paslaugų gavėjas betarpiškai bendrauja su paslaugas teikiančia įstaiga ir tai jam padaryti yra paprasčiau</w:t>
            </w:r>
            <w:r w:rsidRPr="00B635AA">
              <w:rPr>
                <w:rFonts w:eastAsia="Calibri"/>
              </w:rPr>
              <w:t>). Todėl siūlome punktą pakeisti taip:</w:t>
            </w:r>
            <w:r w:rsidRPr="00B635AA">
              <w:t xml:space="preserve"> „66.Socialines paslaugas gaunantis asmuo (vienas iš suaugusių šeimos narių) ar jo globėjas (rūpintojas) pagal sutartyje numatytas sąlygas </w:t>
            </w:r>
            <w:r w:rsidRPr="00B635AA">
              <w:rPr>
                <w:color w:val="000000"/>
              </w:rPr>
              <w:t>ne vėliau kaip per 30</w:t>
            </w:r>
            <w:r w:rsidR="00FB275A">
              <w:rPr>
                <w:color w:val="000000"/>
              </w:rPr>
              <w:t> </w:t>
            </w:r>
            <w:r w:rsidRPr="00B635AA">
              <w:rPr>
                <w:color w:val="000000"/>
              </w:rPr>
              <w:t xml:space="preserve">kalendorinių dienų nuo įvykusių asmens pajamų ir turto pokyčių dienos </w:t>
            </w:r>
            <w:r w:rsidRPr="00B635AA">
              <w:t xml:space="preserve">praneša </w:t>
            </w:r>
            <w:r w:rsidRPr="00B635AA">
              <w:rPr>
                <w:strike/>
              </w:rPr>
              <w:t>savivaldybei</w:t>
            </w:r>
            <w:r w:rsidRPr="00B635AA">
              <w:t xml:space="preserve"> </w:t>
            </w:r>
            <w:r w:rsidRPr="00B70EF1">
              <w:t xml:space="preserve">paslaugas teikiančiai įstaigai apie asmens (šeimos) pajamų </w:t>
            </w:r>
            <w:r w:rsidRPr="00B70EF1">
              <w:rPr>
                <w:strike/>
                <w:color w:val="000000"/>
              </w:rPr>
              <w:t xml:space="preserve">išskyrus šio Aprašo 70.6–70.8, 70.13, 70.18–70.20 papunkčiuose </w:t>
            </w:r>
            <w:r w:rsidRPr="00B70EF1">
              <w:rPr>
                <w:strike/>
                <w:color w:val="000000"/>
              </w:rPr>
              <w:lastRenderedPageBreak/>
              <w:t>nurodytas pajamas</w:t>
            </w:r>
            <w:r w:rsidRPr="00B70EF1">
              <w:rPr>
                <w:color w:val="000000"/>
              </w:rPr>
              <w:t xml:space="preserve"> </w:t>
            </w:r>
            <w:r w:rsidRPr="00B70EF1">
              <w:t>ar turto pokyčius per šių paslaugų gavimo laiką. Paslaugas teikianti įstaiga per 3 darbo dienas apie tai informuoja savivaldybę.“</w:t>
            </w:r>
          </w:p>
        </w:tc>
        <w:tc>
          <w:tcPr>
            <w:tcW w:w="7371" w:type="dxa"/>
            <w:shd w:val="clear" w:color="auto" w:fill="auto"/>
          </w:tcPr>
          <w:p w:rsidR="00AD2C66" w:rsidRDefault="00AD2C66" w:rsidP="00280677">
            <w:pPr>
              <w:jc w:val="both"/>
              <w:rPr>
                <w:b/>
                <w:iCs/>
              </w:rPr>
            </w:pPr>
            <w:r>
              <w:rPr>
                <w:b/>
                <w:iCs/>
              </w:rPr>
              <w:lastRenderedPageBreak/>
              <w:t>Neatsižvelgta.</w:t>
            </w:r>
          </w:p>
          <w:p w:rsidR="00776FEF" w:rsidRDefault="00F029B5" w:rsidP="00280677">
            <w:pPr>
              <w:jc w:val="both"/>
              <w:rPr>
                <w:iCs/>
              </w:rPr>
            </w:pPr>
            <w:r w:rsidRPr="00F029B5">
              <w:rPr>
                <w:iCs/>
              </w:rPr>
              <w:t>Įgyvendinant Administracinės naštos mažinimo įstatym</w:t>
            </w:r>
            <w:r>
              <w:rPr>
                <w:iCs/>
              </w:rPr>
              <w:t>o 3 straipsnio 1</w:t>
            </w:r>
            <w:r w:rsidR="009B667E">
              <w:rPr>
                <w:iCs/>
              </w:rPr>
              <w:t> </w:t>
            </w:r>
            <w:r>
              <w:rPr>
                <w:iCs/>
              </w:rPr>
              <w:t xml:space="preserve">dalies 3 punkte nustatytą priemonę „institucijų keitimasis turimais duomenimis ir informacija“, socialines paslaugas gaunančiam asmeniui </w:t>
            </w:r>
            <w:r w:rsidR="00396138" w:rsidRPr="00F029B5">
              <w:rPr>
                <w:iCs/>
              </w:rPr>
              <w:t>nereik</w:t>
            </w:r>
            <w:r>
              <w:rPr>
                <w:iCs/>
              </w:rPr>
              <w:t>ia</w:t>
            </w:r>
            <w:r w:rsidR="00396138" w:rsidRPr="00F029B5">
              <w:rPr>
                <w:iCs/>
              </w:rPr>
              <w:t xml:space="preserve"> pateikti dokumentų, jei informacija gaunama iš valstybės ir žinybinių registrų bei valstybės informacinių sistemų.</w:t>
            </w:r>
          </w:p>
          <w:p w:rsidR="00850AAF" w:rsidRDefault="00776FEF" w:rsidP="00280677">
            <w:pPr>
              <w:jc w:val="both"/>
              <w:rPr>
                <w:iCs/>
              </w:rPr>
            </w:pPr>
            <w:r>
              <w:rPr>
                <w:iCs/>
              </w:rPr>
              <w:t xml:space="preserve">Socialinių paslaugų įstaiga </w:t>
            </w:r>
            <w:r w:rsidR="00CF0712">
              <w:rPr>
                <w:iCs/>
              </w:rPr>
              <w:t xml:space="preserve">teikia socialines paslaugas, </w:t>
            </w:r>
            <w:r w:rsidR="00850AAF">
              <w:rPr>
                <w:iCs/>
              </w:rPr>
              <w:t xml:space="preserve">jai </w:t>
            </w:r>
            <w:r w:rsidR="00160D94">
              <w:rPr>
                <w:iCs/>
              </w:rPr>
              <w:t>ne</w:t>
            </w:r>
            <w:r w:rsidR="00850AAF">
              <w:rPr>
                <w:iCs/>
              </w:rPr>
              <w:t xml:space="preserve">prisikirta socialinių paslaugų administravimo funkcija.  </w:t>
            </w:r>
          </w:p>
          <w:p w:rsidR="00776FEF" w:rsidRDefault="00570B6C" w:rsidP="00280677">
            <w:pPr>
              <w:jc w:val="both"/>
              <w:rPr>
                <w:iCs/>
              </w:rPr>
            </w:pPr>
            <w:r>
              <w:rPr>
                <w:iCs/>
              </w:rPr>
              <w:t>Socialinių paslaugų įstatyme nustatyta, kad informaciją apie asmens</w:t>
            </w:r>
            <w:r w:rsidR="004E459B">
              <w:rPr>
                <w:iCs/>
              </w:rPr>
              <w:t> </w:t>
            </w:r>
            <w:r>
              <w:rPr>
                <w:iCs/>
              </w:rPr>
              <w:t>(šeimos) pajamų ar turto pasikeitimus asmuo (vienas iš suaugusių šeimos narių) turi pranešti savivaldybei.</w:t>
            </w:r>
          </w:p>
          <w:p w:rsidR="00776FEF" w:rsidRDefault="00776FEF" w:rsidP="00280677">
            <w:pPr>
              <w:jc w:val="both"/>
              <w:rPr>
                <w:iCs/>
              </w:rPr>
            </w:pPr>
            <w:r>
              <w:rPr>
                <w:iCs/>
              </w:rPr>
              <w:t xml:space="preserve">Manytina, kad toks </w:t>
            </w:r>
            <w:r w:rsidR="00280677">
              <w:rPr>
                <w:iCs/>
              </w:rPr>
              <w:t xml:space="preserve">siūlomas </w:t>
            </w:r>
            <w:r>
              <w:rPr>
                <w:iCs/>
              </w:rPr>
              <w:t>procesas padidintų administracinę naštą</w:t>
            </w:r>
            <w:r w:rsidR="004E459B">
              <w:rPr>
                <w:iCs/>
              </w:rPr>
              <w:t>,</w:t>
            </w:r>
            <w:r>
              <w:rPr>
                <w:iCs/>
              </w:rPr>
              <w:t xml:space="preserve"> pailgintų finansinių </w:t>
            </w:r>
            <w:r w:rsidR="00106B4C">
              <w:rPr>
                <w:iCs/>
              </w:rPr>
              <w:t xml:space="preserve">galimybių </w:t>
            </w:r>
            <w:r>
              <w:rPr>
                <w:iCs/>
              </w:rPr>
              <w:t>pervertinimo procedūrą</w:t>
            </w:r>
            <w:r w:rsidR="00280677">
              <w:rPr>
                <w:iCs/>
              </w:rPr>
              <w:t xml:space="preserve"> ir prieštarautų Socialinių paslaugų įstatymui.</w:t>
            </w:r>
          </w:p>
          <w:p w:rsidR="00776FEF" w:rsidRDefault="00776FEF" w:rsidP="00280677">
            <w:pPr>
              <w:jc w:val="both"/>
              <w:rPr>
                <w:iCs/>
              </w:rPr>
            </w:pPr>
          </w:p>
          <w:p w:rsidR="0052559D" w:rsidRPr="00905635" w:rsidRDefault="0052559D" w:rsidP="00280677">
            <w:pPr>
              <w:jc w:val="both"/>
              <w:rPr>
                <w:b/>
                <w:iCs/>
              </w:rPr>
            </w:pPr>
          </w:p>
        </w:tc>
      </w:tr>
      <w:tr w:rsidR="00396138" w:rsidRPr="00905635" w:rsidTr="00321237">
        <w:trPr>
          <w:trHeight w:val="423"/>
        </w:trPr>
        <w:tc>
          <w:tcPr>
            <w:tcW w:w="1985" w:type="dxa"/>
            <w:shd w:val="clear" w:color="auto" w:fill="auto"/>
            <w:vAlign w:val="center"/>
          </w:tcPr>
          <w:p w:rsidR="00396138" w:rsidRDefault="00396138" w:rsidP="00AD2C66">
            <w:pPr>
              <w:jc w:val="center"/>
            </w:pPr>
          </w:p>
        </w:tc>
        <w:tc>
          <w:tcPr>
            <w:tcW w:w="5812" w:type="dxa"/>
            <w:shd w:val="clear" w:color="auto" w:fill="auto"/>
          </w:tcPr>
          <w:p w:rsidR="00396138" w:rsidRPr="00B635AA" w:rsidRDefault="00396138" w:rsidP="00492E5A">
            <w:pPr>
              <w:pStyle w:val="Sraopastraipa"/>
              <w:spacing w:before="0" w:beforeAutospacing="0" w:after="0" w:afterAutospacing="0"/>
              <w:ind w:left="33"/>
              <w:contextualSpacing/>
              <w:jc w:val="both"/>
              <w:rPr>
                <w:rFonts w:eastAsia="Calibri"/>
              </w:rPr>
            </w:pPr>
            <w:r w:rsidRPr="00F0398B">
              <w:rPr>
                <w:rFonts w:eastAsia="Calibri"/>
              </w:rPr>
              <w:t>Projekto 68, 85 punktuose nurodoma, kad gavus informaciją apie asmens turto pokyčius iš naujo vertinamos jo finansinės galimybės mokėti už paslaugas, tačiau nei viename teisės akte nenurodoma</w:t>
            </w:r>
            <w:r>
              <w:rPr>
                <w:rFonts w:eastAsia="Calibri"/>
              </w:rPr>
              <w:t>,</w:t>
            </w:r>
            <w:r w:rsidRPr="00F0398B">
              <w:rPr>
                <w:rFonts w:eastAsia="Calibri"/>
              </w:rPr>
              <w:t xml:space="preserve"> kiek laiko asmuo turės mokėti nustatytą turto mokestį, ar kol išmokės nustatą sumą iki apsigyvenimo globos įstaigoje, ar sumą, kuri nustatom</w:t>
            </w:r>
            <w:r>
              <w:rPr>
                <w:rFonts w:eastAsia="Calibri"/>
              </w:rPr>
              <w:t>a</w:t>
            </w:r>
            <w:r w:rsidRPr="00F0398B">
              <w:rPr>
                <w:rFonts w:eastAsia="Calibri"/>
              </w:rPr>
              <w:t xml:space="preserve"> po naujo turto vertinimo ir atskaičius jau sumokėtą mokestį. Savivaldybės siūlo tai aiškiai apibrėžti, nes susiduriama su dviprasmiškomis </w:t>
            </w:r>
            <w:r>
              <w:rPr>
                <w:rFonts w:eastAsia="Calibri"/>
              </w:rPr>
              <w:t>situacijomis</w:t>
            </w:r>
            <w:r w:rsidRPr="00F0398B">
              <w:rPr>
                <w:rFonts w:eastAsia="Calibri"/>
              </w:rPr>
              <w:t xml:space="preserve">, kiek laiko asmuo turi mokėti turto mokestį </w:t>
            </w:r>
            <w:r w:rsidR="00114D12" w:rsidRPr="00F0398B">
              <w:rPr>
                <w:rFonts w:eastAsia="Calibri"/>
              </w:rPr>
              <w:t>–</w:t>
            </w:r>
            <w:r w:rsidRPr="00F0398B">
              <w:rPr>
                <w:rFonts w:eastAsia="Calibri"/>
              </w:rPr>
              <w:t xml:space="preserve"> ar kol išmokės visą pirmin</w:t>
            </w:r>
            <w:r w:rsidR="00A76C79">
              <w:rPr>
                <w:rFonts w:eastAsia="Calibri"/>
              </w:rPr>
              <w:t xml:space="preserve">ę sumą, ar po naujo vertinimo. </w:t>
            </w:r>
          </w:p>
        </w:tc>
        <w:tc>
          <w:tcPr>
            <w:tcW w:w="7371" w:type="dxa"/>
            <w:shd w:val="clear" w:color="auto" w:fill="auto"/>
          </w:tcPr>
          <w:p w:rsidR="00396138" w:rsidRDefault="00A76C79" w:rsidP="00280677">
            <w:pPr>
              <w:jc w:val="both"/>
              <w:rPr>
                <w:b/>
                <w:iCs/>
              </w:rPr>
            </w:pPr>
            <w:r w:rsidRPr="00A76C79">
              <w:rPr>
                <w:b/>
                <w:iCs/>
              </w:rPr>
              <w:t>Neatsižvelgta.</w:t>
            </w:r>
          </w:p>
          <w:p w:rsidR="00A76C79" w:rsidRPr="004F0802" w:rsidRDefault="004F0802" w:rsidP="001855EE">
            <w:pPr>
              <w:jc w:val="both"/>
              <w:rPr>
                <w:iCs/>
              </w:rPr>
            </w:pPr>
            <w:r w:rsidRPr="004F0802">
              <w:rPr>
                <w:iCs/>
              </w:rPr>
              <w:t>Mokėjimo už socialines paslaugas tvarkos aprašo</w:t>
            </w:r>
            <w:r w:rsidR="00FD3335">
              <w:rPr>
                <w:iCs/>
              </w:rPr>
              <w:t xml:space="preserve"> (toliau – Aprašas)</w:t>
            </w:r>
            <w:r w:rsidRPr="004F0802">
              <w:rPr>
                <w:iCs/>
              </w:rPr>
              <w:t xml:space="preserve"> 43</w:t>
            </w:r>
            <w:r w:rsidR="008B4B07">
              <w:rPr>
                <w:iCs/>
              </w:rPr>
              <w:t> </w:t>
            </w:r>
            <w:r w:rsidRPr="004F0802">
              <w:rPr>
                <w:iCs/>
              </w:rPr>
              <w:t>p</w:t>
            </w:r>
            <w:r w:rsidR="001855EE">
              <w:rPr>
                <w:iCs/>
              </w:rPr>
              <w:t>unkte</w:t>
            </w:r>
            <w:r w:rsidRPr="004F0802">
              <w:rPr>
                <w:iCs/>
              </w:rPr>
              <w:t xml:space="preserve"> nustatyta, kad „</w:t>
            </w:r>
            <w:r w:rsidR="001855EE">
              <w:rPr>
                <w:iCs/>
              </w:rPr>
              <w:t>j</w:t>
            </w:r>
            <w:r w:rsidRPr="004F0802">
              <w:rPr>
                <w:iCs/>
              </w:rPr>
              <w:t xml:space="preserve">eigu suaugusio asmens, pradėjusio gauti ilgalaikę socialinę globą po 2007 m. sausio 1 d., turto vertė yra didesnė už jo gyvenamosios vietos savivaldybėje nustatytą turto vertės normatyvą, mokėjimo už ilgalaikę socialinę globą suaugusiam asmeniui dydis per mėnesį padidėja vienu procentu, skaičiuojant nuo turto vertės, viršijančios normatyvą“. </w:t>
            </w:r>
            <w:r>
              <w:rPr>
                <w:iCs/>
              </w:rPr>
              <w:t>Tai reiškia, kad asmuo už ilgalaikę socialinę globą</w:t>
            </w:r>
            <w:r w:rsidR="001855EE">
              <w:rPr>
                <w:iCs/>
              </w:rPr>
              <w:t>,</w:t>
            </w:r>
            <w:r>
              <w:rPr>
                <w:iCs/>
              </w:rPr>
              <w:t xml:space="preserve"> atsižvelgiant į turt</w:t>
            </w:r>
            <w:r w:rsidR="001855EE">
              <w:rPr>
                <w:iCs/>
              </w:rPr>
              <w:t>o vertę</w:t>
            </w:r>
            <w:r w:rsidR="00160D94">
              <w:rPr>
                <w:iCs/>
              </w:rPr>
              <w:t>,</w:t>
            </w:r>
            <w:r>
              <w:rPr>
                <w:iCs/>
              </w:rPr>
              <w:t xml:space="preserve"> moka tol, kol jo turt</w:t>
            </w:r>
            <w:r w:rsidR="001855EE">
              <w:rPr>
                <w:iCs/>
              </w:rPr>
              <w:t>o vertė</w:t>
            </w:r>
            <w:r>
              <w:rPr>
                <w:iCs/>
              </w:rPr>
              <w:t xml:space="preserve"> viršija Aprašo 94</w:t>
            </w:r>
            <w:r w:rsidR="00160D94">
              <w:rPr>
                <w:iCs/>
              </w:rPr>
              <w:t> </w:t>
            </w:r>
            <w:r>
              <w:rPr>
                <w:iCs/>
              </w:rPr>
              <w:t xml:space="preserve">punkte nustatytą turto vertės normatyvą. </w:t>
            </w:r>
            <w:r w:rsidR="003F79FF">
              <w:rPr>
                <w:iCs/>
              </w:rPr>
              <w:t>A</w:t>
            </w:r>
            <w:r w:rsidR="00114D12">
              <w:rPr>
                <w:iCs/>
              </w:rPr>
              <w:t>smens finansin</w:t>
            </w:r>
            <w:r w:rsidR="003F79FF">
              <w:rPr>
                <w:iCs/>
              </w:rPr>
              <w:t>ė</w:t>
            </w:r>
            <w:r w:rsidR="00114D12">
              <w:rPr>
                <w:iCs/>
              </w:rPr>
              <w:t>s galimyb</w:t>
            </w:r>
            <w:r w:rsidR="003F79FF">
              <w:rPr>
                <w:iCs/>
              </w:rPr>
              <w:t>ė</w:t>
            </w:r>
            <w:r w:rsidR="00114D12">
              <w:rPr>
                <w:iCs/>
              </w:rPr>
              <w:t>s</w:t>
            </w:r>
            <w:r w:rsidR="003F79FF">
              <w:rPr>
                <w:iCs/>
              </w:rPr>
              <w:t xml:space="preserve"> vertinamos</w:t>
            </w:r>
            <w:r w:rsidR="00106B4C">
              <w:rPr>
                <w:iCs/>
              </w:rPr>
              <w:t xml:space="preserve"> (pervertinamos)</w:t>
            </w:r>
            <w:r w:rsidR="003F79FF">
              <w:rPr>
                <w:iCs/>
              </w:rPr>
              <w:t xml:space="preserve"> </w:t>
            </w:r>
            <w:r w:rsidR="00106B4C">
              <w:rPr>
                <w:iCs/>
              </w:rPr>
              <w:t xml:space="preserve">siekiant </w:t>
            </w:r>
            <w:r w:rsidR="003F79FF">
              <w:rPr>
                <w:iCs/>
              </w:rPr>
              <w:t xml:space="preserve">nustatyti, kiek asmuo turi mokėti už socialinę globą. </w:t>
            </w:r>
            <w:r w:rsidR="00106B4C">
              <w:rPr>
                <w:iCs/>
              </w:rPr>
              <w:t xml:space="preserve">Pasikeitus asmens finansinėms galimybėms, </w:t>
            </w:r>
            <w:r w:rsidR="00FD3335">
              <w:rPr>
                <w:iCs/>
              </w:rPr>
              <w:t>mokėjimo dydis nustatomas iš naujo</w:t>
            </w:r>
            <w:r w:rsidR="00280677">
              <w:rPr>
                <w:iCs/>
              </w:rPr>
              <w:t>, t.</w:t>
            </w:r>
            <w:r w:rsidR="001855EE">
              <w:rPr>
                <w:iCs/>
              </w:rPr>
              <w:t xml:space="preserve"> </w:t>
            </w:r>
            <w:r w:rsidR="00280677">
              <w:rPr>
                <w:iCs/>
              </w:rPr>
              <w:t>y. asmuo moka naujai nustatytą mokėjimo dydį</w:t>
            </w:r>
            <w:r w:rsidR="00FD3335">
              <w:rPr>
                <w:iCs/>
              </w:rPr>
              <w:t xml:space="preserve">. </w:t>
            </w:r>
            <w:r w:rsidR="003F79FF">
              <w:rPr>
                <w:iCs/>
              </w:rPr>
              <w:t xml:space="preserve">Todėl </w:t>
            </w:r>
            <w:r w:rsidR="001855EE">
              <w:rPr>
                <w:iCs/>
              </w:rPr>
              <w:t>ne</w:t>
            </w:r>
            <w:r w:rsidR="003F79FF">
              <w:rPr>
                <w:iCs/>
              </w:rPr>
              <w:t>tikslinga reglamentuoti, ar asmuo turi mokėti pagal pirminį ar pakartotinį finansinių galimybių vertinimą.</w:t>
            </w:r>
          </w:p>
        </w:tc>
      </w:tr>
      <w:tr w:rsidR="00DD4EFB" w:rsidRPr="00905635" w:rsidTr="00321237">
        <w:trPr>
          <w:trHeight w:val="423"/>
        </w:trPr>
        <w:tc>
          <w:tcPr>
            <w:tcW w:w="1985" w:type="dxa"/>
            <w:shd w:val="clear" w:color="auto" w:fill="auto"/>
            <w:vAlign w:val="center"/>
          </w:tcPr>
          <w:p w:rsidR="00DD4EFB" w:rsidRDefault="00DD4EFB" w:rsidP="00AD2C66">
            <w:pPr>
              <w:jc w:val="center"/>
            </w:pPr>
          </w:p>
        </w:tc>
        <w:tc>
          <w:tcPr>
            <w:tcW w:w="5812" w:type="dxa"/>
            <w:shd w:val="clear" w:color="auto" w:fill="auto"/>
          </w:tcPr>
          <w:p w:rsidR="00DD4EFB" w:rsidRPr="008926EC" w:rsidRDefault="00DD4EFB" w:rsidP="00DD4EFB">
            <w:pPr>
              <w:pStyle w:val="Sraopastraipa"/>
              <w:spacing w:before="0" w:beforeAutospacing="0" w:after="0" w:afterAutospacing="0"/>
              <w:ind w:left="34"/>
              <w:contextualSpacing/>
              <w:jc w:val="both"/>
              <w:rPr>
                <w:rFonts w:eastAsia="Calibri"/>
              </w:rPr>
            </w:pPr>
            <w:r>
              <w:rPr>
                <w:rFonts w:eastAsia="Calibri"/>
              </w:rPr>
              <w:t>Prašome</w:t>
            </w:r>
            <w:r w:rsidRPr="008926EC">
              <w:rPr>
                <w:rFonts w:eastAsia="Calibri"/>
              </w:rPr>
              <w:t xml:space="preserve"> patikslinti Mokėjimo už socialines paslaugas tvarkos aprašo 95 punktą, kadangi asmeniui gyvenant globos namuose </w:t>
            </w:r>
            <w:proofErr w:type="gramStart"/>
            <w:r w:rsidRPr="008926EC">
              <w:rPr>
                <w:rFonts w:eastAsia="Calibri"/>
              </w:rPr>
              <w:t>kelis</w:t>
            </w:r>
            <w:proofErr w:type="gramEnd"/>
            <w:r w:rsidRPr="008926EC">
              <w:rPr>
                <w:rFonts w:eastAsia="Calibri"/>
              </w:rPr>
              <w:t xml:space="preserve"> metus ir pardavus turtą, neaišku kokios gyvenamosios vietos normatyvą taikyti: ar globos įstaigos vietos, kur asmuo deklaruotas kelis metus, ar tos vietos, kur asmuo gyveno iki patekdamas į globos įstaigą, ar tos vietos kur yra parduodamas nekilnojamas turtas (namas, žemės ūkio paskirties žemė ar kt.), kas geriausiai atspindėtų tikrą turto vertę. Siūlome tikslinti taip:</w:t>
            </w:r>
            <w:r>
              <w:rPr>
                <w:rFonts w:eastAsia="Calibri"/>
              </w:rPr>
              <w:t xml:space="preserve"> </w:t>
            </w:r>
            <w:r w:rsidRPr="008926EC">
              <w:rPr>
                <w:rFonts w:eastAsia="Calibri"/>
              </w:rPr>
              <w:t>„95.</w:t>
            </w:r>
            <w:r w:rsidR="00FB275A">
              <w:rPr>
                <w:rFonts w:eastAsia="Calibri"/>
              </w:rPr>
              <w:t> </w:t>
            </w:r>
            <w:r w:rsidRPr="008926EC">
              <w:rPr>
                <w:rFonts w:eastAsia="Calibri"/>
              </w:rPr>
              <w:t xml:space="preserve">Turto vertės normatyvas nustatomas turto normatyvą dauginant </w:t>
            </w:r>
            <w:r w:rsidRPr="009B723B">
              <w:rPr>
                <w:rFonts w:eastAsia="Calibri"/>
              </w:rPr>
              <w:t>iš asmens gyvenamosios vietos nekilnojamojo turto ploto vieneto normatyvinės vertės piniginei so</w:t>
            </w:r>
            <w:r w:rsidRPr="008926EC">
              <w:rPr>
                <w:rFonts w:eastAsia="Calibri"/>
              </w:rPr>
              <w:t>cialinei paramai nepasiturintiems gyventojams gauti.“</w:t>
            </w:r>
          </w:p>
          <w:p w:rsidR="00DD4EFB" w:rsidRPr="00F0398B" w:rsidRDefault="00DD4EFB" w:rsidP="00280677">
            <w:pPr>
              <w:pStyle w:val="Sraopastraipa"/>
              <w:spacing w:before="0" w:beforeAutospacing="0" w:after="0" w:afterAutospacing="0"/>
              <w:ind w:left="33"/>
              <w:contextualSpacing/>
              <w:jc w:val="both"/>
              <w:rPr>
                <w:rFonts w:eastAsia="Calibri"/>
              </w:rPr>
            </w:pPr>
          </w:p>
        </w:tc>
        <w:tc>
          <w:tcPr>
            <w:tcW w:w="7371" w:type="dxa"/>
            <w:shd w:val="clear" w:color="auto" w:fill="auto"/>
          </w:tcPr>
          <w:p w:rsidR="00DD4EFB" w:rsidRDefault="00DD4EFB" w:rsidP="00DD4EFB">
            <w:pPr>
              <w:jc w:val="both"/>
              <w:rPr>
                <w:b/>
                <w:iCs/>
              </w:rPr>
            </w:pPr>
            <w:r w:rsidRPr="00A76C79">
              <w:rPr>
                <w:b/>
                <w:iCs/>
              </w:rPr>
              <w:t>Neatsižvelgta.</w:t>
            </w:r>
          </w:p>
          <w:p w:rsidR="00DD4EFB" w:rsidRPr="00DD4EFB" w:rsidRDefault="00105760" w:rsidP="00DD4EFB">
            <w:pPr>
              <w:jc w:val="both"/>
              <w:rPr>
                <w:iCs/>
              </w:rPr>
            </w:pPr>
            <w:r>
              <w:rPr>
                <w:iCs/>
              </w:rPr>
              <w:t>A</w:t>
            </w:r>
            <w:r w:rsidR="00DD4EFB" w:rsidRPr="00DD4EFB">
              <w:rPr>
                <w:iCs/>
              </w:rPr>
              <w:t>prašo 95 punktas taip ir išdėstytas, kaip siūloma.</w:t>
            </w:r>
          </w:p>
        </w:tc>
      </w:tr>
      <w:tr w:rsidR="0052559D" w:rsidRPr="00905635" w:rsidTr="00321237">
        <w:trPr>
          <w:trHeight w:val="423"/>
        </w:trPr>
        <w:tc>
          <w:tcPr>
            <w:tcW w:w="1985" w:type="dxa"/>
            <w:shd w:val="clear" w:color="auto" w:fill="auto"/>
            <w:vAlign w:val="center"/>
          </w:tcPr>
          <w:p w:rsidR="0052559D" w:rsidRDefault="0052559D" w:rsidP="00AD2C66">
            <w:pPr>
              <w:jc w:val="center"/>
            </w:pPr>
          </w:p>
        </w:tc>
        <w:tc>
          <w:tcPr>
            <w:tcW w:w="5812" w:type="dxa"/>
            <w:shd w:val="clear" w:color="auto" w:fill="auto"/>
            <w:vAlign w:val="center"/>
          </w:tcPr>
          <w:p w:rsidR="008F0BE9" w:rsidRDefault="0052559D" w:rsidP="00280677">
            <w:pPr>
              <w:pStyle w:val="Sraopastraipa"/>
              <w:spacing w:before="0" w:beforeAutospacing="0" w:after="0" w:afterAutospacing="0"/>
              <w:ind w:left="33"/>
              <w:contextualSpacing/>
              <w:jc w:val="both"/>
              <w:rPr>
                <w:rFonts w:eastAsia="Calibri"/>
              </w:rPr>
            </w:pPr>
            <w:r>
              <w:rPr>
                <w:rFonts w:eastAsia="Calibri"/>
              </w:rPr>
              <w:t>Kai kurių savivaldybių nuomone,</w:t>
            </w:r>
            <w:r w:rsidRPr="007E36C3">
              <w:rPr>
                <w:rFonts w:eastAsia="Calibri"/>
              </w:rPr>
              <w:t xml:space="preserve"> mokėjimo dydžių diferencijavimo pagal remiamų pajamų dydžius nereikia taip smulki</w:t>
            </w:r>
            <w:r>
              <w:rPr>
                <w:rFonts w:eastAsia="Calibri"/>
              </w:rPr>
              <w:t xml:space="preserve">nti </w:t>
            </w:r>
            <w:r w:rsidRPr="007E36C3">
              <w:rPr>
                <w:rFonts w:eastAsia="Calibri"/>
              </w:rPr>
              <w:t>(net iki 5 remiamų pajamų)</w:t>
            </w:r>
            <w:r>
              <w:rPr>
                <w:rFonts w:eastAsia="Calibri"/>
              </w:rPr>
              <w:t xml:space="preserve">. Tokiu Tvarkos </w:t>
            </w:r>
            <w:r>
              <w:rPr>
                <w:rFonts w:eastAsia="Calibri"/>
              </w:rPr>
              <w:lastRenderedPageBreak/>
              <w:t xml:space="preserve">aprašu </w:t>
            </w:r>
            <w:r w:rsidRPr="007E36C3">
              <w:rPr>
                <w:rFonts w:eastAsia="Calibri"/>
              </w:rPr>
              <w:t xml:space="preserve">bus </w:t>
            </w:r>
            <w:r>
              <w:rPr>
                <w:rFonts w:eastAsia="Calibri"/>
              </w:rPr>
              <w:t xml:space="preserve">sunku vadovautis </w:t>
            </w:r>
            <w:r w:rsidRPr="007E36C3">
              <w:rPr>
                <w:rFonts w:eastAsia="Calibri"/>
              </w:rPr>
              <w:t>tiek gyventojams, tiek darbuotojams</w:t>
            </w:r>
            <w:r>
              <w:rPr>
                <w:rFonts w:eastAsia="Calibri"/>
              </w:rPr>
              <w:t>. Ypač bus sunku</w:t>
            </w:r>
            <w:r w:rsidRPr="007E36C3">
              <w:rPr>
                <w:rFonts w:eastAsia="Calibri"/>
              </w:rPr>
              <w:t xml:space="preserve"> apskaičiuoti mokėjimo už suteiktas paslaugas dydžius, kai dažnai keičiasi gaunamos pensijos, išmokos ar darbo užmokestis.</w:t>
            </w:r>
          </w:p>
          <w:p w:rsidR="008F0BE9" w:rsidRDefault="008F0BE9" w:rsidP="00321237">
            <w:pPr>
              <w:pStyle w:val="Sraopastraipa"/>
              <w:spacing w:before="0" w:beforeAutospacing="0" w:after="0" w:afterAutospacing="0"/>
              <w:ind w:left="33"/>
              <w:contextualSpacing/>
              <w:jc w:val="both"/>
              <w:rPr>
                <w:rFonts w:eastAsia="Calibri"/>
              </w:rPr>
            </w:pPr>
            <w:r w:rsidRPr="00CC1F38">
              <w:rPr>
                <w:rFonts w:eastAsia="Calibri"/>
              </w:rPr>
              <w:t xml:space="preserve">Kitos savivaldybės siūlo </w:t>
            </w:r>
            <w:r>
              <w:t xml:space="preserve">mokestį už socialinę priežiūrą šeimai diferencijuoti, tačiau padidinti apatinę jo ribą iki  rekomenduojamos </w:t>
            </w:r>
            <w:proofErr w:type="gramStart"/>
            <w:r>
              <w:t>10</w:t>
            </w:r>
            <w:r>
              <w:rPr>
                <w:lang w:val="en-US"/>
              </w:rPr>
              <w:t>%</w:t>
            </w:r>
            <w:proofErr w:type="gramEnd"/>
            <w:r>
              <w:rPr>
                <w:lang w:val="en-US"/>
              </w:rPr>
              <w:t xml:space="preserve"> (</w:t>
            </w:r>
            <w:proofErr w:type="spellStart"/>
            <w:r>
              <w:rPr>
                <w:lang w:val="en-US"/>
              </w:rPr>
              <w:t>nuo</w:t>
            </w:r>
            <w:proofErr w:type="spellEnd"/>
            <w:r>
              <w:rPr>
                <w:lang w:val="en-US"/>
              </w:rPr>
              <w:t xml:space="preserve"> 2VRP</w:t>
            </w:r>
            <w:r w:rsidRPr="00CC1F38">
              <w:rPr>
                <w:lang w:val="en-US"/>
              </w:rPr>
              <w:t xml:space="preserve"> </w:t>
            </w:r>
            <w:proofErr w:type="spellStart"/>
            <w:r w:rsidRPr="00CC1F38">
              <w:rPr>
                <w:lang w:val="en-US"/>
              </w:rPr>
              <w:t>iki</w:t>
            </w:r>
            <w:proofErr w:type="spellEnd"/>
            <w:r w:rsidRPr="00CC1F38">
              <w:rPr>
                <w:lang w:val="en-US"/>
              </w:rPr>
              <w:t xml:space="preserve"> 4 VRP – 10</w:t>
            </w:r>
            <w:r w:rsidR="00FB275A">
              <w:rPr>
                <w:lang w:val="en-US"/>
              </w:rPr>
              <w:t xml:space="preserve"> </w:t>
            </w:r>
            <w:r w:rsidRPr="00CC1F38">
              <w:rPr>
                <w:lang w:val="en-US"/>
              </w:rPr>
              <w:t xml:space="preserve">% </w:t>
            </w:r>
            <w:r>
              <w:t>šeimos pajamų, virš 4VRP-15</w:t>
            </w:r>
            <w:r w:rsidRPr="00CC1F38">
              <w:rPr>
                <w:lang w:val="en-US"/>
              </w:rPr>
              <w:t xml:space="preserve">% </w:t>
            </w:r>
            <w:r>
              <w:t xml:space="preserve">šeimos pajamų) (siūlymai kilo atsižvelgiant į paslaugų teikimo patirtį - dažnai senyvo amžiaus žmonės traktuoja socialinės priežiūros paslaugas lyg namų tvarkymo paslaugas). Kada yra adekvati mokėjimo sistema, sudaroma didesnė galimybė paslaugas teikti tiems, kuriems iš tikrųjų jų reikia. </w:t>
            </w:r>
          </w:p>
        </w:tc>
        <w:tc>
          <w:tcPr>
            <w:tcW w:w="7371" w:type="dxa"/>
            <w:shd w:val="clear" w:color="auto" w:fill="auto"/>
          </w:tcPr>
          <w:p w:rsidR="00D54267" w:rsidRDefault="00D54267" w:rsidP="00280677">
            <w:pPr>
              <w:jc w:val="both"/>
              <w:rPr>
                <w:b/>
                <w:iCs/>
              </w:rPr>
            </w:pPr>
            <w:r>
              <w:rPr>
                <w:b/>
                <w:iCs/>
              </w:rPr>
              <w:lastRenderedPageBreak/>
              <w:t>Neatsižvelgta.</w:t>
            </w:r>
          </w:p>
          <w:p w:rsidR="0052559D" w:rsidRPr="00D54267" w:rsidRDefault="000B3919" w:rsidP="001855EE">
            <w:pPr>
              <w:jc w:val="both"/>
              <w:rPr>
                <w:iCs/>
              </w:rPr>
            </w:pPr>
            <w:r w:rsidRPr="00D54267">
              <w:rPr>
                <w:iCs/>
              </w:rPr>
              <w:t xml:space="preserve">Mokėjimo dydžių diferencijavimas rekomenduojamas, todėl kiekviena savivaldybė </w:t>
            </w:r>
            <w:r w:rsidR="00D54267" w:rsidRPr="00D54267">
              <w:rPr>
                <w:iCs/>
              </w:rPr>
              <w:t xml:space="preserve">savo mokėjimo tvarkoje </w:t>
            </w:r>
            <w:r w:rsidRPr="00D54267">
              <w:rPr>
                <w:iCs/>
              </w:rPr>
              <w:t xml:space="preserve">gali </w:t>
            </w:r>
            <w:r w:rsidR="00D54267" w:rsidRPr="00D54267">
              <w:rPr>
                <w:iCs/>
              </w:rPr>
              <w:t xml:space="preserve">nustatyti jai priimtinus </w:t>
            </w:r>
            <w:r w:rsidR="00D54267" w:rsidRPr="00D54267">
              <w:rPr>
                <w:iCs/>
              </w:rPr>
              <w:lastRenderedPageBreak/>
              <w:t xml:space="preserve">mokėjimo dydžius. </w:t>
            </w:r>
            <w:r w:rsidR="008C6673">
              <w:rPr>
                <w:iCs/>
              </w:rPr>
              <w:t xml:space="preserve">Diferencijavimu norima užtikrinti socialinių paslaugų tęstinumą </w:t>
            </w:r>
            <w:r w:rsidR="00280677">
              <w:rPr>
                <w:iCs/>
              </w:rPr>
              <w:t xml:space="preserve">ir adekvatų mokėjimo dydžio pasikeitimą </w:t>
            </w:r>
            <w:r w:rsidR="008C6673">
              <w:rPr>
                <w:iCs/>
              </w:rPr>
              <w:t>gyventojams, pasikeitus jų pajamoms.</w:t>
            </w:r>
          </w:p>
        </w:tc>
      </w:tr>
      <w:tr w:rsidR="0052559D" w:rsidRPr="00905635" w:rsidTr="00321237">
        <w:trPr>
          <w:trHeight w:val="423"/>
        </w:trPr>
        <w:tc>
          <w:tcPr>
            <w:tcW w:w="1985" w:type="dxa"/>
            <w:shd w:val="clear" w:color="auto" w:fill="auto"/>
            <w:vAlign w:val="center"/>
          </w:tcPr>
          <w:p w:rsidR="0052559D" w:rsidRDefault="0052559D" w:rsidP="00AD2C66">
            <w:pPr>
              <w:jc w:val="center"/>
            </w:pPr>
          </w:p>
        </w:tc>
        <w:tc>
          <w:tcPr>
            <w:tcW w:w="5812" w:type="dxa"/>
            <w:shd w:val="clear" w:color="auto" w:fill="auto"/>
          </w:tcPr>
          <w:p w:rsidR="0052559D" w:rsidRPr="008F0BE9" w:rsidRDefault="0052559D" w:rsidP="00AD1E9F">
            <w:pPr>
              <w:pStyle w:val="Sraopastraipa"/>
              <w:tabs>
                <w:tab w:val="left" w:pos="33"/>
              </w:tabs>
              <w:spacing w:before="0" w:beforeAutospacing="0" w:after="0" w:afterAutospacing="0"/>
              <w:ind w:left="33"/>
              <w:contextualSpacing/>
              <w:jc w:val="both"/>
              <w:rPr>
                <w:sz w:val="22"/>
              </w:rPr>
            </w:pPr>
            <w:r>
              <w:t>Nepritariame Projekto 36 punktui, kad už laikino atokvėpio paslaugas būtų rekomenduojamas mokestis ne daugiau 50proc. asmens pajamų, nes šios paslaugos priskiriamos prie trumpalaikės socialinės globos paslaugų ir laikino atokvėpio paslaugų kaina socialinės globos įstaigoje prilyginama trumpalaikės socialinės globos kainai.</w:t>
            </w:r>
          </w:p>
        </w:tc>
        <w:tc>
          <w:tcPr>
            <w:tcW w:w="7371" w:type="dxa"/>
            <w:shd w:val="clear" w:color="auto" w:fill="auto"/>
          </w:tcPr>
          <w:p w:rsidR="00413497" w:rsidRDefault="00413497" w:rsidP="00280677">
            <w:pPr>
              <w:jc w:val="both"/>
              <w:rPr>
                <w:b/>
                <w:iCs/>
              </w:rPr>
            </w:pPr>
            <w:r>
              <w:rPr>
                <w:b/>
                <w:iCs/>
              </w:rPr>
              <w:t>Neatsižvelgta.</w:t>
            </w:r>
          </w:p>
          <w:p w:rsidR="00DC16C7" w:rsidRDefault="002052A9" w:rsidP="00280677">
            <w:pPr>
              <w:jc w:val="both"/>
              <w:rPr>
                <w:iCs/>
              </w:rPr>
            </w:pPr>
            <w:r>
              <w:t xml:space="preserve">Trumpalaikė socialinė globa asmeniui, kai jį prižiūrintiems šeimos nariams suteikiamas laikinas atokvėpis, yra nauja paslauga, išbandyta įgyvendinant projektą </w:t>
            </w:r>
            <w:r w:rsidR="00D32315">
              <w:t>„</w:t>
            </w:r>
            <w:r w:rsidRPr="008B4B07">
              <w:rPr>
                <w:iCs/>
              </w:rPr>
              <w:t>Tvaraus perėjimo nuo institucinės globos prie šeimoje ir bendruomenėje teikiamų paslaugų sistemos sąlygų sukūrim</w:t>
            </w:r>
            <w:r w:rsidRPr="00105760">
              <w:rPr>
                <w:iCs/>
              </w:rPr>
              <w:t>as</w:t>
            </w:r>
            <w:r w:rsidRPr="008B4B07">
              <w:rPr>
                <w:iCs/>
              </w:rPr>
              <w:t xml:space="preserve"> Lietuvoje</w:t>
            </w:r>
            <w:r w:rsidRPr="00105760">
              <w:rPr>
                <w:iCs/>
              </w:rPr>
              <w:t>“</w:t>
            </w:r>
            <w:r w:rsidRPr="00105760">
              <w:t xml:space="preserve">. </w:t>
            </w:r>
            <w:r w:rsidR="00222CAB" w:rsidRPr="00105760">
              <w:rPr>
                <w:iCs/>
              </w:rPr>
              <w:t>L</w:t>
            </w:r>
            <w:r w:rsidR="00222CAB" w:rsidRPr="008B4B07">
              <w:rPr>
                <w:iCs/>
              </w:rPr>
              <w:t>aikinas atokvėpis yra prevencinė paslauga</w:t>
            </w:r>
            <w:r w:rsidR="001855EE" w:rsidRPr="008B4B07">
              <w:rPr>
                <w:iCs/>
              </w:rPr>
              <w:t>,</w:t>
            </w:r>
            <w:r w:rsidR="00222CAB" w:rsidRPr="008B4B07">
              <w:rPr>
                <w:iCs/>
              </w:rPr>
              <w:t xml:space="preserve"> siekiant </w:t>
            </w:r>
            <w:r w:rsidR="001855EE" w:rsidRPr="008B4B07">
              <w:rPr>
                <w:iCs/>
              </w:rPr>
              <w:t xml:space="preserve">mažinti </w:t>
            </w:r>
            <w:r w:rsidR="00222CAB" w:rsidRPr="008B4B07">
              <w:rPr>
                <w:iCs/>
              </w:rPr>
              <w:t>institucin</w:t>
            </w:r>
            <w:r w:rsidR="001855EE" w:rsidRPr="008B4B07">
              <w:rPr>
                <w:iCs/>
              </w:rPr>
              <w:t>ę</w:t>
            </w:r>
            <w:r w:rsidR="00222CAB" w:rsidRPr="008B4B07">
              <w:rPr>
                <w:iCs/>
              </w:rPr>
              <w:t xml:space="preserve"> glob</w:t>
            </w:r>
            <w:r w:rsidR="001855EE" w:rsidRPr="008B4B07">
              <w:rPr>
                <w:iCs/>
              </w:rPr>
              <w:t>ą</w:t>
            </w:r>
            <w:r w:rsidR="00222CAB" w:rsidRPr="008B4B07">
              <w:rPr>
                <w:iCs/>
              </w:rPr>
              <w:t>, t.</w:t>
            </w:r>
            <w:r w:rsidR="001855EE" w:rsidRPr="008B4B07">
              <w:rPr>
                <w:iCs/>
              </w:rPr>
              <w:t xml:space="preserve"> </w:t>
            </w:r>
            <w:r w:rsidR="00222CAB" w:rsidRPr="008B4B07">
              <w:rPr>
                <w:iCs/>
              </w:rPr>
              <w:t>y.</w:t>
            </w:r>
            <w:proofErr w:type="gramStart"/>
            <w:r w:rsidR="00222CAB" w:rsidRPr="008B4B07">
              <w:rPr>
                <w:iCs/>
              </w:rPr>
              <w:t xml:space="preserve"> kad</w:t>
            </w:r>
            <w:proofErr w:type="gramEnd"/>
            <w:r w:rsidR="00222CAB" w:rsidRPr="008B4B07">
              <w:rPr>
                <w:iCs/>
              </w:rPr>
              <w:t xml:space="preserve"> asmuo kuo ilgiau gyventų šeimoje ar namų aplinkoje.</w:t>
            </w:r>
            <w:r w:rsidR="00DC16C7" w:rsidRPr="008B4B07">
              <w:rPr>
                <w:iCs/>
              </w:rPr>
              <w:t xml:space="preserve"> Šia paslauga</w:t>
            </w:r>
            <w:r w:rsidR="00DC16C7">
              <w:rPr>
                <w:iCs/>
              </w:rPr>
              <w:t xml:space="preserve"> </w:t>
            </w:r>
            <w:r w:rsidR="00DC16C7" w:rsidRPr="00552062">
              <w:rPr>
                <w:iCs/>
              </w:rPr>
              <w:t>siekiama skatinti šeimos narių įsitraukimą į darbo rinką, poilsį nuo nuolatinės neįgalaus asmens globos, taip pat bendravimą su kitais šeimos nariais, auginamais vaikais ir kt.</w:t>
            </w:r>
          </w:p>
          <w:p w:rsidR="00222CAB" w:rsidRDefault="00222CAB" w:rsidP="00280677">
            <w:pPr>
              <w:jc w:val="both"/>
            </w:pPr>
            <w:r>
              <w:rPr>
                <w:iCs/>
              </w:rPr>
              <w:t>I</w:t>
            </w:r>
            <w:r w:rsidRPr="00552062">
              <w:rPr>
                <w:iCs/>
              </w:rPr>
              <w:t>ki 2019 m. II ketv</w:t>
            </w:r>
            <w:r w:rsidR="006F477E">
              <w:rPr>
                <w:iCs/>
              </w:rPr>
              <w:t>irčio</w:t>
            </w:r>
            <w:r w:rsidRPr="00552062">
              <w:rPr>
                <w:iCs/>
              </w:rPr>
              <w:t xml:space="preserve"> pabaigos 15-oje savivaldybių </w:t>
            </w:r>
            <w:r>
              <w:rPr>
                <w:iCs/>
              </w:rPr>
              <w:t>l</w:t>
            </w:r>
            <w:r w:rsidRPr="00552062">
              <w:rPr>
                <w:iCs/>
              </w:rPr>
              <w:t>aikin</w:t>
            </w:r>
            <w:r>
              <w:rPr>
                <w:iCs/>
              </w:rPr>
              <w:t>ą</w:t>
            </w:r>
            <w:r w:rsidRPr="00552062">
              <w:rPr>
                <w:iCs/>
              </w:rPr>
              <w:t xml:space="preserve"> atokvėp</w:t>
            </w:r>
            <w:r>
              <w:rPr>
                <w:iCs/>
              </w:rPr>
              <w:t>į</w:t>
            </w:r>
            <w:r w:rsidRPr="00552062">
              <w:rPr>
                <w:iCs/>
              </w:rPr>
              <w:t xml:space="preserve"> </w:t>
            </w:r>
            <w:r>
              <w:rPr>
                <w:iCs/>
              </w:rPr>
              <w:t>gavo 210 šeimų</w:t>
            </w:r>
            <w:r w:rsidRPr="00552062">
              <w:rPr>
                <w:iCs/>
              </w:rPr>
              <w:t>.</w:t>
            </w:r>
          </w:p>
          <w:p w:rsidR="0052559D" w:rsidRPr="00552062" w:rsidRDefault="00222CAB" w:rsidP="00160D94">
            <w:pPr>
              <w:jc w:val="both"/>
              <w:rPr>
                <w:iCs/>
              </w:rPr>
            </w:pPr>
            <w:r w:rsidRPr="00552062">
              <w:rPr>
                <w:iCs/>
              </w:rPr>
              <w:t>Siekiant paslaugos plėtros visose Lietuvos savivaldybėse</w:t>
            </w:r>
            <w:r w:rsidR="00DC16C7">
              <w:rPr>
                <w:iCs/>
              </w:rPr>
              <w:t>,</w:t>
            </w:r>
            <w:r w:rsidRPr="00552062">
              <w:rPr>
                <w:iCs/>
              </w:rPr>
              <w:t xml:space="preserve"> būtina skatinti </w:t>
            </w:r>
            <w:r w:rsidR="006F477E">
              <w:rPr>
                <w:iCs/>
              </w:rPr>
              <w:t xml:space="preserve">tos </w:t>
            </w:r>
            <w:r w:rsidRPr="00552062">
              <w:rPr>
                <w:iCs/>
              </w:rPr>
              <w:t>paslaugos prieinamumą</w:t>
            </w:r>
            <w:r w:rsidR="00DC16C7">
              <w:rPr>
                <w:iCs/>
              </w:rPr>
              <w:t xml:space="preserve">. </w:t>
            </w:r>
            <w:r w:rsidRPr="00552062">
              <w:rPr>
                <w:iCs/>
              </w:rPr>
              <w:t>Įvertin</w:t>
            </w:r>
            <w:r w:rsidR="006F477E">
              <w:rPr>
                <w:iCs/>
              </w:rPr>
              <w:t>us tai</w:t>
            </w:r>
            <w:r w:rsidRPr="00552062">
              <w:rPr>
                <w:iCs/>
              </w:rPr>
              <w:t xml:space="preserve">, kad globojamo asmens pajamos dažnai </w:t>
            </w:r>
            <w:r w:rsidR="00280677">
              <w:rPr>
                <w:iCs/>
              </w:rPr>
              <w:t>sudaro didžiąją dalį visos šeimos pajamų</w:t>
            </w:r>
            <w:r w:rsidRPr="00552062">
              <w:rPr>
                <w:iCs/>
              </w:rPr>
              <w:t xml:space="preserve">, </w:t>
            </w:r>
            <w:r w:rsidR="00DC16C7">
              <w:rPr>
                <w:iCs/>
              </w:rPr>
              <w:t xml:space="preserve">siūloma savivaldybėms </w:t>
            </w:r>
            <w:r w:rsidR="00280677">
              <w:rPr>
                <w:iCs/>
              </w:rPr>
              <w:t xml:space="preserve">nustatyti ne vien maksimalius </w:t>
            </w:r>
            <w:r w:rsidR="00DC16C7">
              <w:rPr>
                <w:iCs/>
              </w:rPr>
              <w:t xml:space="preserve">asmens mokėjimo už trumpalaikę socialinę globą dydžius.  </w:t>
            </w:r>
          </w:p>
        </w:tc>
      </w:tr>
      <w:tr w:rsidR="0052559D" w:rsidRPr="00905635" w:rsidTr="00321237">
        <w:trPr>
          <w:trHeight w:val="423"/>
        </w:trPr>
        <w:tc>
          <w:tcPr>
            <w:tcW w:w="1985" w:type="dxa"/>
            <w:shd w:val="clear" w:color="auto" w:fill="auto"/>
            <w:vAlign w:val="center"/>
          </w:tcPr>
          <w:p w:rsidR="0052559D" w:rsidRDefault="0052559D" w:rsidP="00AD2C66">
            <w:pPr>
              <w:jc w:val="center"/>
            </w:pPr>
          </w:p>
        </w:tc>
        <w:tc>
          <w:tcPr>
            <w:tcW w:w="5812" w:type="dxa"/>
            <w:shd w:val="clear" w:color="auto" w:fill="auto"/>
          </w:tcPr>
          <w:p w:rsidR="0052559D" w:rsidRDefault="0052559D" w:rsidP="00220743">
            <w:pPr>
              <w:pStyle w:val="Sraopastraipa"/>
              <w:spacing w:before="0" w:beforeAutospacing="0" w:after="0" w:afterAutospacing="0"/>
              <w:ind w:left="33"/>
              <w:jc w:val="both"/>
            </w:pPr>
            <w:r>
              <w:t xml:space="preserve">Kai kurioms savivaldybėms kilo neaiškumų dėl asmens mokėjimo už ilgalaikės socialinės globos paslaugas, kai sudaryta išlaikymo iki gyvos galvos sutartis. Ar tokiu atveju išlaikytojas neturi mokėti pilnos globos paslaugų </w:t>
            </w:r>
            <w:r>
              <w:lastRenderedPageBreak/>
              <w:t xml:space="preserve">kainos? </w:t>
            </w:r>
          </w:p>
        </w:tc>
        <w:tc>
          <w:tcPr>
            <w:tcW w:w="7371" w:type="dxa"/>
            <w:shd w:val="clear" w:color="auto" w:fill="auto"/>
          </w:tcPr>
          <w:p w:rsidR="008F0D08" w:rsidRDefault="008F0D08" w:rsidP="00280677">
            <w:pPr>
              <w:jc w:val="both"/>
              <w:rPr>
                <w:b/>
                <w:iCs/>
              </w:rPr>
            </w:pPr>
            <w:r>
              <w:rPr>
                <w:b/>
                <w:iCs/>
              </w:rPr>
              <w:lastRenderedPageBreak/>
              <w:t>Neatsižvelgta.</w:t>
            </w:r>
          </w:p>
          <w:p w:rsidR="00E02134" w:rsidRPr="0071623C" w:rsidRDefault="00E02134" w:rsidP="00280677">
            <w:pPr>
              <w:jc w:val="both"/>
              <w:rPr>
                <w:iCs/>
              </w:rPr>
            </w:pPr>
            <w:r w:rsidRPr="0071623C">
              <w:rPr>
                <w:iCs/>
              </w:rPr>
              <w:t>Socialinių paslaugų įstatyme nustatyta, kad į asmens turtą įskaitomas 31</w:t>
            </w:r>
            <w:r w:rsidR="00160D94">
              <w:rPr>
                <w:iCs/>
              </w:rPr>
              <w:t> </w:t>
            </w:r>
            <w:r w:rsidRPr="0071623C">
              <w:rPr>
                <w:iCs/>
              </w:rPr>
              <w:t xml:space="preserve">straipsnio 1 dalyje išvardytas turtas, perduotas kitam fiziniam ar juridiniam asmeniui pagal rentos ar išlaikymo iki gyvos galvos sutartis. </w:t>
            </w:r>
            <w:r w:rsidRPr="0071623C">
              <w:rPr>
                <w:iCs/>
              </w:rPr>
              <w:lastRenderedPageBreak/>
              <w:t>Aprašas tikslinamas</w:t>
            </w:r>
            <w:r w:rsidR="006F477E">
              <w:rPr>
                <w:iCs/>
              </w:rPr>
              <w:t>,</w:t>
            </w:r>
            <w:r w:rsidRPr="0071623C">
              <w:rPr>
                <w:iCs/>
              </w:rPr>
              <w:t xml:space="preserve"> </w:t>
            </w:r>
            <w:r w:rsidR="0071623C" w:rsidRPr="0071623C">
              <w:rPr>
                <w:iCs/>
              </w:rPr>
              <w:t xml:space="preserve">siekiant suvienodinti </w:t>
            </w:r>
            <w:r w:rsidR="006F477E">
              <w:rPr>
                <w:iCs/>
              </w:rPr>
              <w:t xml:space="preserve">jo </w:t>
            </w:r>
            <w:r w:rsidR="0071623C" w:rsidRPr="0071623C">
              <w:rPr>
                <w:iCs/>
              </w:rPr>
              <w:t>nuostatas su Socialinių paslaugų įstatym</w:t>
            </w:r>
            <w:r w:rsidR="006F477E">
              <w:rPr>
                <w:iCs/>
              </w:rPr>
              <w:t>o nuostatomis</w:t>
            </w:r>
            <w:r w:rsidR="0071623C" w:rsidRPr="0071623C">
              <w:rPr>
                <w:iCs/>
              </w:rPr>
              <w:t>.</w:t>
            </w:r>
          </w:p>
        </w:tc>
      </w:tr>
      <w:tr w:rsidR="00396138" w:rsidRPr="00905635" w:rsidTr="00321237">
        <w:trPr>
          <w:trHeight w:val="423"/>
        </w:trPr>
        <w:tc>
          <w:tcPr>
            <w:tcW w:w="1985" w:type="dxa"/>
            <w:shd w:val="clear" w:color="auto" w:fill="auto"/>
            <w:vAlign w:val="center"/>
          </w:tcPr>
          <w:p w:rsidR="00396138" w:rsidRDefault="00396138" w:rsidP="00AD2C66">
            <w:pPr>
              <w:jc w:val="center"/>
            </w:pPr>
          </w:p>
        </w:tc>
        <w:tc>
          <w:tcPr>
            <w:tcW w:w="5812" w:type="dxa"/>
            <w:shd w:val="clear" w:color="auto" w:fill="auto"/>
            <w:vAlign w:val="center"/>
          </w:tcPr>
          <w:p w:rsidR="00396138" w:rsidRPr="00B635AA" w:rsidRDefault="00FD3335" w:rsidP="00B51D1F">
            <w:pPr>
              <w:pStyle w:val="Sraopastraipa"/>
              <w:tabs>
                <w:tab w:val="left" w:pos="993"/>
              </w:tabs>
              <w:spacing w:before="0" w:beforeAutospacing="0" w:after="0" w:afterAutospacing="0"/>
              <w:ind w:left="33"/>
              <w:jc w:val="both"/>
              <w:rPr>
                <w:rFonts w:eastAsia="Calibri"/>
              </w:rPr>
            </w:pPr>
            <w:r>
              <w:t>S</w:t>
            </w:r>
            <w:r w:rsidR="0052559D">
              <w:t>avivaldybėms kyla neaiškumų, kaip turėtų būti skaičiuojamas mokestis už turimą turtą kol vyksta neveiksnumo nustatymo procesas arba kai fizinio globėjo nėra. Siūlome numatyti galimybę atleisti asmenį nuo turto mokesčio mokėjimo, kol vyksta neveiksnumo nustatymo procesas ir nepaskirtas globėjas, o kai globėju skiriamas juridinis asmuo (globos įstaiga), atleisti jį nuo mokėjimo, kol įstaiga sutvarkys turto dokumentus, bet ne ilgiau kaip, pvz., 12 mėn. Savivaldybės dažnai susiduria su atvejais, kai asmuo yra neveiksnus, jis turi turto, kurio niekas netvarko ir nėra  iš ko reikalauti turto mokesčio mokėjimo.</w:t>
            </w:r>
          </w:p>
        </w:tc>
        <w:tc>
          <w:tcPr>
            <w:tcW w:w="7371" w:type="dxa"/>
            <w:shd w:val="clear" w:color="auto" w:fill="auto"/>
          </w:tcPr>
          <w:p w:rsidR="0071623C" w:rsidRDefault="0071623C" w:rsidP="00280677">
            <w:pPr>
              <w:jc w:val="both"/>
              <w:rPr>
                <w:b/>
                <w:iCs/>
              </w:rPr>
            </w:pPr>
            <w:r>
              <w:rPr>
                <w:b/>
                <w:iCs/>
              </w:rPr>
              <w:t>Neatsižvelgta.</w:t>
            </w:r>
          </w:p>
          <w:p w:rsidR="00396138" w:rsidRPr="00EF6463" w:rsidRDefault="0071623C" w:rsidP="006F477E">
            <w:pPr>
              <w:jc w:val="both"/>
              <w:rPr>
                <w:iCs/>
              </w:rPr>
            </w:pPr>
            <w:r w:rsidRPr="00EF6463">
              <w:rPr>
                <w:iCs/>
              </w:rPr>
              <w:t xml:space="preserve">Socialinių paslaugų įstatymas numato galimybę savivaldybėms atleisti asmenį (šeimą) nuo mokėjimo už socialines paslaugas. </w:t>
            </w:r>
            <w:r w:rsidR="00EF6463" w:rsidRPr="00EF6463">
              <w:rPr>
                <w:iCs/>
              </w:rPr>
              <w:t xml:space="preserve">Aprašo 3 punkte nustatyta, kad savivaldybės turi patvirtinti savivaldybės gyventojų mokėjimo už tam tikrų rūšių socialines paslaugas tvarką, išsamiai nustatančią mokėjimo dydžius, atleidimo nuo mokėjimo už socialines paslaugas sąlygas bei atvejus. </w:t>
            </w:r>
            <w:r w:rsidR="00B66C7A">
              <w:rPr>
                <w:iCs/>
              </w:rPr>
              <w:t xml:space="preserve">Atleidimo nuo </w:t>
            </w:r>
            <w:r w:rsidR="006F477E">
              <w:rPr>
                <w:iCs/>
              </w:rPr>
              <w:t xml:space="preserve">šio </w:t>
            </w:r>
            <w:r w:rsidR="00B66C7A">
              <w:rPr>
                <w:iCs/>
              </w:rPr>
              <w:t xml:space="preserve">mokėjimo atvejų gali būti labai daug, todėl manome, kad </w:t>
            </w:r>
            <w:r w:rsidR="006F477E">
              <w:rPr>
                <w:iCs/>
              </w:rPr>
              <w:t>ne</w:t>
            </w:r>
            <w:r w:rsidR="00B66C7A">
              <w:rPr>
                <w:iCs/>
              </w:rPr>
              <w:t>tikslinga dalį jų įtraukti į Aprašą.</w:t>
            </w:r>
          </w:p>
        </w:tc>
      </w:tr>
    </w:tbl>
    <w:p w:rsidR="00E32932" w:rsidRDefault="00E32932" w:rsidP="006D51A7"/>
    <w:p w:rsidR="00C168C9" w:rsidRDefault="00C168C9" w:rsidP="00C168C9">
      <w:pPr>
        <w:jc w:val="center"/>
      </w:pPr>
    </w:p>
    <w:p w:rsidR="006D51A7" w:rsidRDefault="00C168C9" w:rsidP="00C168C9">
      <w:pPr>
        <w:jc w:val="center"/>
      </w:pPr>
      <w:r>
        <w:t>______________________________</w:t>
      </w:r>
    </w:p>
    <w:sectPr w:rsidR="006D51A7" w:rsidSect="00C673A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276"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A7" w:rsidRDefault="006345A7" w:rsidP="002E4284">
      <w:r>
        <w:separator/>
      </w:r>
    </w:p>
  </w:endnote>
  <w:endnote w:type="continuationSeparator" w:id="0">
    <w:p w:rsidR="006345A7" w:rsidRDefault="006345A7"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A7" w:rsidRDefault="006345A7" w:rsidP="002E4284">
      <w:r>
        <w:separator/>
      </w:r>
    </w:p>
  </w:footnote>
  <w:footnote w:type="continuationSeparator" w:id="0">
    <w:p w:rsidR="006345A7" w:rsidRDefault="006345A7"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5520"/>
      <w:docPartObj>
        <w:docPartGallery w:val="Page Numbers (Top of Page)"/>
        <w:docPartUnique/>
      </w:docPartObj>
    </w:sdtPr>
    <w:sdtEndPr/>
    <w:sdtContent>
      <w:p w:rsidR="00C673AD" w:rsidRDefault="00C673AD">
        <w:pPr>
          <w:pStyle w:val="Antrats"/>
          <w:jc w:val="center"/>
        </w:pPr>
        <w:r>
          <w:fldChar w:fldCharType="begin"/>
        </w:r>
        <w:r>
          <w:instrText>PAGE   \* MERGEFORMAT</w:instrText>
        </w:r>
        <w:r>
          <w:fldChar w:fldCharType="separate"/>
        </w:r>
        <w:r w:rsidR="00420D69">
          <w:rPr>
            <w:noProof/>
          </w:rPr>
          <w:t>4</w:t>
        </w:r>
        <w:r>
          <w:fldChar w:fldCharType="end"/>
        </w:r>
      </w:p>
    </w:sdtContent>
  </w:sdt>
  <w:p w:rsidR="00C673AD" w:rsidRDefault="00C673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68" w:rsidRDefault="00EE4168">
    <w:pPr>
      <w:pStyle w:val="Antrats"/>
      <w:jc w:val="center"/>
    </w:pPr>
  </w:p>
  <w:p w:rsidR="005D7E57" w:rsidRDefault="005D7E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5E0B"/>
    <w:multiLevelType w:val="hybridMultilevel"/>
    <w:tmpl w:val="01929D08"/>
    <w:lvl w:ilvl="0" w:tplc="2F08D5B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1">
    <w:nsid w:val="421D04E2"/>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5784EA2"/>
    <w:multiLevelType w:val="hybridMultilevel"/>
    <w:tmpl w:val="64D0DB96"/>
    <w:lvl w:ilvl="0" w:tplc="AC2C8C1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3">
    <w:nsid w:val="590B4DAD"/>
    <w:multiLevelType w:val="hybridMultilevel"/>
    <w:tmpl w:val="957E81E4"/>
    <w:lvl w:ilvl="0" w:tplc="73121A4A">
      <w:start w:val="1"/>
      <w:numFmt w:val="decimal"/>
      <w:lvlText w:val="%1."/>
      <w:lvlJc w:val="left"/>
      <w:pPr>
        <w:ind w:left="1070" w:hanging="360"/>
      </w:pPr>
      <w:rPr>
        <w:rFonts w:ascii="Times New Roman" w:eastAsia="Times New Roman"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6CB3E09"/>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C7B6975"/>
    <w:multiLevelType w:val="hybridMultilevel"/>
    <w:tmpl w:val="957E81E4"/>
    <w:lvl w:ilvl="0" w:tplc="73121A4A">
      <w:start w:val="1"/>
      <w:numFmt w:val="decimal"/>
      <w:lvlText w:val="%1."/>
      <w:lvlJc w:val="left"/>
      <w:pPr>
        <w:ind w:left="1070" w:hanging="360"/>
      </w:pPr>
      <w:rPr>
        <w:rFonts w:ascii="Times New Roman" w:eastAsia="Times New Roman"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D"/>
    <w:rsid w:val="00007CC3"/>
    <w:rsid w:val="0001488E"/>
    <w:rsid w:val="00017714"/>
    <w:rsid w:val="0001781A"/>
    <w:rsid w:val="00025712"/>
    <w:rsid w:val="00042BE3"/>
    <w:rsid w:val="000567ED"/>
    <w:rsid w:val="00061D8A"/>
    <w:rsid w:val="000640E0"/>
    <w:rsid w:val="00066404"/>
    <w:rsid w:val="00066F54"/>
    <w:rsid w:val="00067939"/>
    <w:rsid w:val="00085E0A"/>
    <w:rsid w:val="000A6AB0"/>
    <w:rsid w:val="000B3417"/>
    <w:rsid w:val="000B3919"/>
    <w:rsid w:val="000C2121"/>
    <w:rsid w:val="000C3F6F"/>
    <w:rsid w:val="000D57C5"/>
    <w:rsid w:val="000E3914"/>
    <w:rsid w:val="000F0C3E"/>
    <w:rsid w:val="000F1CB6"/>
    <w:rsid w:val="00105760"/>
    <w:rsid w:val="00106B4C"/>
    <w:rsid w:val="00114D12"/>
    <w:rsid w:val="00116ABC"/>
    <w:rsid w:val="00122D9A"/>
    <w:rsid w:val="00130767"/>
    <w:rsid w:val="0013162A"/>
    <w:rsid w:val="00131C3F"/>
    <w:rsid w:val="001351C8"/>
    <w:rsid w:val="001403CB"/>
    <w:rsid w:val="00141EA8"/>
    <w:rsid w:val="001456F4"/>
    <w:rsid w:val="001540E9"/>
    <w:rsid w:val="00160D94"/>
    <w:rsid w:val="0016230F"/>
    <w:rsid w:val="00175039"/>
    <w:rsid w:val="001808B1"/>
    <w:rsid w:val="00182EAA"/>
    <w:rsid w:val="00184ECF"/>
    <w:rsid w:val="001855EE"/>
    <w:rsid w:val="00192C65"/>
    <w:rsid w:val="00194ED2"/>
    <w:rsid w:val="001B09DD"/>
    <w:rsid w:val="001B4310"/>
    <w:rsid w:val="001B5608"/>
    <w:rsid w:val="001C2ADF"/>
    <w:rsid w:val="001D0EEE"/>
    <w:rsid w:val="001E1CEA"/>
    <w:rsid w:val="001E53DF"/>
    <w:rsid w:val="001E7EB7"/>
    <w:rsid w:val="001F7245"/>
    <w:rsid w:val="002052A9"/>
    <w:rsid w:val="00207526"/>
    <w:rsid w:val="00207EA3"/>
    <w:rsid w:val="00214EE8"/>
    <w:rsid w:val="00220743"/>
    <w:rsid w:val="00222849"/>
    <w:rsid w:val="00222CAB"/>
    <w:rsid w:val="00230695"/>
    <w:rsid w:val="00236B27"/>
    <w:rsid w:val="0023745A"/>
    <w:rsid w:val="002555D7"/>
    <w:rsid w:val="0027058E"/>
    <w:rsid w:val="0027189B"/>
    <w:rsid w:val="002729D7"/>
    <w:rsid w:val="002779E6"/>
    <w:rsid w:val="00280677"/>
    <w:rsid w:val="00284B70"/>
    <w:rsid w:val="00290171"/>
    <w:rsid w:val="002A4026"/>
    <w:rsid w:val="002A4B27"/>
    <w:rsid w:val="002A722E"/>
    <w:rsid w:val="002B022F"/>
    <w:rsid w:val="002C1EF9"/>
    <w:rsid w:val="002C2FB1"/>
    <w:rsid w:val="002D1487"/>
    <w:rsid w:val="002E4284"/>
    <w:rsid w:val="002E439B"/>
    <w:rsid w:val="002F6FC9"/>
    <w:rsid w:val="00310866"/>
    <w:rsid w:val="00311FDD"/>
    <w:rsid w:val="003121CD"/>
    <w:rsid w:val="00320CF8"/>
    <w:rsid w:val="00321237"/>
    <w:rsid w:val="00322803"/>
    <w:rsid w:val="00334586"/>
    <w:rsid w:val="0033463E"/>
    <w:rsid w:val="003417BF"/>
    <w:rsid w:val="00343CF5"/>
    <w:rsid w:val="00347314"/>
    <w:rsid w:val="00353761"/>
    <w:rsid w:val="003547E6"/>
    <w:rsid w:val="00354E0E"/>
    <w:rsid w:val="003666D5"/>
    <w:rsid w:val="00371D47"/>
    <w:rsid w:val="00383FD9"/>
    <w:rsid w:val="00384D4C"/>
    <w:rsid w:val="00386C65"/>
    <w:rsid w:val="00392DE3"/>
    <w:rsid w:val="00396138"/>
    <w:rsid w:val="003A47E5"/>
    <w:rsid w:val="003A5E4C"/>
    <w:rsid w:val="003B0041"/>
    <w:rsid w:val="003B138B"/>
    <w:rsid w:val="003B26D5"/>
    <w:rsid w:val="003B3155"/>
    <w:rsid w:val="003B41D7"/>
    <w:rsid w:val="003B49E2"/>
    <w:rsid w:val="003C3CDD"/>
    <w:rsid w:val="003E1A2B"/>
    <w:rsid w:val="003F412F"/>
    <w:rsid w:val="003F79FF"/>
    <w:rsid w:val="00402818"/>
    <w:rsid w:val="00405929"/>
    <w:rsid w:val="004062B4"/>
    <w:rsid w:val="004068FF"/>
    <w:rsid w:val="00413497"/>
    <w:rsid w:val="00420D69"/>
    <w:rsid w:val="00426150"/>
    <w:rsid w:val="0042712F"/>
    <w:rsid w:val="004310C4"/>
    <w:rsid w:val="00446D76"/>
    <w:rsid w:val="0047183C"/>
    <w:rsid w:val="00477D42"/>
    <w:rsid w:val="00486C5A"/>
    <w:rsid w:val="00491F87"/>
    <w:rsid w:val="00492E5A"/>
    <w:rsid w:val="00494551"/>
    <w:rsid w:val="00495DEE"/>
    <w:rsid w:val="004A7577"/>
    <w:rsid w:val="004B08BA"/>
    <w:rsid w:val="004C0399"/>
    <w:rsid w:val="004D075E"/>
    <w:rsid w:val="004D18CF"/>
    <w:rsid w:val="004D24A0"/>
    <w:rsid w:val="004E2910"/>
    <w:rsid w:val="004E3543"/>
    <w:rsid w:val="004E459B"/>
    <w:rsid w:val="004F0802"/>
    <w:rsid w:val="004F3B67"/>
    <w:rsid w:val="00503358"/>
    <w:rsid w:val="00505AB3"/>
    <w:rsid w:val="00507E1A"/>
    <w:rsid w:val="00510EC3"/>
    <w:rsid w:val="00522CD0"/>
    <w:rsid w:val="00523DB5"/>
    <w:rsid w:val="0052461F"/>
    <w:rsid w:val="00524E58"/>
    <w:rsid w:val="0052559D"/>
    <w:rsid w:val="00531DCF"/>
    <w:rsid w:val="00540253"/>
    <w:rsid w:val="0054213C"/>
    <w:rsid w:val="00543E48"/>
    <w:rsid w:val="005475BA"/>
    <w:rsid w:val="00551F5F"/>
    <w:rsid w:val="00552062"/>
    <w:rsid w:val="00552324"/>
    <w:rsid w:val="00552529"/>
    <w:rsid w:val="0055430C"/>
    <w:rsid w:val="00561A53"/>
    <w:rsid w:val="00561BEA"/>
    <w:rsid w:val="00563C99"/>
    <w:rsid w:val="00565265"/>
    <w:rsid w:val="00565C10"/>
    <w:rsid w:val="0056785F"/>
    <w:rsid w:val="00570274"/>
    <w:rsid w:val="00570B6C"/>
    <w:rsid w:val="00575632"/>
    <w:rsid w:val="00580F6A"/>
    <w:rsid w:val="00582ED2"/>
    <w:rsid w:val="005859F6"/>
    <w:rsid w:val="00587A3F"/>
    <w:rsid w:val="00592590"/>
    <w:rsid w:val="005964B3"/>
    <w:rsid w:val="005A437F"/>
    <w:rsid w:val="005A4A9D"/>
    <w:rsid w:val="005D2DC7"/>
    <w:rsid w:val="005D3678"/>
    <w:rsid w:val="005D7E57"/>
    <w:rsid w:val="005E25AE"/>
    <w:rsid w:val="005E6F31"/>
    <w:rsid w:val="005F0F8E"/>
    <w:rsid w:val="0060441F"/>
    <w:rsid w:val="00604764"/>
    <w:rsid w:val="0060530D"/>
    <w:rsid w:val="006067CB"/>
    <w:rsid w:val="006071BD"/>
    <w:rsid w:val="00607324"/>
    <w:rsid w:val="00611E8C"/>
    <w:rsid w:val="00613FED"/>
    <w:rsid w:val="00624621"/>
    <w:rsid w:val="00633CFF"/>
    <w:rsid w:val="006345A7"/>
    <w:rsid w:val="00650E75"/>
    <w:rsid w:val="006555B8"/>
    <w:rsid w:val="0065697B"/>
    <w:rsid w:val="00665FF8"/>
    <w:rsid w:val="006663D5"/>
    <w:rsid w:val="00667D6E"/>
    <w:rsid w:val="00672138"/>
    <w:rsid w:val="00675D56"/>
    <w:rsid w:val="006800A4"/>
    <w:rsid w:val="00681A67"/>
    <w:rsid w:val="00682582"/>
    <w:rsid w:val="00685402"/>
    <w:rsid w:val="00685B1C"/>
    <w:rsid w:val="006A0EEB"/>
    <w:rsid w:val="006A3B43"/>
    <w:rsid w:val="006B1176"/>
    <w:rsid w:val="006D0612"/>
    <w:rsid w:val="006D47D3"/>
    <w:rsid w:val="006D51A7"/>
    <w:rsid w:val="006E5887"/>
    <w:rsid w:val="006E589F"/>
    <w:rsid w:val="006F477E"/>
    <w:rsid w:val="006F4ADC"/>
    <w:rsid w:val="0071623C"/>
    <w:rsid w:val="00723582"/>
    <w:rsid w:val="00727912"/>
    <w:rsid w:val="00727EE6"/>
    <w:rsid w:val="00727F6A"/>
    <w:rsid w:val="007321BB"/>
    <w:rsid w:val="00735B9E"/>
    <w:rsid w:val="007422A0"/>
    <w:rsid w:val="007518C3"/>
    <w:rsid w:val="00756642"/>
    <w:rsid w:val="00761ABB"/>
    <w:rsid w:val="00762992"/>
    <w:rsid w:val="00771351"/>
    <w:rsid w:val="00774021"/>
    <w:rsid w:val="00776FEF"/>
    <w:rsid w:val="007770C4"/>
    <w:rsid w:val="007800C2"/>
    <w:rsid w:val="00780ADA"/>
    <w:rsid w:val="007955F6"/>
    <w:rsid w:val="007C17DE"/>
    <w:rsid w:val="007C6C76"/>
    <w:rsid w:val="007D4521"/>
    <w:rsid w:val="007E2C24"/>
    <w:rsid w:val="007F2502"/>
    <w:rsid w:val="0080768C"/>
    <w:rsid w:val="00826A76"/>
    <w:rsid w:val="00827645"/>
    <w:rsid w:val="00832C62"/>
    <w:rsid w:val="008364ED"/>
    <w:rsid w:val="00840662"/>
    <w:rsid w:val="00840693"/>
    <w:rsid w:val="0084447C"/>
    <w:rsid w:val="00850AAF"/>
    <w:rsid w:val="00851C51"/>
    <w:rsid w:val="008523D4"/>
    <w:rsid w:val="00853677"/>
    <w:rsid w:val="00874615"/>
    <w:rsid w:val="00883962"/>
    <w:rsid w:val="00890B60"/>
    <w:rsid w:val="00893D98"/>
    <w:rsid w:val="008A09B7"/>
    <w:rsid w:val="008A6F9F"/>
    <w:rsid w:val="008A7B09"/>
    <w:rsid w:val="008B4B07"/>
    <w:rsid w:val="008B4D33"/>
    <w:rsid w:val="008C3FA3"/>
    <w:rsid w:val="008C6673"/>
    <w:rsid w:val="008C761D"/>
    <w:rsid w:val="008D4ABB"/>
    <w:rsid w:val="008D553E"/>
    <w:rsid w:val="008E1296"/>
    <w:rsid w:val="008F0BE9"/>
    <w:rsid w:val="008F0D08"/>
    <w:rsid w:val="008F1CE7"/>
    <w:rsid w:val="008F23CA"/>
    <w:rsid w:val="008F7F84"/>
    <w:rsid w:val="00900CCF"/>
    <w:rsid w:val="0090380D"/>
    <w:rsid w:val="0090414A"/>
    <w:rsid w:val="00905635"/>
    <w:rsid w:val="00917C74"/>
    <w:rsid w:val="009220A1"/>
    <w:rsid w:val="00922E9A"/>
    <w:rsid w:val="009255B6"/>
    <w:rsid w:val="0092734A"/>
    <w:rsid w:val="009360C6"/>
    <w:rsid w:val="00946B3B"/>
    <w:rsid w:val="0094761A"/>
    <w:rsid w:val="00954350"/>
    <w:rsid w:val="00954C74"/>
    <w:rsid w:val="00963E79"/>
    <w:rsid w:val="009761EB"/>
    <w:rsid w:val="009770BD"/>
    <w:rsid w:val="0098298A"/>
    <w:rsid w:val="00983719"/>
    <w:rsid w:val="00987E20"/>
    <w:rsid w:val="009A2272"/>
    <w:rsid w:val="009A37A1"/>
    <w:rsid w:val="009B08CE"/>
    <w:rsid w:val="009B2908"/>
    <w:rsid w:val="009B38D0"/>
    <w:rsid w:val="009B53B4"/>
    <w:rsid w:val="009B667E"/>
    <w:rsid w:val="009C4305"/>
    <w:rsid w:val="009C6ED4"/>
    <w:rsid w:val="009D09C0"/>
    <w:rsid w:val="009D3698"/>
    <w:rsid w:val="009D7330"/>
    <w:rsid w:val="009F11B7"/>
    <w:rsid w:val="009F11E5"/>
    <w:rsid w:val="009F46E3"/>
    <w:rsid w:val="009F6723"/>
    <w:rsid w:val="009F74B1"/>
    <w:rsid w:val="00A02DDA"/>
    <w:rsid w:val="00A335F5"/>
    <w:rsid w:val="00A3548B"/>
    <w:rsid w:val="00A402DF"/>
    <w:rsid w:val="00A40498"/>
    <w:rsid w:val="00A41DEA"/>
    <w:rsid w:val="00A47D5F"/>
    <w:rsid w:val="00A5170F"/>
    <w:rsid w:val="00A72FF2"/>
    <w:rsid w:val="00A76C79"/>
    <w:rsid w:val="00A81F69"/>
    <w:rsid w:val="00A833F1"/>
    <w:rsid w:val="00A85F8D"/>
    <w:rsid w:val="00A86A8E"/>
    <w:rsid w:val="00A95617"/>
    <w:rsid w:val="00AA7EBB"/>
    <w:rsid w:val="00AB7D8E"/>
    <w:rsid w:val="00AD1E9F"/>
    <w:rsid w:val="00AD2C66"/>
    <w:rsid w:val="00AD68A3"/>
    <w:rsid w:val="00AE1777"/>
    <w:rsid w:val="00AE478C"/>
    <w:rsid w:val="00AE4E72"/>
    <w:rsid w:val="00B04DD4"/>
    <w:rsid w:val="00B17239"/>
    <w:rsid w:val="00B2090F"/>
    <w:rsid w:val="00B376A7"/>
    <w:rsid w:val="00B46C37"/>
    <w:rsid w:val="00B47B6E"/>
    <w:rsid w:val="00B51D1F"/>
    <w:rsid w:val="00B66C7A"/>
    <w:rsid w:val="00B81ED0"/>
    <w:rsid w:val="00B876E8"/>
    <w:rsid w:val="00B92855"/>
    <w:rsid w:val="00B92BD7"/>
    <w:rsid w:val="00BB139E"/>
    <w:rsid w:val="00BE14E2"/>
    <w:rsid w:val="00BE5F73"/>
    <w:rsid w:val="00BF1153"/>
    <w:rsid w:val="00BF2B00"/>
    <w:rsid w:val="00C013CE"/>
    <w:rsid w:val="00C05080"/>
    <w:rsid w:val="00C108BD"/>
    <w:rsid w:val="00C168C9"/>
    <w:rsid w:val="00C20355"/>
    <w:rsid w:val="00C23C40"/>
    <w:rsid w:val="00C34024"/>
    <w:rsid w:val="00C35089"/>
    <w:rsid w:val="00C402B8"/>
    <w:rsid w:val="00C656EA"/>
    <w:rsid w:val="00C673AD"/>
    <w:rsid w:val="00C71834"/>
    <w:rsid w:val="00C74FA6"/>
    <w:rsid w:val="00C928DB"/>
    <w:rsid w:val="00C93EDA"/>
    <w:rsid w:val="00C950A8"/>
    <w:rsid w:val="00CB48E5"/>
    <w:rsid w:val="00CC51AF"/>
    <w:rsid w:val="00CD3B03"/>
    <w:rsid w:val="00CE673C"/>
    <w:rsid w:val="00CF0712"/>
    <w:rsid w:val="00D00921"/>
    <w:rsid w:val="00D06A3F"/>
    <w:rsid w:val="00D104E2"/>
    <w:rsid w:val="00D151AE"/>
    <w:rsid w:val="00D2348A"/>
    <w:rsid w:val="00D32315"/>
    <w:rsid w:val="00D34066"/>
    <w:rsid w:val="00D35BB5"/>
    <w:rsid w:val="00D4091C"/>
    <w:rsid w:val="00D428BE"/>
    <w:rsid w:val="00D42FDE"/>
    <w:rsid w:val="00D536DF"/>
    <w:rsid w:val="00D54267"/>
    <w:rsid w:val="00D60CFD"/>
    <w:rsid w:val="00D67A56"/>
    <w:rsid w:val="00D7311D"/>
    <w:rsid w:val="00DA2CC1"/>
    <w:rsid w:val="00DA3C78"/>
    <w:rsid w:val="00DA4B92"/>
    <w:rsid w:val="00DB3C01"/>
    <w:rsid w:val="00DC16C7"/>
    <w:rsid w:val="00DC4119"/>
    <w:rsid w:val="00DD00AF"/>
    <w:rsid w:val="00DD3560"/>
    <w:rsid w:val="00DD4EFB"/>
    <w:rsid w:val="00DD5D7E"/>
    <w:rsid w:val="00DD79D3"/>
    <w:rsid w:val="00DE124B"/>
    <w:rsid w:val="00DE5303"/>
    <w:rsid w:val="00DF40F7"/>
    <w:rsid w:val="00DF41EB"/>
    <w:rsid w:val="00DF7773"/>
    <w:rsid w:val="00E00C07"/>
    <w:rsid w:val="00E02134"/>
    <w:rsid w:val="00E117D2"/>
    <w:rsid w:val="00E12C7E"/>
    <w:rsid w:val="00E14D50"/>
    <w:rsid w:val="00E15EAA"/>
    <w:rsid w:val="00E24117"/>
    <w:rsid w:val="00E26630"/>
    <w:rsid w:val="00E316E2"/>
    <w:rsid w:val="00E32932"/>
    <w:rsid w:val="00E432A1"/>
    <w:rsid w:val="00E43E40"/>
    <w:rsid w:val="00E47680"/>
    <w:rsid w:val="00E51474"/>
    <w:rsid w:val="00E531E8"/>
    <w:rsid w:val="00E55116"/>
    <w:rsid w:val="00E64EA4"/>
    <w:rsid w:val="00E654FF"/>
    <w:rsid w:val="00E73214"/>
    <w:rsid w:val="00E8108A"/>
    <w:rsid w:val="00E827F3"/>
    <w:rsid w:val="00E91BE9"/>
    <w:rsid w:val="00E96079"/>
    <w:rsid w:val="00E96A51"/>
    <w:rsid w:val="00EA3879"/>
    <w:rsid w:val="00EA4B34"/>
    <w:rsid w:val="00EB0182"/>
    <w:rsid w:val="00EB33EE"/>
    <w:rsid w:val="00EB348D"/>
    <w:rsid w:val="00EC6A37"/>
    <w:rsid w:val="00EE4168"/>
    <w:rsid w:val="00EF3F36"/>
    <w:rsid w:val="00EF6463"/>
    <w:rsid w:val="00F029B5"/>
    <w:rsid w:val="00F13B76"/>
    <w:rsid w:val="00F25BF0"/>
    <w:rsid w:val="00F30BB2"/>
    <w:rsid w:val="00F310EB"/>
    <w:rsid w:val="00F34EE1"/>
    <w:rsid w:val="00F35C8D"/>
    <w:rsid w:val="00F3749A"/>
    <w:rsid w:val="00F44F78"/>
    <w:rsid w:val="00F63183"/>
    <w:rsid w:val="00F65620"/>
    <w:rsid w:val="00F656B3"/>
    <w:rsid w:val="00F65D5D"/>
    <w:rsid w:val="00F67453"/>
    <w:rsid w:val="00F70D28"/>
    <w:rsid w:val="00F71C46"/>
    <w:rsid w:val="00F7305F"/>
    <w:rsid w:val="00F76C8F"/>
    <w:rsid w:val="00F839E2"/>
    <w:rsid w:val="00F85418"/>
    <w:rsid w:val="00F85811"/>
    <w:rsid w:val="00F922AA"/>
    <w:rsid w:val="00F933DA"/>
    <w:rsid w:val="00F93FC7"/>
    <w:rsid w:val="00F94683"/>
    <w:rsid w:val="00F94ECB"/>
    <w:rsid w:val="00FB24CC"/>
    <w:rsid w:val="00FB275A"/>
    <w:rsid w:val="00FC4CE6"/>
    <w:rsid w:val="00FC4F1F"/>
    <w:rsid w:val="00FD3335"/>
    <w:rsid w:val="00FD7E65"/>
    <w:rsid w:val="00FE686D"/>
    <w:rsid w:val="00FE6B2C"/>
    <w:rsid w:val="00FE6B80"/>
    <w:rsid w:val="00FF7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6810">
      <w:bodyDiv w:val="1"/>
      <w:marLeft w:val="0"/>
      <w:marRight w:val="0"/>
      <w:marTop w:val="0"/>
      <w:marBottom w:val="0"/>
      <w:divBdr>
        <w:top w:val="none" w:sz="0" w:space="0" w:color="auto"/>
        <w:left w:val="none" w:sz="0" w:space="0" w:color="auto"/>
        <w:bottom w:val="none" w:sz="0" w:space="0" w:color="auto"/>
        <w:right w:val="none" w:sz="0" w:space="0" w:color="auto"/>
      </w:divBdr>
    </w:div>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 w:id="1824543457">
      <w:bodyDiv w:val="1"/>
      <w:marLeft w:val="0"/>
      <w:marRight w:val="0"/>
      <w:marTop w:val="0"/>
      <w:marBottom w:val="0"/>
      <w:divBdr>
        <w:top w:val="none" w:sz="0" w:space="0" w:color="auto"/>
        <w:left w:val="none" w:sz="0" w:space="0" w:color="auto"/>
        <w:bottom w:val="none" w:sz="0" w:space="0" w:color="auto"/>
        <w:right w:val="none" w:sz="0" w:space="0" w:color="auto"/>
      </w:divBdr>
    </w:div>
    <w:div w:id="1834295181">
      <w:bodyDiv w:val="1"/>
      <w:marLeft w:val="0"/>
      <w:marRight w:val="0"/>
      <w:marTop w:val="0"/>
      <w:marBottom w:val="0"/>
      <w:divBdr>
        <w:top w:val="none" w:sz="0" w:space="0" w:color="auto"/>
        <w:left w:val="none" w:sz="0" w:space="0" w:color="auto"/>
        <w:bottom w:val="none" w:sz="0" w:space="0" w:color="auto"/>
        <w:right w:val="none" w:sz="0" w:space="0" w:color="auto"/>
      </w:divBdr>
    </w:div>
    <w:div w:id="20309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7EA9-6AC3-41EE-A3BD-9EED72CB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6287</Words>
  <Characters>3584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2019-10-31T11:07:00Z</dcterms:created>
  <dcterms:modified xsi:type="dcterms:W3CDTF">2019-10-31T11:07:00Z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1407645086</vt:i4>
  </property>
  <property fmtid="{D5CDD505-2E9C-101B-9397-08002B2CF9AE}" pid="3" name="_NewReviewCycle">
    <vt:lpwstr/>
  </property>
  <property fmtid="{D5CDD505-2E9C-101B-9397-08002B2CF9AE}" pid="4" name="_PreviousAdHocReviewCycleID">
    <vt:i4>2038546761</vt:i4>
  </property>
</Properties>
</file>