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0b64ad49bad4a4aa83d39b478f28f57"/>
        <w:lock w:val="sdtLocked"/>
        <w:richText/>
      </w:sdtPr>
      <w:sdtContent>
        <w:p>
          <w:pPr>
            <w:tabs>
              <w:tab w:val="center" w:pos="4819"/>
              <w:tab w:val="right" w:pos="9638"/>
            </w:tabs>
          </w:pPr>
        </w:p>
        <w:p>
          <w:pPr>
            <w:tabs>
              <w:tab w:val="center" w:pos="4819"/>
              <w:tab w:val="right" w:pos="9638"/>
            </w:tabs>
          </w:pPr>
        </w:p>
        <w:p>
          <w:pPr>
            <w:ind w:firstLine="567"/>
            <w:jc w:val="right"/>
            <w:rPr>
              <w:b/>
              <w:bCs/>
              <w:szCs w:val="24"/>
              <w:lang w:eastAsia="lt-LT"/>
            </w:rPr>
          </w:pPr>
          <w:r>
            <w:rPr>
              <w:b/>
              <w:bCs/>
              <w:szCs w:val="24"/>
              <w:lang w:eastAsia="lt-LT"/>
            </w:rPr>
            <w:t>Projektas</w:t>
          </w:r>
        </w:p>
        <w:p>
          <w:pPr>
            <w:ind w:firstLine="567"/>
            <w:jc w:val="center"/>
            <w:rPr>
              <w:b/>
              <w:bCs/>
              <w:szCs w:val="24"/>
              <w:lang w:eastAsia="lt-LT"/>
            </w:rPr>
          </w:pPr>
        </w:p>
        <w:p>
          <w:pPr>
            <w:ind w:firstLine="567"/>
            <w:jc w:val="center"/>
            <w:rPr>
              <w:b/>
              <w:bCs/>
              <w:szCs w:val="24"/>
              <w:lang w:eastAsia="lt-LT"/>
            </w:rPr>
          </w:pPr>
        </w:p>
        <w:p>
          <w:pPr>
            <w:jc w:val="center"/>
            <w:rPr>
              <w:b/>
              <w:sz w:val="28"/>
            </w:rPr>
          </w:pPr>
          <w:r>
            <w:rPr>
              <w:b/>
              <w:sz w:val="28"/>
            </w:rPr>
            <w:t>LIETUVOS RESPUBLIKOS VYRIAUSYBĖ</w:t>
          </w:r>
        </w:p>
        <w:p>
          <w:pPr>
            <w:jc w:val="center"/>
            <w:rPr>
              <w:b/>
              <w:sz w:val="26"/>
            </w:rPr>
          </w:pPr>
        </w:p>
        <w:p>
          <w:pPr>
            <w:jc w:val="center"/>
            <w:rPr>
              <w:b/>
              <w:sz w:val="28"/>
            </w:rPr>
          </w:pPr>
          <w:r>
            <w:rPr>
              <w:b/>
              <w:sz w:val="28"/>
            </w:rPr>
            <w:t>NUTARIMAS</w:t>
          </w:r>
        </w:p>
        <w:p>
          <w:pPr>
            <w:jc w:val="center"/>
            <w:rPr>
              <w:sz w:val="28"/>
              <w:szCs w:val="28"/>
              <w:lang w:val="en-US" w:eastAsia="lt-LT"/>
            </w:rPr>
          </w:pPr>
          <w:r>
            <w:rPr>
              <w:b/>
              <w:bCs/>
              <w:sz w:val="28"/>
              <w:szCs w:val="28"/>
              <w:lang w:eastAsia="lt-LT"/>
            </w:rPr>
            <w:t xml:space="preserve">DĖL LIETUVOS RESPUBLIKOS VYRIAUSYBĖS 2019 M. LIEPOS 10  D. NUTARIMO NR. 720 „DĖL BIUDŽETINĖS ĮSTAIGOS LIETUVOS AUTOMOBILIŲ KELIŲ DIREKCIJOS PRIE SUSISIEKIMO MINISTERIJOS PERTVARKYMO Į VALSTYBĖS ĮMONĘ“ PAKEITIMO </w:t>
          </w:r>
        </w:p>
        <w:p>
          <w:pPr>
            <w:ind w:firstLine="62"/>
            <w:jc w:val="center"/>
            <w:rPr>
              <w:color w:val="000000"/>
              <w:sz w:val="27"/>
              <w:szCs w:val="27"/>
            </w:rPr>
          </w:pPr>
        </w:p>
        <w:p>
          <w:pPr>
            <w:jc w:val="center"/>
          </w:pPr>
          <w:r>
            <w:t xml:space="preserve">2020 m.                        d. Nr. </w:t>
          </w:r>
        </w:p>
        <w:p>
          <w:pPr>
            <w:ind w:firstLine="567"/>
            <w:jc w:val="center"/>
            <w:rPr>
              <w:szCs w:val="24"/>
              <w:lang w:eastAsia="lt-LT"/>
            </w:rPr>
          </w:pPr>
          <w:r>
            <w:t>Vilnius</w:t>
          </w:r>
        </w:p>
        <w:p>
          <w:pPr>
            <w:ind w:firstLine="62"/>
            <w:rPr>
              <w:lang w:eastAsia="lt-LT"/>
            </w:rPr>
          </w:pPr>
        </w:p>
        <w:p>
          <w:pPr>
            <w:ind w:firstLine="720"/>
            <w:jc w:val="both"/>
            <w:rPr>
              <w:szCs w:val="24"/>
              <w:lang w:eastAsia="lt-LT"/>
            </w:rPr>
          </w:pPr>
        </w:p>
        <w:p>
          <w:pPr>
            <w:ind w:firstLine="720"/>
            <w:jc w:val="both"/>
            <w:rPr>
              <w:szCs w:val="24"/>
              <w:lang w:eastAsia="lt-LT"/>
            </w:rPr>
          </w:pPr>
        </w:p>
        <w:sdt>
          <w:sdtPr>
            <w:alias w:val="preambule"/>
            <w:tag w:val="part_ab1ca58b9ee641d6b775d392937e6dfa"/>
            <w:lock w:val="sdtLocked"/>
            <w:richText/>
          </w:sdtPr>
          <w:sdtContent>
            <w:p>
              <w:pPr>
                <w:spacing w:line="276"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a55c4957e3cf438690d497032217de0d"/>
            <w:lock w:val="sdtLocked"/>
            <w:richText/>
          </w:sdtPr>
          <w:sdtContent>
            <w:p>
              <w:pPr>
                <w:spacing w:line="276" w:lineRule="auto"/>
                <w:ind w:firstLine="720"/>
                <w:jc w:val="both"/>
                <w:rPr>
                  <w:szCs w:val="24"/>
                  <w:lang w:eastAsia="lt-LT"/>
                </w:rPr>
              </w:pPr>
              <w:r>
                <w:rPr>
                  <w:szCs w:val="24"/>
                  <w:lang w:eastAsia="lt-LT"/>
                </w:rPr>
                <w:t>Pakeisti Lietuvos Respublikos Vyriausybės 2019 m. liepos 10 d. nutarimą Nr. 720 „Dėl biudžetinės įstaigos Lietuvos automobilių kelių direkcijos prie Susisiekimo ministerijos pertvarkymo į valstybės įmonę“:</w:t>
              </w:r>
            </w:p>
          </w:sdtContent>
        </w:sdt>
        <w:sdt>
          <w:sdtPr>
            <w:alias w:val="1 p."/>
            <w:tag w:val="part_42b769e986954ceb8b4ddef56b29ea4a"/>
            <w:lock w:val="sdtLocked"/>
            <w:richText/>
          </w:sdtPr>
          <w:sdtContent>
            <w:p>
              <w:pPr>
                <w:spacing w:line="276" w:lineRule="auto"/>
                <w:ind w:firstLine="720"/>
                <w:jc w:val="both"/>
                <w:rPr>
                  <w:szCs w:val="24"/>
                  <w:lang w:eastAsia="lt-LT"/>
                </w:rPr>
              </w:pPr>
              <w:sdt>
                <w:sdtPr>
                  <w:alias w:val="Numeris"/>
                  <w:tag w:val="nr_42b769e986954ceb8b4ddef56b29ea4a"/>
                  <w:lock w:val="sdtLocked"/>
                  <w:richText/>
                </w:sdtPr>
                <w:sdtContent>
                  <w:r>
                    <w:rPr>
                      <w:szCs w:val="24"/>
                      <w:lang w:eastAsia="lt-LT"/>
                    </w:rPr>
                    <w:t>1</w:t>
                  </w:r>
                </w:sdtContent>
              </w:sdt>
              <w:r>
                <w:rPr>
                  <w:szCs w:val="24"/>
                  <w:lang w:eastAsia="lt-LT"/>
                </w:rPr>
                <w:t>. Pakeisti preambulę ir ją išdėstyti taip:</w:t>
              </w:r>
            </w:p>
            <w:sdt>
              <w:sdtPr>
                <w:alias w:val="citata"/>
                <w:tag w:val="part_1f731db0fa034982ad59c49b51a6b24a"/>
                <w:lock w:val="sdtLocked"/>
                <w:richText/>
              </w:sdtPr>
              <w:sdtContent>
                <w:sdt>
                  <w:sdtPr>
                    <w:alias w:val="pastraipa"/>
                    <w:tag w:val="part_8138079b4e34408b91a5cb86ee5b84b9"/>
                    <w:lock w:val="sdtLocked"/>
                    <w:richText/>
                  </w:sdtPr>
                  <w:sdtContent>
                    <w:p>
                      <w:pPr>
                        <w:spacing w:line="276" w:lineRule="auto"/>
                        <w:ind w:firstLine="720"/>
                        <w:jc w:val="both"/>
                        <w:rPr>
                          <w:szCs w:val="24"/>
                          <w:lang w:eastAsia="lt-LT"/>
                        </w:rPr>
                      </w:pPr>
                      <w:r>
                        <w:rPr>
                          <w:szCs w:val="24"/>
                          <w:lang w:eastAsia="lt-LT"/>
                        </w:rPr>
                        <w:t xml:space="preserve">„Vadovaudamasi Lietuvos Respublikos civilinio kodekso 2.104 straipsnio 5 dalimi, Lietuvos Respublikos biudžetinių įstaigų įstatymo 13 straipsnio 2 dalimi,  Lietuvos Respublikos valstybės ir savivaldybių turto valdymo, naudojimo ir disponavimo juo įstatymo 7 straipsnio 1 dalimi, 10 straipsnio 1 ir 2 dalimis, Lietuvos Respublikos valstybės ir savivaldybės įmonių įstatymo 13 straipsnio 2 ir 5 dalimis, Lietuvos Respublikos Vyriausybė n u t a r i a:“</w:t>
                      </w:r>
                    </w:p>
                  </w:sdtContent>
                </w:sdt>
              </w:sdtContent>
            </w:sdt>
          </w:sdtContent>
        </w:sdt>
        <w:sdt>
          <w:sdtPr>
            <w:alias w:val="2 p."/>
            <w:tag w:val="part_c013bffb4df64c9eb2b3411de65d55f1"/>
            <w:lock w:val="sdtLocked"/>
            <w:richText/>
          </w:sdtPr>
          <w:sdtContent>
            <w:p>
              <w:pPr>
                <w:spacing w:line="276" w:lineRule="auto"/>
                <w:ind w:firstLine="769"/>
                <w:jc w:val="both"/>
                <w:rPr>
                  <w:szCs w:val="24"/>
                  <w:lang w:eastAsia="lt-LT"/>
                </w:rPr>
              </w:pPr>
              <w:sdt>
                <w:sdtPr>
                  <w:alias w:val="Numeris"/>
                  <w:tag w:val="nr_c013bffb4df64c9eb2b3411de65d55f1"/>
                  <w:lock w:val="sdtLocked"/>
                  <w:richText/>
                </w:sdtPr>
                <w:sdtContent>
                  <w:r>
                    <w:rPr>
                      <w:szCs w:val="24"/>
                      <w:lang w:eastAsia="lt-LT"/>
                    </w:rPr>
                    <w:t>2</w:t>
                  </w:r>
                </w:sdtContent>
              </w:sdt>
              <w:r>
                <w:rPr>
                  <w:szCs w:val="24"/>
                  <w:lang w:eastAsia="lt-LT"/>
                </w:rPr>
                <w:t>. Papildyti 3 punktu:</w:t>
              </w:r>
            </w:p>
            <w:sdt>
              <w:sdtPr>
                <w:alias w:val="citata"/>
                <w:tag w:val="part_0ed275944b0a4f6e92d8020e2e443773"/>
                <w:lock w:val="sdtLocked"/>
                <w:richText/>
              </w:sdtPr>
              <w:sdtContent>
                <w:sdt>
                  <w:sdtPr>
                    <w:alias w:val="3 p."/>
                    <w:tag w:val="part_f5f9750d596d47efaaf89b42caff8fa0"/>
                    <w:lock w:val="sdtLocked"/>
                    <w:richText/>
                  </w:sdtPr>
                  <w:sdtContent>
                    <w:p>
                      <w:pPr>
                        <w:spacing w:line="276" w:lineRule="auto"/>
                        <w:ind w:firstLine="720"/>
                        <w:jc w:val="both"/>
                        <w:rPr>
                          <w:szCs w:val="24"/>
                          <w:lang w:eastAsia="lt-LT"/>
                        </w:rPr>
                      </w:pPr>
                      <w:r>
                        <w:rPr>
                          <w:szCs w:val="24"/>
                          <w:lang w:eastAsia="lt-LT"/>
                        </w:rPr>
                        <w:t>„</w:t>
                      </w:r>
                      <w:sdt>
                        <w:sdtPr>
                          <w:alias w:val="Numeris"/>
                          <w:tag w:val="nr_f5f9750d596d47efaaf89b42caff8fa0"/>
                          <w:lock w:val="sdtLocked"/>
                          <w:richText/>
                        </w:sdtPr>
                        <w:sdtContent>
                          <w:r>
                            <w:rPr>
                              <w:szCs w:val="24"/>
                              <w:lang w:eastAsia="lt-LT"/>
                            </w:rPr>
                            <w:t>3</w:t>
                          </w:r>
                        </w:sdtContent>
                      </w:sdt>
                      <w:r>
                        <w:rPr>
                          <w:szCs w:val="24"/>
                          <w:lang w:eastAsia="lt-LT"/>
                        </w:rPr>
                        <w:t xml:space="preserve">.  Perduoti po biudžetinės įstaigos Lietuvos automobilių kelių direkcijos prie Susisiekimo ministerijos (toliau – Kelių direkcija) pertvarkymo veiksiančiai valstybės įmonei 2020 m. rugpjūčio 31 d. balansine verte Kelių direkcijos patikėjimo teise valdytą visą ilgalaikį ir trumpalaikį materialųjį, nematerialųjį turtą valdyti, naudoti ir disponuoti juo patikėjimo teise.</w:t>
                      </w:r>
                      <w:r>
                        <w:t>“</w:t>
                      </w:r>
                    </w:p>
                  </w:sdtContent>
                </w:sdt>
              </w:sdtContent>
            </w:sdt>
          </w:sdtContent>
        </w:sdt>
        <w:sdt>
          <w:sdtPr>
            <w:alias w:val="3 p."/>
            <w:tag w:val="part_99d637af326d4d1e882cef7bee696a6a"/>
            <w:lock w:val="sdtLocked"/>
            <w:richText/>
          </w:sdtPr>
          <w:sdtContent>
            <w:p>
              <w:pPr>
                <w:spacing w:line="276" w:lineRule="auto"/>
                <w:ind w:firstLine="720"/>
                <w:jc w:val="both"/>
                <w:rPr>
                  <w:szCs w:val="24"/>
                  <w:lang w:eastAsia="lt-LT"/>
                </w:rPr>
              </w:pPr>
              <w:sdt>
                <w:sdtPr>
                  <w:alias w:val="Numeris"/>
                  <w:tag w:val="nr_99d637af326d4d1e882cef7bee696a6a"/>
                  <w:lock w:val="sdtLocked"/>
                  <w:richText/>
                </w:sdtPr>
                <w:sdtContent>
                  <w:r>
                    <w:rPr>
                      <w:szCs w:val="24"/>
                      <w:lang w:eastAsia="lt-LT"/>
                    </w:rPr>
                    <w:t>3</w:t>
                  </w:r>
                </w:sdtContent>
              </w:sdt>
              <w:r>
                <w:rPr>
                  <w:szCs w:val="24"/>
                  <w:lang w:eastAsia="lt-LT"/>
                </w:rPr>
                <w:t>. Papildyti 4 punktu:</w:t>
              </w:r>
            </w:p>
            <w:sdt>
              <w:sdtPr>
                <w:alias w:val="citata"/>
                <w:tag w:val="part_7c6ade71875946589445e512c37f929c"/>
                <w:lock w:val="sdtLocked"/>
                <w:richText/>
              </w:sdtPr>
              <w:sdtContent>
                <w:sdt>
                  <w:sdtPr>
                    <w:alias w:val="4 p."/>
                    <w:tag w:val="part_c0f43eae36bb40a5b546762262fdca4e"/>
                    <w:lock w:val="sdtLocked"/>
                    <w:richText/>
                  </w:sdtPr>
                  <w:sdtContent>
                    <w:p>
                      <w:pPr>
                        <w:spacing w:line="276" w:lineRule="auto"/>
                        <w:ind w:firstLine="720"/>
                        <w:jc w:val="both"/>
                        <w:rPr>
                          <w:szCs w:val="24"/>
                          <w:lang w:eastAsia="lt-LT"/>
                        </w:rPr>
                      </w:pPr>
                      <w:r>
                        <w:rPr>
                          <w:szCs w:val="24"/>
                          <w:lang w:eastAsia="lt-LT"/>
                        </w:rPr>
                        <w:t>„</w:t>
                      </w:r>
                      <w:sdt>
                        <w:sdtPr>
                          <w:alias w:val="Numeris"/>
                          <w:tag w:val="nr_c0f43eae36bb40a5b546762262fdca4e"/>
                          <w:lock w:val="sdtLocked"/>
                          <w:richText/>
                        </w:sdtPr>
                        <w:sdtContent>
                          <w:r>
                            <w:rPr>
                              <w:szCs w:val="24"/>
                              <w:lang w:eastAsia="lt-LT"/>
                            </w:rPr>
                            <w:t>4</w:t>
                          </w:r>
                        </w:sdtContent>
                      </w:sdt>
                      <w:r>
                        <w:rPr>
                          <w:szCs w:val="24"/>
                          <w:lang w:eastAsia="lt-LT"/>
                        </w:rPr>
                        <w:t>. Nustatyti, kad:</w:t>
                      </w:r>
                    </w:p>
                    <w:sdt>
                      <w:sdtPr>
                        <w:alias w:val="4.1 pp."/>
                        <w:tag w:val="part_e66c21c84c7d49048ac2adf225e10d07"/>
                        <w:lock w:val="sdtLocked"/>
                        <w:richText/>
                      </w:sdtPr>
                      <w:sdtContent>
                        <w:p>
                          <w:pPr>
                            <w:spacing w:line="276" w:lineRule="auto"/>
                            <w:ind w:firstLine="720"/>
                            <w:jc w:val="both"/>
                            <w:rPr>
                              <w:szCs w:val="24"/>
                              <w:lang w:eastAsia="lt-LT"/>
                            </w:rPr>
                          </w:pPr>
                          <w:sdt>
                            <w:sdtPr>
                              <w:alias w:val="Numeris"/>
                              <w:tag w:val="nr_e66c21c84c7d49048ac2adf225e10d07"/>
                              <w:lock w:val="sdtLocked"/>
                              <w:richText/>
                            </w:sdtPr>
                            <w:sdtContent>
                              <w:r>
                                <w:rPr>
                                  <w:szCs w:val="24"/>
                                  <w:lang w:eastAsia="lt-LT"/>
                                </w:rPr>
                                <w:t>4.1</w:t>
                              </w:r>
                            </w:sdtContent>
                          </w:sdt>
                          <w:r>
                            <w:rPr>
                              <w:szCs w:val="24"/>
                              <w:lang w:eastAsia="lt-LT"/>
                            </w:rPr>
                            <w:t>. perdavus šio nutarimo 3 punkte nurodytą ilgalaikį materialųjį ir nematerialųjį turtą:</w:t>
                          </w:r>
                        </w:p>
                        <w:sdt>
                          <w:sdtPr>
                            <w:alias w:val="4.1.1 pp."/>
                            <w:tag w:val="part_7319e53552c1498f87d8541b2b3b9725"/>
                            <w:lock w:val="sdtLocked"/>
                            <w:richText/>
                          </w:sdtPr>
                          <w:sdtContent>
                            <w:p>
                              <w:pPr>
                                <w:spacing w:line="276" w:lineRule="auto"/>
                                <w:ind w:firstLine="720"/>
                                <w:jc w:val="both"/>
                                <w:rPr>
                                  <w:szCs w:val="24"/>
                                  <w:lang w:eastAsia="lt-LT"/>
                                </w:rPr>
                              </w:pPr>
                              <w:sdt>
                                <w:sdtPr>
                                  <w:alias w:val="Numeris"/>
                                  <w:tag w:val="nr_7319e53552c1498f87d8541b2b3b9725"/>
                                  <w:lock w:val="sdtLocked"/>
                                  <w:richText/>
                                </w:sdtPr>
                                <w:sdtContent>
                                  <w:r>
                                    <w:rPr>
                                      <w:szCs w:val="24"/>
                                      <w:lang w:eastAsia="lt-LT"/>
                                    </w:rPr>
                                    <w:t>4.1.1</w:t>
                                  </w:r>
                                </w:sdtContent>
                              </w:sdt>
                              <w:r>
                                <w:rPr>
                                  <w:szCs w:val="24"/>
                                  <w:lang w:eastAsia="lt-LT"/>
                                </w:rPr>
                                <w:t xml:space="preserve">. valstybei išimtine nuosavybės teise priklausantį turtą – valstybinės reikšmės automobilių kelius, taip pat įstatymų ar Vyriausybės nustatyta tvarka valstybinės reikšmės keliams priskirtą žemę  – valstybės įmonės turto vertės padidėjimas registruojamas turtą, kuris pagal įstatymus gali būti tik valstybės nuosavybė, atitinkančio kapitalo dalyje;</w:t>
                              </w:r>
                            </w:p>
                          </w:sdtContent>
                        </w:sdt>
                        <w:sdt>
                          <w:sdtPr>
                            <w:alias w:val="4.1.2 pp."/>
                            <w:tag w:val="part_651703599db54245be40384a75ae7a52"/>
                            <w:lock w:val="sdtLocked"/>
                            <w:richText/>
                          </w:sdtPr>
                          <w:sdtContent>
                            <w:p>
                              <w:pPr>
                                <w:spacing w:line="276" w:lineRule="auto"/>
                                <w:ind w:firstLine="720"/>
                                <w:jc w:val="both"/>
                                <w:rPr>
                                  <w:szCs w:val="24"/>
                                  <w:lang w:eastAsia="lt-LT"/>
                                </w:rPr>
                              </w:pPr>
                              <w:sdt>
                                <w:sdtPr>
                                  <w:alias w:val="Numeris"/>
                                  <w:tag w:val="nr_651703599db54245be40384a75ae7a52"/>
                                  <w:lock w:val="sdtLocked"/>
                                  <w:richText/>
                                </w:sdtPr>
                                <w:sdtContent>
                                  <w:r>
                                    <w:rPr>
                                      <w:szCs w:val="24"/>
                                      <w:lang w:eastAsia="lt-LT"/>
                                    </w:rPr>
                                    <w:t>4.1.2</w:t>
                                  </w:r>
                                </w:sdtContent>
                              </w:sdt>
                              <w:r>
                                <w:rPr>
                                  <w:szCs w:val="24"/>
                                  <w:lang w:eastAsia="lt-LT"/>
                                </w:rPr>
                                <w:t>. kitą ilgalaikį materialųjį ir nematerialųjį turtą – valstybės įmonės turto vertės padidėjimas registruojamas valstybės įmonės savininko kapitalo dalyje;</w:t>
                              </w:r>
                            </w:p>
                          </w:sdtContent>
                        </w:sdt>
                      </w:sdtContent>
                    </w:sdt>
                    <w:sdt>
                      <w:sdtPr>
                        <w:alias w:val="4.2 pp."/>
                        <w:tag w:val="part_79ca431997524d45a796afc5fe7c98de"/>
                        <w:lock w:val="sdtLocked"/>
                        <w:richText/>
                      </w:sdtPr>
                      <w:sdtContent>
                        <w:p>
                          <w:pPr>
                            <w:spacing w:line="276" w:lineRule="auto"/>
                            <w:ind w:firstLine="709"/>
                            <w:jc w:val="both"/>
                            <w:rPr>
                              <w:szCs w:val="24"/>
                              <w:lang w:eastAsia="lt-LT"/>
                            </w:rPr>
                          </w:pPr>
                          <w:sdt>
                            <w:sdtPr>
                              <w:alias w:val="Numeris"/>
                              <w:tag w:val="nr_79ca431997524d45a796afc5fe7c98de"/>
                              <w:lock w:val="sdtLocked"/>
                              <w:richText/>
                            </w:sdtPr>
                            <w:sdtContent>
                              <w:r>
                                <w:rPr>
                                  <w:szCs w:val="24"/>
                                  <w:lang w:eastAsia="lt-LT"/>
                                </w:rPr>
                                <w:t>4.2</w:t>
                              </w:r>
                            </w:sdtContent>
                          </w:sdt>
                          <w:r>
                            <w:rPr>
                              <w:szCs w:val="24"/>
                              <w:lang w:eastAsia="lt-LT"/>
                            </w:rPr>
                            <w:t>. valstybės įmonei perduodamas šio nutarimo 3 punkte nurodytas trumpalaikis materialusis turtas yra dotacija.“</w:t>
                          </w:r>
                        </w:p>
                        <w:p>
                          <w:pPr>
                            <w:ind w:firstLine="720"/>
                            <w:jc w:val="both"/>
                            <w:rPr>
                              <w:szCs w:val="24"/>
                              <w:lang w:eastAsia="lt-LT"/>
                            </w:rPr>
                          </w:pPr>
                        </w:p>
                        <w:p>
                          <w:pPr>
                            <w:tabs>
                              <w:tab w:val="right" w:pos="9639"/>
                            </w:tabs>
                          </w:pPr>
                        </w:p>
                      </w:sdtContent>
                    </w:sdt>
                  </w:sdtContent>
                </w:sdt>
              </w:sdtContent>
            </w:sdt>
            <w:sdt>
              <w:sdtPr>
                <w:alias w:val="lentele"/>
                <w:tag w:val="part_9db8f8bdc4bd48029e36aa7dce05314b"/>
                <w:lock w:val="sdtLocked"/>
                <w:richText/>
              </w:sdtPr>
              <w:sdtContent>
                <w:tbl>
                  <w:tblPr>
                    <w:tblW w:w="9850" w:type="dxa"/>
                    <w:tblLayout w:type="fixed"/>
                    <w:tblLook w:val="0000" w:firstRow="0" w:lastRow="0" w:firstColumn="0" w:lastColumn="0" w:noHBand="0" w:noVBand="0"/>
                  </w:tblPr>
                  <w:tblGrid>
                    <w:gridCol w:w="5070"/>
                    <w:gridCol w:w="567"/>
                    <w:gridCol w:w="4213"/>
                  </w:tblGrid>
                  <w:tr>
                    <w:trPr>
                      <w:trHeight w:val="240"/>
                    </w:trPr>
                    <w:tc>
                      <w:tcPr>
                        <w:tcW w:w="5070" w:type="dxa"/>
                      </w:tcPr>
                      <w:p>
                        <w:pPr>
                          <w:rPr>
                            <w:sz w:val="42"/>
                            <w:szCs w:val="42"/>
                          </w:rPr>
                        </w:pPr>
                      </w:p>
                      <w:p>
                        <w:r>
                          <w:t>Ministras Pirmininkas</w:t>
                        </w:r>
                      </w:p>
                    </w:tc>
                    <w:tc>
                      <w:tcPr>
                        <w:tcW w:w="567" w:type="dxa"/>
                      </w:tcPr>
                      <w:p>
                        <w:pPr>
                          <w:rPr>
                            <w:sz w:val="42"/>
                            <w:szCs w:val="42"/>
                          </w:rPr>
                        </w:pPr>
                      </w:p>
                      <w:p/>
                    </w:tc>
                    <w:tc>
                      <w:tcPr>
                        <w:tcW w:w="4213" w:type="dxa"/>
                      </w:tcPr>
                      <w:p>
                        <w:pPr>
                          <w:rPr>
                            <w:sz w:val="42"/>
                            <w:szCs w:val="42"/>
                          </w:rPr>
                        </w:pPr>
                      </w:p>
                      <w:p>
                        <w:r>
                          <w:t>     </w:t>
                        </w:r>
                      </w:p>
                    </w:tc>
                  </w:tr>
                  <w:tr>
                    <w:trPr>
                      <w:trHeight w:val="240"/>
                    </w:trPr>
                    <w:tc>
                      <w:tcPr>
                        <w:tcW w:w="5070" w:type="dxa"/>
                      </w:tcPr>
                      <w:p>
                        <w:pPr>
                          <w:rPr>
                            <w:sz w:val="42"/>
                            <w:szCs w:val="42"/>
                          </w:rPr>
                        </w:pPr>
                      </w:p>
                      <w:p>
                        <w:r>
                          <w:t>Susisiekimo ministras</w:t>
                        </w:r>
                      </w:p>
                    </w:tc>
                    <w:tc>
                      <w:tcPr>
                        <w:tcW w:w="567" w:type="dxa"/>
                      </w:tcPr>
                      <w:p>
                        <w:pPr>
                          <w:rPr>
                            <w:sz w:val="42"/>
                            <w:szCs w:val="42"/>
                          </w:rPr>
                        </w:pPr>
                      </w:p>
                      <w:p/>
                    </w:tc>
                    <w:tc>
                      <w:tcPr>
                        <w:tcW w:w="4213" w:type="dxa"/>
                      </w:tcPr>
                      <w:p>
                        <w:pPr>
                          <w:rPr>
                            <w:sz w:val="42"/>
                            <w:szCs w:val="42"/>
                          </w:rPr>
                        </w:pPr>
                      </w:p>
                      <w:p>
                        <w:r>
                          <w:t>     </w:t>
                        </w:r>
                      </w:p>
                    </w:tc>
                  </w:tr>
                </w:tbl>
                <w:p/>
              </w:sdtContent>
            </w:sdt>
          </w:sdtContent>
        </w:sdt>
      </w:sdtContent>
    </w:sdt>
    <w:sectPr>
      <w:headerReference w:type="even" r:id="rId7"/>
      <w:headerReference w:type="default" r:id="rId8"/>
      <w:footerReference w:type="even" r:id="rId9"/>
      <w:footerReference w:type="default" r:id="rId10"/>
      <w:headerReference w:type="first" r:id="rId11"/>
      <w:footerReference w:type="first" r:id="rId12"/>
      <w:pgSz w:w="12240" w:h="15840"/>
      <w:pgMar w:top="709" w:right="1440" w:bottom="1440" w:left="1440" w:header="720" w:footer="720" w:gutter="0"/>
      <w:cols w:space="720"/>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52d0d13676424db5a6b8d58241216209" PartId="b0b64ad49bad4a4aa83d39b478f28f57">
    <Part Type="preambule" DocPartId="e9440c3bbd1745fcb1d74a55b922bd6d" PartId="ab1ca58b9ee641d6b775d392937e6dfa"/>
    <Part Type="pastraipa" DocPartId="cd7027a431354bf183097bb092d2ea88" PartId="a55c4957e3cf438690d497032217de0d"/>
    <Part Type="punktas" Nr="1" Abbr="1 p." DocPartId="21298008b10a488fa6e800bb1042b496" PartId="42b769e986954ceb8b4ddef56b29ea4a">
      <Part Type="citata" DocPartId="8b72005d7ffa4b26bad26b5af23dde06" PartId="1f731db0fa034982ad59c49b51a6b24a">
        <Part Type="pastraipa" DocPartId="9fa7cb4fef314892a92403f6fad897d7" PartId="8138079b4e34408b91a5cb86ee5b84b9"/>
      </Part>
    </Part>
    <Part Type="punktas" Nr="2" Abbr="2 p." DocPartId="8aebc5284ba545bbb425bb6c5ae0f34b" PartId="c013bffb4df64c9eb2b3411de65d55f1">
      <Part Type="citata" DocPartId="525dacfbcb4447c4bd591c2ecaaa4a71" PartId="0ed275944b0a4f6e92d8020e2e443773">
        <Part Type="punktas" Nr="3" Abbr="3 p." DocPartId="371b5002f18e4757888298a261c0e016" PartId="f5f9750d596d47efaaf89b42caff8fa0"/>
      </Part>
    </Part>
    <Part Type="punktas" Nr="3" Abbr="3 p." DocPartId="9fd9abb67c934faa94460ca5c3fa176d" PartId="99d637af326d4d1e882cef7bee696a6a">
      <Part Type="citata" DocPartId="372859d666944b8da77ef637f4a5966d" PartId="7c6ade71875946589445e512c37f929c">
        <Part Type="punktas" Nr="4" Abbr="4 p." DocPartId="9c4b0a89ca9a408e9b31c17966433b21" PartId="c0f43eae36bb40a5b546762262fdca4e">
          <Part Type="papunktis" Nr="4.1" Abbr="4.1 pp." DocPartId="5aae654651a34db8b43f2c865e1ab20e" PartId="e66c21c84c7d49048ac2adf225e10d07">
            <Part Type="papunktis" Nr="4.1.1" Abbr="4.1.1 pp." DocPartId="e81aba58a3da49cdbc8c1af46044a30d" PartId="7319e53552c1498f87d8541b2b3b9725"/>
            <Part Type="papunktis" Nr="4.1.2" Abbr="4.1.2 pp." DocPartId="b922dab5be8c4622a0b9d20b93b7fed2" PartId="651703599db54245be40384a75ae7a52"/>
          </Part>
          <Part Type="papunktis" Nr="4.2" Abbr="4.2 pp." DocPartId="ca9d2cd5a17844eba5da9c96a8fee2ce" PartId="79ca431997524d45a796afc5fe7c98de"/>
        </Part>
      </Part>
      <Part Type="lentele" DocPartId="58d44eef31b94badb90d4424ff72e4a7" PartId="9db8f8bdc4bd48029e36aa7dce05314b"/>
    </Part>
  </Part>
</Parts>
</file>

<file path=customXml/itemProps1.xml><?xml version="1.0" encoding="utf-8"?>
<ds:datastoreItem xmlns:ds="http://schemas.openxmlformats.org/officeDocument/2006/customXml" ds:itemID="{EEDDC39F-B5C3-446A-9FED-EC4B2E58FEB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1997</Characters>
  <Application>Microsoft Office Word</Application>
  <DocSecurity>4</DocSecurity>
  <Lines>58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2020-08-26T09:12:00Z</dcterms:created>
  <dc:creator>Sigita Jurkšaitytė</dc:creator>
  <cp:lastModifiedBy>Asseco</cp:lastModifiedBy>
  <cp:lastPrinted>2020-08-25T12:16:00Z</cp:lastPrinted>
  <dcterms:modified xsi:type="dcterms:W3CDTF">2020-08-26T09:12:00Z</dcterms:modified>
  <cp:revision>2</cp:revision>
</cp:coreProperties>
</file>