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F602E" w:rsidRDefault="00523C46" w:rsidP="00523C46">
      <w:pPr>
        <w:spacing w:after="0" w:line="240" w:lineRule="auto"/>
        <w:jc w:val="center"/>
        <w:rPr>
          <w:rFonts w:eastAsia="Calibri" w:cs="Times New Roman"/>
          <w:b/>
          <w:sz w:val="26"/>
          <w:szCs w:val="26"/>
        </w:rPr>
      </w:pPr>
      <w:r w:rsidRPr="002F602E">
        <w:rPr>
          <w:rFonts w:eastAsia="Calibri" w:cs="Times New Roman"/>
          <w:b/>
          <w:sz w:val="26"/>
          <w:szCs w:val="26"/>
        </w:rPr>
        <w:t>PAŽYMA</w:t>
      </w:r>
    </w:p>
    <w:p w:rsidR="00523C46" w:rsidRPr="002F602E" w:rsidRDefault="00523C46" w:rsidP="00523C46">
      <w:pPr>
        <w:spacing w:after="0" w:line="240" w:lineRule="auto"/>
        <w:ind w:firstLine="720"/>
        <w:jc w:val="center"/>
        <w:rPr>
          <w:rFonts w:eastAsia="Calibri" w:cs="Times New Roman"/>
          <w:b/>
          <w:sz w:val="26"/>
          <w:szCs w:val="26"/>
        </w:rPr>
      </w:pPr>
      <w:r w:rsidRPr="002F602E">
        <w:rPr>
          <w:rFonts w:eastAsia="Calibri" w:cs="Times New Roman"/>
          <w:b/>
          <w:sz w:val="26"/>
          <w:szCs w:val="26"/>
        </w:rPr>
        <w:t xml:space="preserve">Dėl š. m. </w:t>
      </w:r>
      <w:r w:rsidR="0099647D">
        <w:rPr>
          <w:rFonts w:eastAsia="Calibri" w:cs="Times New Roman"/>
          <w:b/>
          <w:sz w:val="26"/>
          <w:szCs w:val="26"/>
        </w:rPr>
        <w:t>lapkričio 8</w:t>
      </w:r>
      <w:r w:rsidRPr="002F602E">
        <w:rPr>
          <w:rFonts w:eastAsia="Calibri" w:cs="Times New Roman"/>
          <w:b/>
          <w:sz w:val="26"/>
          <w:szCs w:val="26"/>
        </w:rPr>
        <w:t xml:space="preserve"> d. Ekonomikos ir finansų reikalų (ECOFIN) taryboje svarstomų klausimų</w:t>
      </w:r>
    </w:p>
    <w:p w:rsidR="00DD2365" w:rsidRPr="002F602E" w:rsidRDefault="00DD2365" w:rsidP="00523C46">
      <w:pPr>
        <w:spacing w:after="0" w:line="240" w:lineRule="auto"/>
        <w:ind w:firstLine="720"/>
        <w:jc w:val="both"/>
        <w:rPr>
          <w:rFonts w:eastAsia="Calibri" w:cs="Times New Roman"/>
          <w:szCs w:val="24"/>
        </w:rPr>
      </w:pPr>
    </w:p>
    <w:p w:rsidR="00D876C0" w:rsidRDefault="00D876C0" w:rsidP="005B54DC">
      <w:pPr>
        <w:spacing w:after="0" w:line="240" w:lineRule="auto"/>
        <w:jc w:val="both"/>
        <w:rPr>
          <w:b/>
          <w:szCs w:val="24"/>
        </w:rPr>
      </w:pPr>
    </w:p>
    <w:p w:rsidR="000922B3" w:rsidRPr="00E2576D" w:rsidRDefault="000922B3" w:rsidP="000922B3">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E2576D">
        <w:rPr>
          <w:rFonts w:cs="Times New Roman"/>
          <w:b/>
          <w:szCs w:val="24"/>
        </w:rPr>
        <w:t xml:space="preserve">Akcizai </w:t>
      </w:r>
      <w:r w:rsidRPr="00E2576D">
        <w:rPr>
          <w:rFonts w:cs="Times New Roman"/>
          <w:i/>
          <w:szCs w:val="24"/>
        </w:rPr>
        <w:t>(politinis sutarimas)</w:t>
      </w:r>
    </w:p>
    <w:p w:rsidR="000922B3" w:rsidRPr="00E2576D" w:rsidRDefault="000922B3" w:rsidP="005B54DC">
      <w:pPr>
        <w:spacing w:after="0" w:line="240" w:lineRule="auto"/>
        <w:jc w:val="both"/>
        <w:rPr>
          <w:rFonts w:cs="Times New Roman"/>
          <w:b/>
          <w:szCs w:val="24"/>
        </w:rPr>
      </w:pPr>
    </w:p>
    <w:p w:rsidR="00DC573C" w:rsidRPr="00E2576D" w:rsidRDefault="000922B3" w:rsidP="00F25802">
      <w:pPr>
        <w:pStyle w:val="prastasistinklapis"/>
        <w:jc w:val="both"/>
        <w:rPr>
          <w:color w:val="000000"/>
        </w:rPr>
      </w:pPr>
      <w:r w:rsidRPr="00E2576D">
        <w:rPr>
          <w:b/>
          <w:u w:val="single"/>
          <w:lang w:bidi="lt-LT"/>
        </w:rPr>
        <w:t>Klausimo esmė.</w:t>
      </w:r>
      <w:r w:rsidR="00DC573C" w:rsidRPr="00E2576D">
        <w:rPr>
          <w:color w:val="000000"/>
        </w:rPr>
        <w:t xml:space="preserve"> Europos Komisija, atsižvelgdama į atliktos peržiūros rezultatus dėl Tarybos direktyvos 2008/118/EB dėl bendros akcizų tvarkos, panaikinančios Direktyvą 92/12/EEB, bei į 2017 m. gruodžio 5 d. Tarybos išvadas dėl būtinybės peržiūrėti šios direktyvos nuostatas, 2018 m. gegužės 25 d. pateikė  </w:t>
      </w:r>
      <w:r w:rsidR="00DC573C" w:rsidRPr="00E2576D">
        <w:rPr>
          <w:b/>
          <w:bCs/>
          <w:color w:val="000000"/>
          <w:u w:val="single"/>
        </w:rPr>
        <w:t>pasiūlymą dėl Tarybos direktyvos dėl bendros akcizų tvarkos</w:t>
      </w:r>
      <w:r w:rsidR="00DC573C" w:rsidRPr="00E2576D">
        <w:rPr>
          <w:color w:val="000000"/>
        </w:rPr>
        <w:t>, kuriuo siūloma:</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w:t>
      </w:r>
    </w:p>
    <w:p w:rsidR="00DC573C" w:rsidRPr="00DC573C" w:rsidRDefault="00DC573C" w:rsidP="00F25802">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1. </w:t>
      </w:r>
      <w:r w:rsidRPr="00DC573C">
        <w:rPr>
          <w:rFonts w:eastAsia="Times New Roman" w:cs="Times New Roman"/>
          <w:color w:val="000000"/>
          <w:szCs w:val="24"/>
          <w:lang w:eastAsia="lt-LT"/>
        </w:rPr>
        <w:t>suderinti direktyvos nuostatas su galiojančiomis muitų teisės aktų nuostatomis bei užtikrinti tinkamus duomenų mainus tarp akcizų (EMCS) ir muitų (ECS) informacinių sistemų:</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patikslinti akcizais apmokestinamų prekių (AAP) importo sąvoka, nustatant, kad tokių prekių importu laikomas prekių išleidimas į laisvą apyvartą, kaip tai apibrėžta Europos Tarybos ir Tarybos reglamento (ES) Nr. 953/2013, kuriuo nustatomas Sąjungos muitinės kodeksas, 201 straipsnio nuostatose (t. y. kai prekės įgauna Europos Sąjungos prekių statusą);</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nustatyti akcizų prievolę už neteisėtai įvežtas AAP, kur neteisėtu įvežimu būtų laikomas prekių įvežimas į Sąjungos teritoriją, kurios nebuvo išleistos į laisvą apyvartą pagal Reglamento Nr. 953/2013 201 str., ir už kurias pagal to pateis reglamento 79 straipsnio 1 dalį yra atsiradusi ar būtų atsiradusi skola muitinei, jei prekės būtų apmokestintos muitais;</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nustatoma galimybė AAP, kurioms taikomas akcizų mokėjimo laikino atidėjimo režimas, taikant išorinio tranzito procedūrą, kaip ji apibrėžta Komisijos deleguotojo reglamento (ES) 2015/2446 189 straipsnyje, gabenti iš akcizais apmokestinamų prekių sandėlio į muitinės išvežimo įstaigą (</w:t>
      </w:r>
      <w:proofErr w:type="spellStart"/>
      <w:r w:rsidRPr="00E2576D">
        <w:rPr>
          <w:rFonts w:eastAsia="Times New Roman" w:cs="Times New Roman"/>
          <w:i/>
          <w:iCs/>
          <w:color w:val="000000"/>
          <w:szCs w:val="24"/>
          <w:lang w:eastAsia="lt-LT"/>
        </w:rPr>
        <w:t>customs</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office</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of</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exit</w:t>
      </w:r>
      <w:proofErr w:type="spellEnd"/>
      <w:r w:rsidRPr="00DC573C">
        <w:rPr>
          <w:rFonts w:eastAsia="Times New Roman" w:cs="Times New Roman"/>
          <w:color w:val="000000"/>
          <w:szCs w:val="24"/>
          <w:lang w:eastAsia="lt-LT"/>
        </w:rPr>
        <w:t> ), kuri yra ir išvykimo muitinės įstaiga (</w:t>
      </w:r>
      <w:proofErr w:type="spellStart"/>
      <w:r w:rsidRPr="00E2576D">
        <w:rPr>
          <w:rFonts w:eastAsia="Times New Roman" w:cs="Times New Roman"/>
          <w:i/>
          <w:iCs/>
          <w:color w:val="000000"/>
          <w:szCs w:val="24"/>
          <w:lang w:eastAsia="lt-LT"/>
        </w:rPr>
        <w:t>customs</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office</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of</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departure</w:t>
      </w:r>
      <w:proofErr w:type="spellEnd"/>
      <w:r w:rsidRPr="00DC573C">
        <w:rPr>
          <w:rFonts w:eastAsia="Times New Roman" w:cs="Times New Roman"/>
          <w:color w:val="000000"/>
          <w:szCs w:val="24"/>
          <w:lang w:eastAsia="lt-LT"/>
        </w:rPr>
        <w:t>);</w:t>
      </w:r>
    </w:p>
    <w:p w:rsidR="00DC573C" w:rsidRPr="00DC573C" w:rsidRDefault="00DC573C" w:rsidP="00F25802">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2.</w:t>
      </w:r>
      <w:r w:rsidRPr="00DC573C">
        <w:rPr>
          <w:rFonts w:eastAsia="Times New Roman" w:cs="Times New Roman"/>
          <w:color w:val="000000"/>
          <w:szCs w:val="24"/>
          <w:lang w:eastAsia="lt-LT"/>
        </w:rPr>
        <w:t> įtraukti į kompiuterinę akcizais apmokestinamų prekių gabenimo ir kontrolės sistemą (EMCS) AAP, kurioms panaikintas akcizų mokėjimo laikino atidėjimo režimas ir kurios gabenamos komerciniais tikslais į kitą valstybę narę, gabenimą, kartu nustatant reikalavimą parengti elektroninį supaprastintą AAP gabenimo dokumentą, išskiriant tokių prekių siuntėjus (sertifikuotus siuntėjus) ir gavėjus (sertifikuotus gavėjus), reglamentuojant šių asmenų mokestines prievoles, jų vykdymo užtikrinimą. Akcizais apmokestinamų prekių sandėlių savininkai ir registruoti siuntėjai šiuo atveju galėtų veikti kaip sertifikuoti siuntėjai ir sertifikuoti gavėjai;</w:t>
      </w:r>
    </w:p>
    <w:p w:rsidR="00DC573C" w:rsidRPr="00DC573C" w:rsidRDefault="00DC573C" w:rsidP="00F25802">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3. </w:t>
      </w:r>
      <w:r w:rsidRPr="00DC573C">
        <w:rPr>
          <w:rFonts w:eastAsia="Times New Roman" w:cs="Times New Roman"/>
          <w:color w:val="000000"/>
          <w:szCs w:val="24"/>
          <w:lang w:eastAsia="lt-LT"/>
        </w:rPr>
        <w:t>numatyti galimybę valstybėms narėms nusistatyti, kad fizinio asmens įsigyjami ir įvežami iš kitos valstybės narės tabako ir alkoholio produktai yra apmokestinami, jei viršija tam tikrus kiekius ir asmuo negali įrodyti, kad šie produktai yra skirti išimtinai asmeninėms reikmėms;</w:t>
      </w:r>
    </w:p>
    <w:p w:rsidR="00DC573C" w:rsidRPr="00DC573C" w:rsidRDefault="00DC573C" w:rsidP="00F25802">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4.</w:t>
      </w:r>
      <w:r w:rsidRPr="00DC573C">
        <w:rPr>
          <w:rFonts w:eastAsia="Times New Roman" w:cs="Times New Roman"/>
          <w:color w:val="000000"/>
          <w:szCs w:val="24"/>
          <w:lang w:eastAsia="lt-LT"/>
        </w:rPr>
        <w:t> atlikti kitus pakeitimus:</w:t>
      </w:r>
    </w:p>
    <w:p w:rsidR="00DC573C" w:rsidRPr="00DC573C" w:rsidRDefault="00FD2A1D"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patikslinti nuostata</w:t>
      </w:r>
      <w:r w:rsidR="00DC573C" w:rsidRPr="00DC573C">
        <w:rPr>
          <w:rFonts w:eastAsia="Times New Roman" w:cs="Times New Roman"/>
          <w:color w:val="000000"/>
          <w:szCs w:val="24"/>
          <w:lang w:eastAsia="lt-LT"/>
        </w:rPr>
        <w:t>s dėl akcizų netaikymo tam AAP kiekiui, kuris gabenimo taikant akcizų mokėjimo laikino atidėjimo režimą metu nepasiekia paskirties vietos ir kuris neviršija natūralios netekties normų, kurių galimas dydis (pvz., procentine išraiška)  ir kiti susiję dalykai (pvz., normų nustatymo metodas) būtų nustatomi Europos Komisijos įgyvendinamuoju teisės aktu;</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nustatyti alternatyvių įrodymų, patvirtinančių kad AAP yra gautos paskirties vietoje, sąrašą tais atvejais, kai negaunamas elektroninis pranešimas apie tokių prekių gavimą;</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xml:space="preserve">-  patikslinti nuostatas, numatančias kad Europos Komisija įgyvendinamaisiais teisės aktais patvirtinta atleidimo nuo akcizų sertifikato formą tais atvejais, kai AAP yra skirtos naudoti diplomatinių ir konsulinių </w:t>
      </w:r>
      <w:bookmarkStart w:id="0" w:name="_GoBack"/>
      <w:r w:rsidRPr="00DC573C">
        <w:rPr>
          <w:rFonts w:eastAsia="Times New Roman" w:cs="Times New Roman"/>
          <w:color w:val="000000"/>
          <w:szCs w:val="24"/>
          <w:lang w:eastAsia="lt-LT"/>
        </w:rPr>
        <w:t>sant</w:t>
      </w:r>
      <w:bookmarkEnd w:id="0"/>
      <w:r w:rsidRPr="00DC573C">
        <w:rPr>
          <w:rFonts w:eastAsia="Times New Roman" w:cs="Times New Roman"/>
          <w:color w:val="000000"/>
          <w:szCs w:val="24"/>
          <w:lang w:eastAsia="lt-LT"/>
        </w:rPr>
        <w:t>ykių, NATO ir tarptautinių organizacijų kontekste (kartu išlaikant galimybę naudoti šį sertifikatą ir atleidimo tikslais kitų netiesioginių mokesčių srityje) numatant, kad šiame sertifikate turi būti pateikiama informacija apie AAP kiekį, vertę, kilmę;</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atsisakyti reikalavimo pateikti garantiją tais atvejais, kai energiniai produktai yra gabenami vamzdynais, išskyrus tinkamai pagrįstais atvejais.</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Kartu yra teikiamas </w:t>
      </w:r>
      <w:r w:rsidRPr="00E2576D">
        <w:rPr>
          <w:rFonts w:eastAsia="Times New Roman" w:cs="Times New Roman"/>
          <w:b/>
          <w:bCs/>
          <w:color w:val="000000"/>
          <w:szCs w:val="24"/>
          <w:u w:val="single"/>
          <w:lang w:eastAsia="lt-LT"/>
        </w:rPr>
        <w:t>pasiūlymas pakeičiantis Reglamentą (EB) Nr. 389/2012 dėl administracinio bendradarbiavimo akcizų srityje, susijusį su elektroninio registro turiniu</w:t>
      </w:r>
      <w:r w:rsidRPr="00DC573C">
        <w:rPr>
          <w:rFonts w:eastAsia="Times New Roman" w:cs="Times New Roman"/>
          <w:color w:val="000000"/>
          <w:szCs w:val="24"/>
          <w:lang w:eastAsia="lt-LT"/>
        </w:rPr>
        <w:t xml:space="preserve">, kuriuo siekiama įgyvendinti  pasiūlymo dėl Tarybos direktyvos dėl bendros akcizų tvarkos nuostatas dėl sertifikuotų </w:t>
      </w:r>
      <w:r w:rsidRPr="00DC573C">
        <w:rPr>
          <w:rFonts w:eastAsia="Times New Roman" w:cs="Times New Roman"/>
          <w:color w:val="000000"/>
          <w:szCs w:val="24"/>
          <w:lang w:eastAsia="lt-LT"/>
        </w:rPr>
        <w:lastRenderedPageBreak/>
        <w:t>siuntėjų ir sertifikuotų gavėjų, taip pat siūloma numatyti asmenų registravimą centrinėje informacinėje duomenų bazėje (šiuo metu toks registravimas taikomas tik sandėlių savininkams, registruotiems gavėjams ir registruotiems siuntėjams, turintiems teisę gauti, laikyti ir išsiųsti AAP, kurioms taikomas akcizų mokėjimo laikino atidėjimo režimas).</w:t>
      </w:r>
      <w:r w:rsidRPr="00E2576D">
        <w:rPr>
          <w:rFonts w:eastAsia="Times New Roman" w:cs="Times New Roman"/>
          <w:b/>
          <w:bCs/>
          <w:color w:val="000000"/>
          <w:szCs w:val="24"/>
          <w:lang w:eastAsia="lt-LT"/>
        </w:rPr>
        <w:t> </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2019 m. gegužės 17 d.  ECOFIN posėdžio metu </w:t>
      </w:r>
      <w:r w:rsidRPr="00E2576D">
        <w:rPr>
          <w:rFonts w:eastAsia="Times New Roman" w:cs="Times New Roman"/>
          <w:b/>
          <w:bCs/>
          <w:color w:val="000000"/>
          <w:szCs w:val="24"/>
          <w:lang w:eastAsia="lt-LT"/>
        </w:rPr>
        <w:t>bus siekiama</w:t>
      </w:r>
      <w:r w:rsidRPr="00DC573C">
        <w:rPr>
          <w:rFonts w:eastAsia="Times New Roman" w:cs="Times New Roman"/>
          <w:color w:val="000000"/>
          <w:szCs w:val="24"/>
          <w:lang w:eastAsia="lt-LT"/>
        </w:rPr>
        <w:t> </w:t>
      </w:r>
      <w:r w:rsidRPr="00E2576D">
        <w:rPr>
          <w:rFonts w:eastAsia="Times New Roman" w:cs="Times New Roman"/>
          <w:b/>
          <w:bCs/>
          <w:color w:val="000000"/>
          <w:szCs w:val="24"/>
          <w:lang w:eastAsia="lt-LT"/>
        </w:rPr>
        <w:t>politinio sutarimo</w:t>
      </w:r>
      <w:r w:rsidRPr="00DC573C">
        <w:rPr>
          <w:rFonts w:eastAsia="Times New Roman" w:cs="Times New Roman"/>
          <w:color w:val="000000"/>
          <w:szCs w:val="24"/>
          <w:lang w:eastAsia="lt-LT"/>
        </w:rPr>
        <w:t> dėl šių pasiūlymų.</w:t>
      </w:r>
    </w:p>
    <w:p w:rsidR="00DC573C" w:rsidRPr="00DC573C" w:rsidRDefault="00DC573C" w:rsidP="00F25802">
      <w:pPr>
        <w:spacing w:after="0" w:line="240" w:lineRule="auto"/>
        <w:jc w:val="both"/>
        <w:rPr>
          <w:rFonts w:eastAsia="Times New Roman" w:cs="Times New Roman"/>
          <w:color w:val="000000"/>
          <w:szCs w:val="24"/>
          <w:lang w:eastAsia="lt-LT"/>
        </w:rPr>
      </w:pP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Alkoholio akcizai:</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Europos Komisija, atsižvelgdama į atliktos peržiūros rezultatus dėl Tarybos direktyvos 92/83/EEB dėl akcizų už alkoholį ir alkoholinius gėrimus, struktūrų suderinimo bei į 2016 m. gruodžio 6 d. Tarybos išvadas dėl būtinybės peržiūrėti šios direktyvos nuostatas, 2018 m. gegužės 25 d. pateikė </w:t>
      </w:r>
      <w:r w:rsidRPr="00E2576D">
        <w:rPr>
          <w:rFonts w:eastAsia="Times New Roman" w:cs="Times New Roman"/>
          <w:b/>
          <w:bCs/>
          <w:color w:val="000000"/>
          <w:szCs w:val="24"/>
          <w:lang w:eastAsia="lt-LT"/>
        </w:rPr>
        <w:t>pasiūlymą dėl Tarybos direktyvos, iš dalies keičiančios Direktyvą 92/83/EEB dėl akcizo mokesčio alkoholiui ir alkoholiniams gėrimams struktūrų suderinimo</w:t>
      </w:r>
      <w:r w:rsidRPr="00DC573C">
        <w:rPr>
          <w:rFonts w:eastAsia="Times New Roman" w:cs="Times New Roman"/>
          <w:color w:val="000000"/>
          <w:szCs w:val="24"/>
          <w:lang w:eastAsia="lt-LT"/>
        </w:rPr>
        <w:t>, kuriuo siūloma:</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1. nustatyti, kad skaičiuojant alaus akcizus taikant Plato skalės laipsnių skaičių būtų vertinami visi alaus gamybos procese naudojami ingredientai, kurie įdėti ir po alaus fermentacijos proceso, (</w:t>
      </w:r>
      <w:r w:rsidRPr="00E2576D">
        <w:rPr>
          <w:rFonts w:eastAsia="Times New Roman" w:cs="Times New Roman"/>
          <w:i/>
          <w:iCs/>
          <w:color w:val="000000"/>
          <w:szCs w:val="24"/>
          <w:lang w:eastAsia="lt-LT"/>
        </w:rPr>
        <w:t>Pastaba.</w:t>
      </w:r>
      <w:r w:rsidRPr="00DC573C">
        <w:rPr>
          <w:rFonts w:eastAsia="Times New Roman" w:cs="Times New Roman"/>
          <w:color w:val="000000"/>
          <w:szCs w:val="24"/>
          <w:lang w:eastAsia="lt-LT"/>
        </w:rPr>
        <w:t> Lietuvoje akcizai skaičiuojami taikant kitą galimą pagal ES teisę akcizų už alų skaičiavimo metodą - pagal alkoholio koncentraciją aluje už 1 procentą faktinės tūrinės alkoholio koncentracijos skaičiuojant už produkto hektolitrą, o ne pagal Plato sistemą);</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2. numatyti galimybę valstybėms narėms taikyti sumažintus akcizų tarifus alkoholiniams gėrimams, kurio alkoholio koncentracija neviršija 3,5 proc. (šiuo metu taikoma 2,8 proc. riba);</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3. numatyti galimybę valstybėms narėms taikyti sumažintus akcizų tarifus (tačiau ne mažesnius negu 50 % už standartinį nacionalinį akcizų tarifą tokiems gėrimams) mažųjų gamintojų gaminamiems:</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fermentuotiems gėrimams (kur mažaisiais gamintojais būtų laikomi asmenys per metus pagaminantys ne daugiau kaip 15000 hl);</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vynui (kur mažaisiais gamintojais būtų laikomi asmenys per metus pagaminantys ne daugiau kaip 1000 (ar 20000 hl Maltos atveju);</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tarpiniams produktams, kurių alkoholio koncentracija ne didesnė nei 15 %  (kur mažaisiais gamintojais būtų laikomi asmenys per metus pagaminantys ne daugiau kaip 250 hl).</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4. ES mastu Europos Komisijos įgyvendinamuoju teisės aktu nustatyti sertifikato, patvirtinančio mažojo alkoholinių gėrimų statusą, akcizų lengvatos taikymo tikslais (įskaitant galimybę valstybėms narėms leisti asmenims patiems patvirtinti mažojo gamintojo statusą </w:t>
      </w:r>
      <w:r w:rsidRPr="00E2576D">
        <w:rPr>
          <w:rFonts w:eastAsia="Times New Roman" w:cs="Times New Roman"/>
          <w:i/>
          <w:iCs/>
          <w:color w:val="000000"/>
          <w:szCs w:val="24"/>
          <w:lang w:eastAsia="lt-LT"/>
        </w:rPr>
        <w:t>(„</w:t>
      </w:r>
      <w:proofErr w:type="spellStart"/>
      <w:r w:rsidRPr="00E2576D">
        <w:rPr>
          <w:rFonts w:eastAsia="Times New Roman" w:cs="Times New Roman"/>
          <w:i/>
          <w:iCs/>
          <w:color w:val="000000"/>
          <w:szCs w:val="24"/>
          <w:lang w:eastAsia="lt-LT"/>
        </w:rPr>
        <w:t>self-sertification“</w:t>
      </w:r>
      <w:r w:rsidRPr="00DC573C">
        <w:rPr>
          <w:rFonts w:eastAsia="Times New Roman" w:cs="Times New Roman"/>
          <w:color w:val="000000"/>
          <w:szCs w:val="24"/>
          <w:lang w:eastAsia="lt-LT"/>
        </w:rPr>
        <w:t>);</w:t>
      </w:r>
      <w:proofErr w:type="spellEnd"/>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5. numatyti galimybę taikyti akcizų lengvatas (sumažintus tarifus ar visišką atleidimą) etilo alkoholiui 50-čiai litrų (vėliausiame kompromise Rumunijos ir Vengrijos atžvilgiu numatytas atleidimas 100 litrų išbrauktas), kurį privatus asmuo savo šeimos vartojimui (ne pardavimui) pagamina iš savo išaugintų vaisių naudodamas paprastą įrangą;</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6. siūlymas nustatyti galimybę valstybėms narėms, pasirinkti, kad akcizai už alkoholinius gėrimus  (vyną, kitus fermentuotus gėrimus, tarpinius produktus, etilo alkoholį) būtų skaičiuojami už alkoholio laipsnį produkte (kaip kad šiuo metu taikoma alaus atveju) su sąlyga, kad taikomi akcizų tarifai atitiks minimalius pagal ES teisę nurodytų produktų apmokestinimo lygiu, vėliausiame kompromise išbrauktas, protokole siūlant įrašyti, kad Europos Komisija atliks šio alternatyvaus metodo analizę;</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7. dalinai denatūruoto etilo alkoholio atveju nustatyti, kad:</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atleidimas būtų taikomas dalinai denatūruotam etilo alkoholiui, kuris naudojamas ne tik žmonių vartojimui neskirto produkto gamybai, bet ir naudojamas tokiai gamybai naudojamos įrangos valymui;</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 kompiuterinę gabenimo priežiūrą (EMCS) siūloma taikyti tik kai gabenamas grynas dalinai denatūruotas etilo alkoholis, kuris dar nėra panaudotas ne žmonių vartojimui skirto produkto gamybai;</w:t>
      </w:r>
    </w:p>
    <w:p w:rsidR="00DC573C" w:rsidRPr="00DC573C" w:rsidRDefault="00DC573C" w:rsidP="00F25802">
      <w:pPr>
        <w:spacing w:after="0" w:line="240" w:lineRule="auto"/>
        <w:jc w:val="both"/>
        <w:rPr>
          <w:rFonts w:eastAsia="Times New Roman" w:cs="Times New Roman"/>
          <w:color w:val="000000"/>
          <w:szCs w:val="24"/>
          <w:lang w:eastAsia="lt-LT"/>
        </w:rPr>
      </w:pPr>
      <w:r w:rsidRPr="00DC573C">
        <w:rPr>
          <w:rFonts w:eastAsia="Times New Roman" w:cs="Times New Roman"/>
          <w:color w:val="000000"/>
          <w:szCs w:val="24"/>
          <w:lang w:eastAsia="lt-LT"/>
        </w:rPr>
        <w:t>8. numatyti galimybę valstybėms narėms nuo akcizų atleisti etilo alkoholį, kuris naudojamas maisto papildų, kaip jie apibrėžti Direktyvoje 2002/46/EB, gamyboje, kai toks produktas tiekiamas rinkai pakuotėje ne didesnėje nei 0,15 l.</w:t>
      </w:r>
    </w:p>
    <w:p w:rsidR="000922B3" w:rsidRPr="00E2576D" w:rsidRDefault="00DC573C" w:rsidP="00F25802">
      <w:pPr>
        <w:spacing w:after="0" w:line="240" w:lineRule="auto"/>
        <w:jc w:val="both"/>
        <w:rPr>
          <w:rFonts w:cs="Times New Roman"/>
          <w:b/>
          <w:szCs w:val="24"/>
        </w:rPr>
      </w:pPr>
      <w:r w:rsidRPr="00E2576D">
        <w:rPr>
          <w:rFonts w:eastAsia="Times New Roman" w:cs="Times New Roman"/>
          <w:color w:val="000000"/>
          <w:szCs w:val="24"/>
          <w:lang w:eastAsia="lt-LT"/>
        </w:rPr>
        <w:t>Numatoma įsigaliojimo data 2021 m. sausio 1 d.</w:t>
      </w:r>
    </w:p>
    <w:p w:rsidR="000922B3" w:rsidRPr="00E2576D" w:rsidRDefault="000922B3" w:rsidP="00F25802">
      <w:pPr>
        <w:spacing w:after="0" w:line="240" w:lineRule="auto"/>
        <w:jc w:val="both"/>
        <w:rPr>
          <w:rFonts w:cs="Times New Roman"/>
          <w:b/>
          <w:szCs w:val="24"/>
          <w:u w:val="single"/>
          <w:lang w:eastAsia="lt-LT"/>
        </w:rPr>
      </w:pPr>
      <w:r w:rsidRPr="00E2576D">
        <w:rPr>
          <w:rFonts w:cs="Times New Roman"/>
          <w:b/>
          <w:szCs w:val="24"/>
          <w:u w:val="single"/>
          <w:lang w:eastAsia="lt-LT"/>
        </w:rPr>
        <w:t>Lietuvos pozicija.</w:t>
      </w:r>
      <w:r w:rsidR="00E2576D" w:rsidRPr="00E2576D">
        <w:rPr>
          <w:rFonts w:cs="Times New Roman"/>
          <w:b/>
          <w:szCs w:val="24"/>
          <w:u w:val="single"/>
          <w:lang w:eastAsia="lt-LT"/>
        </w:rPr>
        <w:t xml:space="preserve"> </w:t>
      </w:r>
      <w:r w:rsidR="00E2576D" w:rsidRPr="00E2576D">
        <w:rPr>
          <w:rFonts w:cs="Times New Roman"/>
          <w:color w:val="000000"/>
          <w:szCs w:val="24"/>
        </w:rPr>
        <w:t>Pritarti kompromisui.</w:t>
      </w:r>
    </w:p>
    <w:p w:rsidR="000922B3" w:rsidRPr="00E2576D" w:rsidRDefault="000922B3" w:rsidP="005B54DC">
      <w:pPr>
        <w:spacing w:after="0" w:line="240" w:lineRule="auto"/>
        <w:jc w:val="both"/>
        <w:rPr>
          <w:rFonts w:cs="Times New Roman"/>
          <w:b/>
          <w:szCs w:val="24"/>
        </w:rPr>
      </w:pPr>
    </w:p>
    <w:p w:rsidR="000922B3" w:rsidRDefault="000922B3" w:rsidP="005B54DC">
      <w:pPr>
        <w:spacing w:after="0" w:line="240" w:lineRule="auto"/>
        <w:jc w:val="both"/>
        <w:rPr>
          <w:rFonts w:cs="Times New Roman"/>
          <w:b/>
          <w:szCs w:val="24"/>
        </w:rPr>
      </w:pPr>
    </w:p>
    <w:p w:rsidR="00F25802" w:rsidRDefault="00F25802" w:rsidP="005B54DC">
      <w:pPr>
        <w:spacing w:after="0" w:line="240" w:lineRule="auto"/>
        <w:jc w:val="both"/>
        <w:rPr>
          <w:rFonts w:cs="Times New Roman"/>
          <w:b/>
          <w:szCs w:val="24"/>
        </w:rPr>
      </w:pPr>
    </w:p>
    <w:p w:rsidR="00F25802" w:rsidRDefault="00F25802" w:rsidP="005B54DC">
      <w:pPr>
        <w:spacing w:after="0" w:line="240" w:lineRule="auto"/>
        <w:jc w:val="both"/>
        <w:rPr>
          <w:rFonts w:cs="Times New Roman"/>
          <w:b/>
          <w:szCs w:val="24"/>
        </w:rPr>
      </w:pPr>
    </w:p>
    <w:p w:rsidR="00F25802" w:rsidRPr="00E2576D" w:rsidRDefault="00F25802" w:rsidP="005B54DC">
      <w:pPr>
        <w:spacing w:after="0" w:line="240" w:lineRule="auto"/>
        <w:jc w:val="both"/>
        <w:rPr>
          <w:rFonts w:cs="Times New Roman"/>
          <w:b/>
          <w:szCs w:val="24"/>
        </w:rPr>
      </w:pPr>
    </w:p>
    <w:p w:rsidR="0084520E" w:rsidRPr="00E2576D" w:rsidRDefault="000922B3"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E2576D">
        <w:rPr>
          <w:rFonts w:cs="Times New Roman"/>
          <w:b/>
          <w:szCs w:val="24"/>
        </w:rPr>
        <w:lastRenderedPageBreak/>
        <w:t xml:space="preserve">PVM svarbių mokėjimo duomenų perdavimas ir keitimasis jais </w:t>
      </w:r>
      <w:r w:rsidRPr="00E2576D">
        <w:rPr>
          <w:rFonts w:cs="Times New Roman"/>
          <w:i/>
          <w:szCs w:val="24"/>
        </w:rPr>
        <w:t>(bendras požiūris)</w:t>
      </w:r>
    </w:p>
    <w:p w:rsidR="00F25802" w:rsidRDefault="00F25802" w:rsidP="00F25802">
      <w:pPr>
        <w:pStyle w:val="prastasistinklapis"/>
        <w:spacing w:line="171" w:lineRule="atLeast"/>
        <w:jc w:val="both"/>
        <w:rPr>
          <w:rFonts w:eastAsia="Calibri"/>
          <w:b/>
          <w:noProof/>
          <w:u w:val="single"/>
          <w:lang w:eastAsia="en-US" w:bidi="lt-LT"/>
        </w:rPr>
      </w:pPr>
    </w:p>
    <w:p w:rsidR="00E2576D" w:rsidRPr="00E2576D" w:rsidRDefault="000922B3" w:rsidP="00F25802">
      <w:pPr>
        <w:pStyle w:val="prastasistinklapis"/>
        <w:jc w:val="both"/>
        <w:rPr>
          <w:color w:val="000000"/>
        </w:rPr>
      </w:pPr>
      <w:r w:rsidRPr="00E2576D">
        <w:rPr>
          <w:b/>
          <w:u w:val="single"/>
          <w:lang w:bidi="lt-LT"/>
        </w:rPr>
        <w:t>Klausimo esmė.</w:t>
      </w:r>
      <w:r w:rsidR="00E2576D" w:rsidRPr="00F25802">
        <w:rPr>
          <w:lang w:bidi="lt-LT"/>
        </w:rPr>
        <w:t xml:space="preserve"> </w:t>
      </w:r>
      <w:r w:rsidR="00E2576D" w:rsidRPr="00E2576D">
        <w:rPr>
          <w:color w:val="000000"/>
        </w:rPr>
        <w:t xml:space="preserve">Europos Komisija Komisijos komunikate Europos Parlamentui, Tarybai ir Europos ekonomikos ir socialinių reikalų komitetui dėl tolesnių pridėtinės vertės mokesčio (toliau – PVM) veiksmų plano veiksmų ,,Bendros ES PVM erdvės kūrimas. Laikas veikti“ įsipareigojo stiprinti mokesčių administratorių administracinius pajėgumus kovoti su sukčiavimu PVM elektroninėje prekyboje stiprinant bendradarbiavimą su trečiosiomis šalimis. 2017 m. gruodžio 5 d. Tarybos direktyva (ES) 2017/2455, kuria iš dalies keičiamos Direktyvos 2006/112/EB ir Direktyvos 2009/132/EB nuostatos, susijusios su tam tikromis pridėtinės vertės mokesčio prievolėmis, taikomomis paslaugų teikimui ir nuotolinei prekybai prekėmis (toliau – E. prekybos PVM direktyva), nustatė naujų PVM prievolių elektroninėms prekyvietėms ir naujų supaprastinimų, kad įmonėms būtų lengviau vykdyti su paslaugų teikimu, nuotoline prekyba ir importu susijusias PVM prievoles, įskaitant ir elektroninę registraciją PVM mokėtoju, PVM mokėjimą vieno langelio principu (registracija vienoje valstybėje narėje, o ne visose vartojimo valstybėse narėse). Kita vertus, įdiegiami supaprastinimai reikalauja ir papildomų mokesčių vengimo prevencijos </w:t>
      </w:r>
      <w:r w:rsidR="00F25802">
        <w:rPr>
          <w:color w:val="000000"/>
        </w:rPr>
        <w:t>priemonių nustatymo.</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Atsižvelgdama į tai, kad valstybės narės negali pavieniui veiksmingai kovoti su sukčiavimu PVM e. prekyboje, kadangi mokesčių administratoriai neturi prieigos prie informacijos apie tarptautinius verslo vartotojui prekių tiekimo arba paslaugų teikimo sandorius, be to, iš kitos pusės, </w:t>
      </w:r>
      <w:r w:rsidR="00C32423">
        <w:rPr>
          <w:rFonts w:eastAsia="Times New Roman" w:cs="Times New Roman"/>
          <w:color w:val="000000"/>
          <w:szCs w:val="24"/>
          <w:lang w:eastAsia="lt-LT"/>
        </w:rPr>
        <w:t>VN</w:t>
      </w:r>
      <w:r w:rsidRPr="00E2576D">
        <w:rPr>
          <w:rFonts w:eastAsia="Times New Roman" w:cs="Times New Roman"/>
          <w:color w:val="000000"/>
          <w:szCs w:val="24"/>
          <w:lang w:eastAsia="lt-LT"/>
        </w:rPr>
        <w:t xml:space="preserve"> mokesčių administratoriai dėl teisinių apribojimų ne visada gali keistis mokėjimų duomenimis, dėl ko dabartinės administracinio bendradarbiavimo priemonės kovoje su sukčiavimu PVM e. prekyboje yra gana neveiksmingos,</w:t>
      </w:r>
      <w:r w:rsidRPr="00E2576D">
        <w:rPr>
          <w:rFonts w:eastAsia="Times New Roman" w:cs="Times New Roman"/>
          <w:b/>
          <w:bCs/>
          <w:color w:val="000000"/>
          <w:szCs w:val="24"/>
          <w:lang w:eastAsia="lt-LT"/>
        </w:rPr>
        <w:t> 2018 m. gruodžio 12 d. Europos Komisija pateikė</w:t>
      </w:r>
      <w:r w:rsidR="00F25802">
        <w:rPr>
          <w:rFonts w:eastAsia="Times New Roman" w:cs="Times New Roman"/>
          <w:color w:val="000000"/>
          <w:szCs w:val="24"/>
          <w:lang w:eastAsia="lt-LT"/>
        </w:rPr>
        <w:t xml:space="preserve"> </w:t>
      </w:r>
      <w:r w:rsidRPr="00E2576D">
        <w:rPr>
          <w:rFonts w:eastAsia="Times New Roman" w:cs="Times New Roman"/>
          <w:color w:val="000000"/>
          <w:szCs w:val="24"/>
          <w:lang w:eastAsia="lt-LT"/>
        </w:rPr>
        <w:t>Tarybos direktyvos 2006/112/EB dėl pridėtinės vertės mokesčio bendros sistemos ir Tarybos reglamento (ES) Nr. 904/2010 dėl administracinio bendradarbiavimo ir kovos su sukčiavimu pridėtinės vertės mokesčio srityje </w:t>
      </w:r>
      <w:r w:rsidRPr="00E2576D">
        <w:rPr>
          <w:rFonts w:eastAsia="Times New Roman" w:cs="Times New Roman"/>
          <w:b/>
          <w:bCs/>
          <w:color w:val="000000"/>
          <w:szCs w:val="24"/>
          <w:lang w:eastAsia="lt-LT"/>
        </w:rPr>
        <w:t>pakeitimus, siūlydama </w:t>
      </w:r>
      <w:r w:rsidRPr="00E2576D">
        <w:rPr>
          <w:rFonts w:eastAsia="Times New Roman" w:cs="Times New Roman"/>
          <w:color w:val="000000"/>
          <w:szCs w:val="24"/>
          <w:lang w:eastAsia="lt-LT"/>
        </w:rPr>
        <w:t>į minėtą direktyvą ir reglamentą įtraukti priemones, sukurtas stiprinti mokesčių administratorių bendradarbiavimą su trečiosiomis šalimis - mokėjimo paslaugų teikėjais (kredito įstaigomis, elektroninių pinigų įstaigomis, pašto žiro įstaigomis, mokėjimo įstaigomis, centriniais bankais), taip pat stiprinti administracinio bendradarbiavimo sistemą.</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Teikiamu pasiūlymu dėl Direktyvos 2006/112/EB</w:t>
      </w:r>
      <w:r w:rsidRPr="00E2576D">
        <w:rPr>
          <w:rFonts w:eastAsia="Times New Roman" w:cs="Times New Roman"/>
          <w:color w:val="000000"/>
          <w:szCs w:val="24"/>
          <w:lang w:eastAsia="lt-LT"/>
        </w:rPr>
        <w:t>:</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papildoma esama PVM reglamentavimo sistema, joje mokėjimo paslaugų teikėjams nustatant naują duomenų saugojimo ir sukauptos informacijos pateikimo mokesčių administratoriui prievolę;</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 nustatoma bendra taisyklė, kad mokėjimo paslaugų teikėjai (tiek gavėjo, tiek mokėtojo) turės saugoti duomenis apie mokėjimo operacijas, susijusius su jų teikiamomis mokėjimo paslaugomis. Šis reikalavimas taikomas tada, kai galioja abi šios sąlygos: 1) mokėjimo paslaugų teikėjas perveda lėšas iš vienoje valstybėje narėje esančio mokėtojo kitoje valstybėje narėje, trečiojoje teritorijoje arba trečiojoje valstybėje esančiam gavėjui ir 2) mokėjimo paslaugų teikėjas per kalendorinį ketvirtį įvykdo daugiau kaip 25 mokėjimo tam pačiam gavėjui operacijas. Bet taikoma išimtis: kai lėšos iš vienoje valstybėje narėje esančio mokėtojo bus pervedamos gavėjui, kuris turi sąskaitą bent vienoje iš </w:t>
      </w:r>
      <w:r w:rsidR="00C32423">
        <w:rPr>
          <w:rFonts w:eastAsia="Times New Roman" w:cs="Times New Roman"/>
          <w:color w:val="000000"/>
          <w:szCs w:val="24"/>
          <w:lang w:eastAsia="lt-LT"/>
        </w:rPr>
        <w:t>VN</w:t>
      </w:r>
      <w:r w:rsidRPr="00E2576D">
        <w:rPr>
          <w:rFonts w:eastAsia="Times New Roman" w:cs="Times New Roman"/>
          <w:color w:val="000000"/>
          <w:szCs w:val="24"/>
          <w:lang w:eastAsia="lt-LT"/>
        </w:rPr>
        <w:t>, tai duomenis turės saugoti tik minėtas gavėjo mokėjimo paslaugų teikėjas.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išdėstomos taisyklės, kokia valstybė narė laikoma mokėtojo/gavėjo vieta;</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nustatoma, kokia informacija turi būti saugoma, kiek laiko ji turi būti saugoma (3 metai).</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Teikiamu pasiūlymu dėl Reglamento Nr. 904/2010</w:t>
      </w:r>
      <w:r w:rsidRPr="00E2576D">
        <w:rPr>
          <w:rFonts w:eastAsia="Times New Roman" w:cs="Times New Roman"/>
          <w:color w:val="000000"/>
          <w:szCs w:val="24"/>
          <w:lang w:eastAsia="lt-LT"/>
        </w:rPr>
        <w:t>:</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sukuriama nauja su PVM susijusių mokėjimų duomenų bazė (ją sukurs Komisija), prie kurios valstybės narės galės jungtis tik kovos su sukčiavimu PVM tikslais;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valstybėms narėms nustatoma papildoma prievolė rinkti įrašus, kuriuos paslaugų teikėjai pagal pasiūlymo dėl Direktyvos 2006/112/EB nuostatas teiks elektroniniu formatu (Komisija patvirtins tų įrašų rinkimo bendrą elektroninę formą);</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taip pat valstybėms narėms nustatoma prievolė minėtai duomenų bazei kas ketvirtį perduoti informaciją, surenkamą iš jų valstybėje narėje įsisteigusių mokėjimo paslaugų teikėjų;</w:t>
      </w:r>
    </w:p>
    <w:p w:rsidR="000922B3" w:rsidRPr="00E2576D" w:rsidRDefault="00E2576D" w:rsidP="00F25802">
      <w:pPr>
        <w:spacing w:after="0" w:line="240" w:lineRule="auto"/>
        <w:jc w:val="both"/>
        <w:rPr>
          <w:rFonts w:cs="Times New Roman"/>
          <w:b/>
          <w:szCs w:val="24"/>
        </w:rPr>
      </w:pPr>
      <w:r w:rsidRPr="00E2576D">
        <w:rPr>
          <w:rFonts w:eastAsia="Times New Roman" w:cs="Times New Roman"/>
          <w:color w:val="000000"/>
          <w:szCs w:val="24"/>
          <w:lang w:eastAsia="lt-LT"/>
        </w:rPr>
        <w:t>- nustatoma, kad duomenų bazėje iš valstybių narių kompetentingų institucijų gauta bendra mokėjimų informacija bus agreguojama pagal konkrečius lėšų gavėjus. Ši informacija bus saugoma 5 metus.</w:t>
      </w:r>
    </w:p>
    <w:p w:rsidR="00E2576D" w:rsidRPr="00E2576D" w:rsidRDefault="000922B3" w:rsidP="00F25802">
      <w:pPr>
        <w:pStyle w:val="prastasistinklapis"/>
        <w:rPr>
          <w:color w:val="000000"/>
        </w:rPr>
      </w:pPr>
      <w:r w:rsidRPr="00E2576D">
        <w:rPr>
          <w:b/>
          <w:u w:val="single"/>
        </w:rPr>
        <w:t>Lietuvos pozicija.</w:t>
      </w:r>
      <w:r w:rsidR="00E2576D" w:rsidRPr="00E2576D">
        <w:rPr>
          <w:b/>
          <w:u w:val="single"/>
        </w:rPr>
        <w:t xml:space="preserve"> </w:t>
      </w:r>
      <w:r w:rsidR="00E2576D" w:rsidRPr="00E2576D">
        <w:rPr>
          <w:color w:val="000000"/>
        </w:rPr>
        <w:t>Lietuva nuosekliai remia veiksmus, kuriais siekiama veiksmingai kovoti su sukčiavimu mokesčių srityje. Pasiūlymas sudarytų prielaidas nustatyti ir efektyviai panaudoti mokėjimų informaciją, reikalingą kovojant su sukčiavimu e. prekyboje PVM.</w:t>
      </w:r>
    </w:p>
    <w:p w:rsidR="00E2576D" w:rsidRPr="00E2576D" w:rsidRDefault="00E2576D" w:rsidP="00E2576D">
      <w:pPr>
        <w:spacing w:after="0" w:line="240" w:lineRule="auto"/>
        <w:rPr>
          <w:rFonts w:eastAsia="Times New Roman" w:cs="Times New Roman"/>
          <w:color w:val="000000"/>
          <w:szCs w:val="24"/>
          <w:lang w:eastAsia="lt-LT"/>
        </w:rPr>
      </w:pPr>
      <w:r w:rsidRPr="00E2576D">
        <w:rPr>
          <w:rFonts w:eastAsia="Times New Roman" w:cs="Times New Roman"/>
          <w:color w:val="000000"/>
          <w:szCs w:val="24"/>
          <w:lang w:eastAsia="lt-LT"/>
        </w:rPr>
        <w:lastRenderedPageBreak/>
        <w:t>Manome, kad siūlomas PVM direktyvos bei administracinio bendradarbiavimo reglamento pakeitimo pasiūlymas yra tinkamas pagrindas:</w:t>
      </w:r>
    </w:p>
    <w:p w:rsidR="00E2576D" w:rsidRPr="00E2576D" w:rsidRDefault="00E2576D" w:rsidP="00E2576D">
      <w:pPr>
        <w:spacing w:after="0" w:line="240" w:lineRule="auto"/>
        <w:rPr>
          <w:rFonts w:eastAsia="Times New Roman" w:cs="Times New Roman"/>
          <w:color w:val="000000"/>
          <w:szCs w:val="24"/>
          <w:lang w:eastAsia="lt-LT"/>
        </w:rPr>
      </w:pPr>
      <w:r w:rsidRPr="00E2576D">
        <w:rPr>
          <w:rFonts w:eastAsia="Times New Roman" w:cs="Times New Roman"/>
          <w:color w:val="000000"/>
          <w:szCs w:val="24"/>
          <w:lang w:eastAsia="lt-LT"/>
        </w:rPr>
        <w:t>- sukurti naują su PVM susijusių mokėjimų duomenų bazę;</w:t>
      </w:r>
    </w:p>
    <w:p w:rsidR="00E2576D" w:rsidRPr="00E2576D" w:rsidRDefault="00E2576D" w:rsidP="00E2576D">
      <w:pPr>
        <w:spacing w:after="0" w:line="240" w:lineRule="auto"/>
        <w:rPr>
          <w:rFonts w:eastAsia="Times New Roman" w:cs="Times New Roman"/>
          <w:color w:val="000000"/>
          <w:szCs w:val="24"/>
          <w:lang w:eastAsia="lt-LT"/>
        </w:rPr>
      </w:pPr>
      <w:r w:rsidRPr="00E2576D">
        <w:rPr>
          <w:rFonts w:eastAsia="Times New Roman" w:cs="Times New Roman"/>
          <w:color w:val="000000"/>
          <w:szCs w:val="24"/>
          <w:lang w:eastAsia="lt-LT"/>
        </w:rPr>
        <w:t>- stiprinti administracinio bendradarbiavimo sistemą diegiant pažangias sistemas bei plečiant apmokestinimui reikšmingos informacijos mainų apimtis.</w:t>
      </w:r>
      <w:r w:rsidRPr="00E2576D">
        <w:rPr>
          <w:rFonts w:eastAsia="Times New Roman" w:cs="Times New Roman"/>
          <w:color w:val="000000"/>
          <w:szCs w:val="24"/>
          <w:lang w:eastAsia="lt-LT"/>
        </w:rPr>
        <w:br/>
        <w:t>Atsižvelgdami į tai, reiškiame pritarimą Komisijos pateiktam pasiūlymui.</w:t>
      </w:r>
    </w:p>
    <w:p w:rsidR="000922B3" w:rsidRDefault="000922B3" w:rsidP="00827E85">
      <w:pPr>
        <w:spacing w:after="0" w:line="240" w:lineRule="auto"/>
        <w:jc w:val="both"/>
        <w:rPr>
          <w:rFonts w:eastAsia="Calibri" w:cs="Times New Roman"/>
          <w:noProof/>
          <w:szCs w:val="24"/>
          <w:u w:val="single"/>
          <w:lang w:bidi="lt-LT"/>
        </w:rPr>
      </w:pPr>
    </w:p>
    <w:p w:rsidR="00F25802" w:rsidRPr="00E2576D" w:rsidRDefault="00F25802" w:rsidP="00827E85">
      <w:pPr>
        <w:spacing w:after="0" w:line="240" w:lineRule="auto"/>
        <w:jc w:val="both"/>
        <w:rPr>
          <w:rFonts w:eastAsia="Calibri" w:cs="Times New Roman"/>
          <w:noProof/>
          <w:szCs w:val="24"/>
          <w:u w:val="single"/>
          <w:lang w:bidi="lt-LT"/>
        </w:rPr>
      </w:pPr>
    </w:p>
    <w:p w:rsidR="000E0FF2" w:rsidRPr="00E2576D" w:rsidRDefault="000922B3"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E2576D">
        <w:rPr>
          <w:rFonts w:cs="Times New Roman"/>
          <w:b/>
          <w:szCs w:val="24"/>
        </w:rPr>
        <w:t xml:space="preserve">Direktyvos dėl bendros PVM sistemos pakeitimai, susiję su specialia mažosioms įmonėms skirta schema </w:t>
      </w:r>
      <w:r w:rsidRPr="00E2576D">
        <w:rPr>
          <w:rFonts w:cs="Times New Roman"/>
          <w:i/>
          <w:szCs w:val="24"/>
        </w:rPr>
        <w:t>(politinis sutarimas)</w:t>
      </w:r>
    </w:p>
    <w:p w:rsidR="00827E85" w:rsidRPr="00E2576D" w:rsidRDefault="00827E85" w:rsidP="00827E85">
      <w:pPr>
        <w:pStyle w:val="Text1"/>
        <w:tabs>
          <w:tab w:val="left" w:pos="5295"/>
        </w:tabs>
        <w:ind w:left="0" w:right="31"/>
        <w:jc w:val="both"/>
        <w:rPr>
          <w:rFonts w:eastAsiaTheme="minorHAnsi"/>
          <w:szCs w:val="24"/>
          <w:lang w:val="lt-LT"/>
        </w:rPr>
      </w:pPr>
    </w:p>
    <w:p w:rsidR="00E2576D" w:rsidRPr="00E2576D" w:rsidRDefault="000922B3" w:rsidP="00F25802">
      <w:pPr>
        <w:pStyle w:val="prastasistinklapis"/>
        <w:jc w:val="both"/>
        <w:rPr>
          <w:color w:val="000000"/>
        </w:rPr>
      </w:pPr>
      <w:r w:rsidRPr="00E2576D">
        <w:rPr>
          <w:b/>
          <w:u w:val="single"/>
          <w:lang w:bidi="lt-LT"/>
        </w:rPr>
        <w:t>Klausimo esmė.</w:t>
      </w:r>
      <w:r w:rsidR="00E2576D" w:rsidRPr="00E2576D">
        <w:rPr>
          <w:b/>
          <w:u w:val="single"/>
          <w:lang w:bidi="lt-LT"/>
        </w:rPr>
        <w:t xml:space="preserve"> </w:t>
      </w:r>
      <w:r w:rsidR="00E2576D" w:rsidRPr="00E2576D">
        <w:rPr>
          <w:color w:val="000000"/>
        </w:rPr>
        <w:t>Šis pasiūlymas yra viena iš PVM paketo, kuriuo Europos Komisija įgyvendina siekį modernizuoti dabartinę ES PVM sistemą, kad ji taptų paprastesnė, geriau apsaugota nuo sukčiavimo ir palanki verslui, dalių.</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Tikslas – sukurti modernią PVM prievolių supaprastinimo mažoms ir vidutinėms įmonėms (toliau – MVĮ) schemą, kuri padėtų sumažinti PVM prievolių įgyvendinimo kaštus, konkurencingumo ir neigiamą poveikį, kurį sukuria registravimosi ribos nustatymas, taip pat supaprastinti teisės aktų laikymosi reikalavimus MVĮ bei teisės aktų laikymosi </w:t>
      </w:r>
      <w:proofErr w:type="spellStart"/>
      <w:r w:rsidRPr="00E2576D">
        <w:rPr>
          <w:rFonts w:eastAsia="Times New Roman" w:cs="Times New Roman"/>
          <w:color w:val="000000"/>
          <w:szCs w:val="24"/>
          <w:lang w:eastAsia="lt-LT"/>
        </w:rPr>
        <w:t>stebėsenos</w:t>
      </w:r>
      <w:proofErr w:type="spellEnd"/>
      <w:r w:rsidRPr="00E2576D">
        <w:rPr>
          <w:rFonts w:eastAsia="Times New Roman" w:cs="Times New Roman"/>
          <w:color w:val="000000"/>
          <w:szCs w:val="24"/>
          <w:lang w:eastAsia="lt-LT"/>
        </w:rPr>
        <w:t xml:space="preserve"> naštą mokesčių administracijoms.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Pirminiame 2018 m. sausio mėnesį pateiktame Europos Komisijos (EK) dokumente buvo siūloma</w:t>
      </w:r>
      <w:r w:rsidRPr="00E2576D">
        <w:rPr>
          <w:rFonts w:eastAsia="Times New Roman" w:cs="Times New Roman"/>
          <w:color w:val="000000"/>
          <w:szCs w:val="24"/>
          <w:lang w:eastAsia="lt-LT"/>
        </w:rPr>
        <w:t>:</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1. Sudaryti valstybėms narėms (toliau – VN) galimybę nuo PVM mokėjimo atleisti ir MVĮ, kuris nėra įsisteigusios VN, kurioje vykdo veiklą (šiuo metu atleidimas nuo PVM gali būti taikomas tik VN įsisteigusioms MVĮ).</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2. Nustatyti, kad maksimali nacionalinė metinė registravimosi PVM mokėtojais apyvartos šalies teritorijoje riba negali būti didesnė nei 85 000 eurų (šiuo metu VN taiko direktyvoje nustatytas arba pagal išlygas suteiktas registravimosi PVM mokėtojais ribas, Lietuvoje taikoma 45 000 eurų dydžio riba).</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Tačiau jei VN taikys atleidimą nuo PVM šalies teritorijoje įsisteigusioms MVĮ, turės nuo PVM mokėjimo atleisti ir šalies teritorijoje neįsisteigusias MVĮ, kurių: 1) ES metinė apyvartos riba neviršija 100 000 eurų; ir 2) metinė apyvarta šalies teritorijoje neviršija tos VN teritorijoje nustatytos nacionalinės ribos. Be to, įsisteigimo VN turės užtikrinti, kad būtų deklaruoti tikslūs MVĮ ES metinės apyvartos duomenys ir metinės nacionalinės apyvartos VN duomenys bei pateikti informaciją kitų atitinkamų VN, kuriose MVĮ tieks prekes (teiks paslaugas), mokesčių administratoriams;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3. Leisti taikyti metinį pereinamąjį laikotarpį MVĮ </w:t>
      </w:r>
      <w:r w:rsidRPr="00E2576D">
        <w:rPr>
          <w:rFonts w:eastAsia="Times New Roman" w:cs="Times New Roman"/>
          <w:color w:val="000000"/>
          <w:szCs w:val="24"/>
          <w:lang w:eastAsia="lt-LT"/>
        </w:rPr>
        <w:noBreakHyphen/>
        <w:t xml:space="preserve"> MVĮ, kurios viršys VN nustatytą metinę nacionalinę ir/arba ES registravimosi ribą (bet ne daugiau nei 50 proc.), tais kalendoriniais metais galės dar nesiregistruoti PVM mokėtojomis ir naudotis atleidimu;</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4. Numatyti kitus PVM prievolių supaprastinimus: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a) VN būtų sudaryta galimybė nustatyti neprivalomus supaprastinimus MVĮ, kuriam taikomas atleidimas nuo PVM:</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nereikalauti gauti PVM numerį arba, jei VN jo reikalaus, turės nustatyti supaprastintą jo įgijimo procedūrą;</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nereikalauti pagal PVM direktyvos nuostatas išrašyti PVM sąskaitų su atitinkamais PVM direktyvoje nustatytais jų rekvizitais;</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atleisti nuo tam tikrų PVM direktyvoje nustatytų apskaitos reikalavimų;</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nereikalauti teikti PVM deklaracijas, o jei VN reikalauja ją pateikti, ji turės būti supaprastinta ir jos mokestinis laikotarpis turėtų apimti kalendorinius metus (verslas galės pasirinkti teikti įprastinę PVM deklaraciją);</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atleisti nuo tam tikrų ar visų PVM direktyvos 217-271 straipsniuose nurodytų prievolių (susijusių su sąskaitom faktūrom, jų išrašymu ir saugojimu, apskaita, deklaracijų pateikimu).</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b) VN privalėtų visam smulkiam verslui, kurio ES metinė apyvartos riba neviršija 2 mln. eurų nustatyti supaprastinimus (supaprastintą PVM numerio įgijimo procedūrą, supaprastintas su PVM sąskaitų faktūrų saugojimu susijusias prievoles, leisti išrašyti supaprastintas PVM sąskaitas faktūras ir pan.)</w:t>
      </w:r>
    </w:p>
    <w:p w:rsidR="00E2576D" w:rsidRPr="00E2576D" w:rsidRDefault="00E2576D" w:rsidP="00F25802">
      <w:pPr>
        <w:spacing w:after="0" w:line="240" w:lineRule="auto"/>
        <w:jc w:val="both"/>
        <w:rPr>
          <w:rFonts w:eastAsia="Times New Roman" w:cs="Times New Roman"/>
          <w:color w:val="000000"/>
          <w:szCs w:val="24"/>
          <w:lang w:eastAsia="lt-LT"/>
        </w:rPr>
      </w:pP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Šis EK pasiūlymas 2018-2019 m. buvo intensyviai nagrinėtas ES Tarybos Mokesčių klausimų darbo grupėje.</w:t>
      </w:r>
    </w:p>
    <w:p w:rsidR="00E2576D" w:rsidRPr="00E2576D" w:rsidRDefault="00E2576D" w:rsidP="00F25802">
      <w:pPr>
        <w:spacing w:after="0" w:line="240" w:lineRule="auto"/>
        <w:jc w:val="both"/>
        <w:rPr>
          <w:rFonts w:eastAsia="Times New Roman" w:cs="Times New Roman"/>
          <w:color w:val="000000"/>
          <w:szCs w:val="24"/>
          <w:lang w:eastAsia="lt-LT"/>
        </w:rPr>
      </w:pP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lastRenderedPageBreak/>
        <w:t>2018 m. antrąjį pusmetį pirmininkavusios Austrijos metu buvo atlikta keletas reikšmingų pakeitimų:</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E2576D" w:rsidRPr="00E2576D">
        <w:rPr>
          <w:rFonts w:eastAsia="Times New Roman" w:cs="Times New Roman"/>
          <w:color w:val="000000"/>
          <w:szCs w:val="24"/>
          <w:lang w:eastAsia="lt-LT"/>
        </w:rPr>
        <w:t>atsisakyta pasiūlymų dėl supaprastinimų MVĮ, kurių ES metinė apyvartos riba neviršija 2 mln. eurų (</w:t>
      </w:r>
      <w:r w:rsidR="00E2576D" w:rsidRPr="00E2576D">
        <w:rPr>
          <w:rFonts w:eastAsia="Times New Roman" w:cs="Times New Roman"/>
          <w:i/>
          <w:iCs/>
          <w:color w:val="000000"/>
          <w:szCs w:val="24"/>
          <w:lang w:eastAsia="lt-LT"/>
        </w:rPr>
        <w:t>buvo aktualu ir Lietuvai</w:t>
      </w:r>
      <w:r w:rsidR="00E2576D" w:rsidRPr="00E2576D">
        <w:rPr>
          <w:rFonts w:eastAsia="Times New Roman" w:cs="Times New Roman"/>
          <w:color w:val="000000"/>
          <w:szCs w:val="24"/>
          <w:lang w:eastAsia="lt-LT"/>
        </w:rPr>
        <w:t>);</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E2576D" w:rsidRPr="00E2576D">
        <w:rPr>
          <w:rFonts w:eastAsia="Times New Roman" w:cs="Times New Roman"/>
          <w:color w:val="000000"/>
          <w:szCs w:val="24"/>
          <w:lang w:eastAsia="lt-LT"/>
        </w:rPr>
        <w:t>dokumentas papildytas nuostatomis dėl PVM atskaitos suteikimo MVĮ, kurios neįsisteigimo VN vykdo apmokestinamą veiklą, t.y. kad tokios MVĮ įgytų teisę atskaityti PVM už prekes (paslaugas), skirtas tose kitose VN vykdomai PVM apmokestinamai veiklai;</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E2576D" w:rsidRPr="00E2576D">
        <w:rPr>
          <w:rFonts w:eastAsia="Times New Roman" w:cs="Times New Roman"/>
          <w:color w:val="000000"/>
          <w:szCs w:val="24"/>
          <w:lang w:eastAsia="lt-LT"/>
        </w:rPr>
        <w:t>pasiūlytas paprastesnis pereinamojo laikotarpio skaičiavimas.</w:t>
      </w:r>
    </w:p>
    <w:p w:rsidR="00E2576D" w:rsidRPr="00E2576D" w:rsidRDefault="00E2576D" w:rsidP="00F25802">
      <w:pPr>
        <w:spacing w:after="0" w:line="240" w:lineRule="auto"/>
        <w:jc w:val="both"/>
        <w:rPr>
          <w:rFonts w:eastAsia="Times New Roman" w:cs="Times New Roman"/>
          <w:color w:val="000000"/>
          <w:szCs w:val="24"/>
          <w:lang w:eastAsia="lt-LT"/>
        </w:rPr>
      </w:pP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2019 m. pirmąjį pusmetį pirmininkavusios Rumunijos parengtuose kompromisiniuose tekstuose buvo atlikti šie reikšmingi pakeitimai:</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1. </w:t>
      </w:r>
      <w:r w:rsidR="00E2576D" w:rsidRPr="00E2576D">
        <w:rPr>
          <w:rFonts w:eastAsia="Times New Roman" w:cs="Times New Roman"/>
          <w:color w:val="000000"/>
          <w:szCs w:val="24"/>
          <w:lang w:eastAsia="lt-LT"/>
        </w:rPr>
        <w:t xml:space="preserve">Padidinti nacionalinės metinės apyvartos ir ES metinės apyvartos ribų dydžiai </w:t>
      </w:r>
      <w:r w:rsidR="00E2576D" w:rsidRPr="00E2576D">
        <w:rPr>
          <w:rFonts w:eastAsia="Times New Roman" w:cs="Times New Roman"/>
          <w:color w:val="000000"/>
          <w:szCs w:val="24"/>
          <w:lang w:eastAsia="lt-LT"/>
        </w:rPr>
        <w:noBreakHyphen/>
        <w:t xml:space="preserve">  nustatyta maksimali nacionalinė metinė 100 000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dydžio registravimosi PVM mokėtojais apyvartos ribą (pirminiame EK pasiūlyme buvo 85 000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taip pat 115 000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dydžio ES metinė apyvartos riba (pirminiame EK pasiūlyme buvo siūloma 100 000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2. </w:t>
      </w:r>
      <w:r w:rsidR="00E2576D" w:rsidRPr="00E2576D">
        <w:rPr>
          <w:rFonts w:eastAsia="Times New Roman" w:cs="Times New Roman"/>
          <w:color w:val="000000"/>
          <w:szCs w:val="24"/>
          <w:lang w:eastAsia="lt-LT"/>
        </w:rPr>
        <w:t>Numatytos informacijos pateikimo prievolės MVĮ, ketinančioms pasinaudoti schema kitose VN (informacijos pateikimas apie ketinimą naudotis schema kitose VN, apie schemos naudojimosi metu įsisteigimo ir kito VN sugeneruotas apyvartas (kas kalendorinį ketvirtį), apie ES apyvartos ribos viršijimą).</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3. </w:t>
      </w:r>
      <w:r w:rsidR="00E2576D" w:rsidRPr="00E2576D">
        <w:rPr>
          <w:rFonts w:eastAsia="Times New Roman" w:cs="Times New Roman"/>
          <w:color w:val="000000"/>
          <w:szCs w:val="24"/>
          <w:lang w:eastAsia="lt-LT"/>
        </w:rPr>
        <w:t>Numatytos prievolės įsisteigimo VN mokesčių administracijoms (identifikacinio numerio MVĮ suteikimas, informacijos saugojimo elektroninėse sistemose, informacijos perdavimo).</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4. </w:t>
      </w:r>
      <w:r w:rsidR="00E2576D" w:rsidRPr="00E2576D">
        <w:rPr>
          <w:rFonts w:eastAsia="Times New Roman" w:cs="Times New Roman"/>
          <w:color w:val="000000"/>
          <w:szCs w:val="24"/>
          <w:lang w:eastAsia="lt-LT"/>
        </w:rPr>
        <w:t>Numatyti PVM prievolių supaprastinimai MVĮ:</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w:t>
      </w:r>
      <w:r w:rsidR="00E2576D" w:rsidRPr="00E2576D">
        <w:rPr>
          <w:rFonts w:eastAsia="Times New Roman" w:cs="Times New Roman"/>
          <w:color w:val="000000"/>
          <w:szCs w:val="24"/>
          <w:lang w:eastAsia="lt-LT"/>
        </w:rPr>
        <w:t>VN turės atleisti kitoje VN įsisteigusias MVĮ nuo prievolės registruotis ir teikti PVM deklaracijas, jei MVĮ tą daro savo įsisteigimo VN.</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w:t>
      </w:r>
      <w:r w:rsidR="00E2576D" w:rsidRPr="00E2576D">
        <w:rPr>
          <w:rFonts w:eastAsia="Times New Roman" w:cs="Times New Roman"/>
          <w:color w:val="000000"/>
          <w:szCs w:val="24"/>
          <w:lang w:eastAsia="lt-LT"/>
        </w:rPr>
        <w:t>VN galės atleisti MVĮ, veikiančias tik įsisteigimo VN, nuo prievolės gauti identifikavimo numerį ir teikti deklaracijas (turės teikti už kalendorinių metų laikotarpį)</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w:t>
      </w:r>
      <w:r w:rsidR="00E2576D" w:rsidRPr="00E2576D">
        <w:rPr>
          <w:rFonts w:eastAsia="Times New Roman" w:cs="Times New Roman"/>
          <w:color w:val="000000"/>
          <w:szCs w:val="24"/>
          <w:lang w:eastAsia="lt-LT"/>
        </w:rPr>
        <w:t>VN galės atleisti MVĮ nuo tam tikrų prievolių, susijusių su sąskaitom faktūrom, jų išrašymu ir saugojimu, apskaita, deklaracijų pateikimu.</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5. </w:t>
      </w:r>
      <w:r w:rsidR="00E2576D" w:rsidRPr="00E2576D">
        <w:rPr>
          <w:rFonts w:eastAsia="Times New Roman" w:cs="Times New Roman"/>
          <w:color w:val="000000"/>
          <w:szCs w:val="24"/>
          <w:lang w:eastAsia="lt-LT"/>
        </w:rPr>
        <w:t>MVĮ leidžiama taikyti pereinamąjį laikotarpį, t.y. MVĮ, einamaisiais kalendoriniais metais viršijus nacionalinę apyvartą ne daugiau kaip tam tikras procentinis dydis, tais kalendoriniais metais dar gali naudotis schema. VN gali pasirinkti taikyti vieną iš dviejų procentinių dydžių:</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w:t>
      </w:r>
      <w:r w:rsidR="00E2576D" w:rsidRPr="00E2576D">
        <w:rPr>
          <w:rFonts w:eastAsia="Times New Roman" w:cs="Times New Roman"/>
          <w:color w:val="000000"/>
          <w:szCs w:val="24"/>
          <w:lang w:eastAsia="lt-LT"/>
        </w:rPr>
        <w:t>10 proc.;</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w:t>
      </w:r>
      <w:r w:rsidR="00E2576D" w:rsidRPr="00E2576D">
        <w:rPr>
          <w:rFonts w:eastAsia="Times New Roman" w:cs="Times New Roman"/>
          <w:color w:val="000000"/>
          <w:szCs w:val="24"/>
          <w:lang w:eastAsia="lt-LT"/>
        </w:rPr>
        <w:t>25 proc., tačiau viršutinė apyvartos riba negali būti didesnė nei 100 000 eurų.</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6. </w:t>
      </w:r>
      <w:r w:rsidR="00E2576D" w:rsidRPr="00E2576D">
        <w:rPr>
          <w:rFonts w:eastAsia="Times New Roman" w:cs="Times New Roman"/>
          <w:color w:val="000000"/>
          <w:szCs w:val="24"/>
          <w:lang w:eastAsia="lt-LT"/>
        </w:rPr>
        <w:t>Atsisakyta Austrijos pirmininkavimo metu įterptų papildymų dėl PVM atskaitos suteikimo MVĮ tais atvejais, kai jos vykdo apmokestinamą veiklą kitoje VN.</w:t>
      </w: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7. Siūloma, kad pakeitimai įsigaliotų nuo 2024 m. sausio 1 dienos.</w:t>
      </w:r>
    </w:p>
    <w:p w:rsidR="00E2576D" w:rsidRPr="00E2576D" w:rsidRDefault="00E2576D" w:rsidP="00F25802">
      <w:pPr>
        <w:spacing w:after="0" w:line="240" w:lineRule="auto"/>
        <w:jc w:val="both"/>
        <w:rPr>
          <w:rFonts w:eastAsia="Times New Roman" w:cs="Times New Roman"/>
          <w:color w:val="000000"/>
          <w:szCs w:val="24"/>
          <w:lang w:eastAsia="lt-LT"/>
        </w:rPr>
      </w:pP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2019 m. antrąjį pusmetį pirmininkavusios Suomijos </w:t>
      </w:r>
      <w:r w:rsidRPr="00E2576D">
        <w:rPr>
          <w:rFonts w:eastAsia="Times New Roman" w:cs="Times New Roman"/>
          <w:color w:val="000000"/>
          <w:szCs w:val="24"/>
          <w:lang w:eastAsia="lt-LT"/>
        </w:rPr>
        <w:t>parengtuose kompromisiniuose tekstuose buvo atlikta nemažai techninio pobūdžio pakeitimų ir suderinimų, taip pat įtvirtinta identifikacinio kodo MVĮ struktūra (galima naudoti arba jau esamus, arba sukurti naujus kodus, tačiau turi būti pridedamas sufiksas „EX“.)</w:t>
      </w:r>
    </w:p>
    <w:p w:rsidR="00E2576D" w:rsidRPr="00E2576D" w:rsidRDefault="00E2576D" w:rsidP="00F25802">
      <w:pPr>
        <w:spacing w:after="0" w:line="240" w:lineRule="auto"/>
        <w:jc w:val="both"/>
        <w:rPr>
          <w:rFonts w:eastAsia="Times New Roman" w:cs="Times New Roman"/>
          <w:color w:val="000000"/>
          <w:szCs w:val="24"/>
          <w:lang w:eastAsia="lt-LT"/>
        </w:rPr>
      </w:pPr>
    </w:p>
    <w:p w:rsidR="00E2576D" w:rsidRPr="00E2576D" w:rsidRDefault="00E2576D" w:rsidP="00F25802">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u w:val="single"/>
          <w:lang w:eastAsia="lt-LT"/>
        </w:rPr>
        <w:t>Pagrindiniai klausimai, dėl kurių nėra rastas bendras susitarimas arba dėl kurių gali kilti diskusijos:</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a) </w:t>
      </w:r>
      <w:r w:rsidR="00E2576D" w:rsidRPr="00E2576D">
        <w:rPr>
          <w:rFonts w:eastAsia="Times New Roman" w:cs="Times New Roman"/>
          <w:color w:val="000000"/>
          <w:szCs w:val="24"/>
          <w:lang w:eastAsia="lt-LT"/>
        </w:rPr>
        <w:t>pusiausvyros tarp pasiūlymo tikslo (supaprastinimo) bei administracinės naštos ir kaštų;</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b) </w:t>
      </w:r>
      <w:r w:rsidR="00E2576D" w:rsidRPr="00E2576D">
        <w:rPr>
          <w:rFonts w:eastAsia="Times New Roman" w:cs="Times New Roman"/>
          <w:color w:val="000000"/>
          <w:szCs w:val="24"/>
          <w:lang w:eastAsia="lt-LT"/>
        </w:rPr>
        <w:t xml:space="preserve">nacionalinės metinės apyvartos ir ES metinės apyvartos ribų dydžiai: vėliausiame kompromise vėl siūloma nustatyti maksimalią nacionalinę metinę 85 000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dydžio registravimosi PVM mokėtojais apyvartos ribą (kokia buvo siūloma  ir  pirminiame pasiūlyme, tačiau  prieš tai buvusiame kompromise buvo svarstoma ir 100 000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riba), taip pat 100 000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dydžio ES metinę apyvartos ribą (atitinkamai buvo svarstoma ir 115 000 </w:t>
      </w:r>
      <w:proofErr w:type="spellStart"/>
      <w:r w:rsidR="00E2576D" w:rsidRPr="00E2576D">
        <w:rPr>
          <w:rFonts w:eastAsia="Times New Roman" w:cs="Times New Roman"/>
          <w:color w:val="000000"/>
          <w:szCs w:val="24"/>
          <w:lang w:eastAsia="lt-LT"/>
        </w:rPr>
        <w:t>Eur</w:t>
      </w:r>
      <w:proofErr w:type="spellEnd"/>
      <w:r w:rsidR="00E2576D" w:rsidRPr="00E2576D">
        <w:rPr>
          <w:rFonts w:eastAsia="Times New Roman" w:cs="Times New Roman"/>
          <w:color w:val="000000"/>
          <w:szCs w:val="24"/>
          <w:lang w:eastAsia="lt-LT"/>
        </w:rPr>
        <w:t xml:space="preserve"> ES riba)</w:t>
      </w:r>
      <w:r w:rsidR="00E2576D" w:rsidRPr="00E2576D">
        <w:rPr>
          <w:rFonts w:eastAsia="Times New Roman" w:cs="Times New Roman"/>
          <w:i/>
          <w:iCs/>
          <w:color w:val="000000"/>
          <w:szCs w:val="24"/>
          <w:lang w:eastAsia="lt-LT"/>
        </w:rPr>
        <w:t>;</w:t>
      </w:r>
    </w:p>
    <w:p w:rsidR="00E2576D" w:rsidRPr="00E2576D" w:rsidRDefault="00F25802" w:rsidP="00F25802">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c) </w:t>
      </w:r>
      <w:r w:rsidR="00E2576D" w:rsidRPr="00E2576D">
        <w:rPr>
          <w:rFonts w:eastAsia="Times New Roman" w:cs="Times New Roman"/>
          <w:color w:val="000000"/>
          <w:szCs w:val="24"/>
          <w:lang w:eastAsia="lt-LT"/>
        </w:rPr>
        <w:t>identifikacinio numerio sudarymo principai;</w:t>
      </w:r>
    </w:p>
    <w:p w:rsidR="000922B3" w:rsidRPr="00E2576D" w:rsidRDefault="00E2576D" w:rsidP="00F25802">
      <w:pPr>
        <w:spacing w:after="0" w:line="240" w:lineRule="auto"/>
        <w:jc w:val="both"/>
        <w:rPr>
          <w:rFonts w:cs="Times New Roman"/>
          <w:b/>
          <w:szCs w:val="24"/>
        </w:rPr>
      </w:pPr>
      <w:r w:rsidRPr="00E2576D">
        <w:rPr>
          <w:rFonts w:eastAsia="Times New Roman" w:cs="Times New Roman"/>
          <w:color w:val="000000"/>
          <w:szCs w:val="24"/>
          <w:lang w:eastAsia="lt-LT"/>
        </w:rPr>
        <w:t>nuostatų įsigaliojimo data (dokumente nurodyta 2025-01-01 data).</w:t>
      </w:r>
    </w:p>
    <w:p w:rsidR="00E2576D" w:rsidRPr="00E2576D" w:rsidRDefault="000922B3" w:rsidP="00F25802">
      <w:pPr>
        <w:pStyle w:val="prastasistinklapis"/>
        <w:jc w:val="both"/>
        <w:rPr>
          <w:color w:val="000000"/>
        </w:rPr>
      </w:pPr>
      <w:r w:rsidRPr="00E2576D">
        <w:rPr>
          <w:b/>
          <w:u w:val="single"/>
        </w:rPr>
        <w:t>Lietuvos pozicija.</w:t>
      </w:r>
      <w:r w:rsidR="00E2576D" w:rsidRPr="00E2576D">
        <w:rPr>
          <w:b/>
          <w:u w:val="single"/>
        </w:rPr>
        <w:t xml:space="preserve"> </w:t>
      </w:r>
      <w:r w:rsidR="00E2576D" w:rsidRPr="00E2576D">
        <w:rPr>
          <w:color w:val="000000"/>
        </w:rPr>
        <w:t>Kompromisinio teksto nuostatoms Lietuva galėtų pritarti.</w:t>
      </w:r>
    </w:p>
    <w:p w:rsidR="000922B3" w:rsidRPr="00E2576D" w:rsidRDefault="00E2576D" w:rsidP="00F25802">
      <w:pPr>
        <w:spacing w:after="0" w:line="240" w:lineRule="auto"/>
        <w:jc w:val="both"/>
        <w:rPr>
          <w:rFonts w:cs="Times New Roman"/>
          <w:b/>
          <w:szCs w:val="24"/>
          <w:u w:val="single"/>
          <w:lang w:eastAsia="lt-LT"/>
        </w:rPr>
      </w:pPr>
      <w:r w:rsidRPr="00E2576D">
        <w:rPr>
          <w:rFonts w:eastAsia="Times New Roman" w:cs="Times New Roman"/>
          <w:color w:val="000000"/>
          <w:szCs w:val="24"/>
          <w:lang w:eastAsia="lt-LT"/>
        </w:rPr>
        <w:t>Lietuva pirmenybę teikia pradiniame EK pasiūlymo variante pasiūlytoms registravimo riboms (kokios ir yra siūlomos atnaujintame kompromise. Jei būtų siūlomos didesnės nacionalinė metinė apyvartos ir ES metinė apyvartos ribos, jos būtų nepriimtinos).</w:t>
      </w:r>
    </w:p>
    <w:p w:rsidR="00EB5451" w:rsidRPr="00E2576D" w:rsidRDefault="00976406" w:rsidP="00EB545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lastRenderedPageBreak/>
        <w:t>Skaitmeninės</w:t>
      </w:r>
      <w:r w:rsidR="00B163C2" w:rsidRPr="00E2576D">
        <w:rPr>
          <w:rFonts w:cs="Times New Roman"/>
          <w:b/>
          <w:szCs w:val="24"/>
        </w:rPr>
        <w:t xml:space="preserve"> ekonomikos apmokestinimas </w:t>
      </w:r>
      <w:r w:rsidR="00421F54" w:rsidRPr="00E2576D">
        <w:rPr>
          <w:rFonts w:cs="Times New Roman"/>
          <w:i/>
          <w:szCs w:val="24"/>
        </w:rPr>
        <w:t>(</w:t>
      </w:r>
      <w:r w:rsidR="00B163C2" w:rsidRPr="00E2576D">
        <w:rPr>
          <w:rFonts w:cs="Times New Roman"/>
          <w:i/>
          <w:szCs w:val="24"/>
        </w:rPr>
        <w:t>dabartinė padėtis</w:t>
      </w:r>
      <w:r w:rsidR="00421F54" w:rsidRPr="00E2576D">
        <w:rPr>
          <w:rFonts w:cs="Times New Roman"/>
          <w:i/>
          <w:szCs w:val="24"/>
        </w:rPr>
        <w:t>)</w:t>
      </w:r>
    </w:p>
    <w:p w:rsidR="00B163C2" w:rsidRPr="00E2576D" w:rsidRDefault="00B163C2" w:rsidP="000922B3">
      <w:pPr>
        <w:spacing w:after="0" w:line="240" w:lineRule="auto"/>
        <w:jc w:val="both"/>
        <w:rPr>
          <w:rFonts w:cs="Times New Roman"/>
          <w:b/>
          <w:szCs w:val="24"/>
          <w:u w:val="single"/>
          <w:lang w:bidi="lt-LT"/>
        </w:rPr>
      </w:pPr>
    </w:p>
    <w:p w:rsidR="00B163C2" w:rsidRPr="00E2576D" w:rsidRDefault="000922B3" w:rsidP="00F25802">
      <w:pPr>
        <w:spacing w:after="0" w:line="240" w:lineRule="auto"/>
        <w:jc w:val="both"/>
        <w:rPr>
          <w:rFonts w:cs="Times New Roman"/>
          <w:b/>
          <w:szCs w:val="24"/>
        </w:rPr>
      </w:pPr>
      <w:r w:rsidRPr="00E2576D">
        <w:rPr>
          <w:rFonts w:cs="Times New Roman"/>
          <w:b/>
          <w:szCs w:val="24"/>
          <w:u w:val="single"/>
          <w:lang w:bidi="lt-LT"/>
        </w:rPr>
        <w:t>Klausimo esmė.</w:t>
      </w:r>
      <w:r w:rsidR="00B163C2" w:rsidRPr="00E2576D">
        <w:rPr>
          <w:rFonts w:cs="Times New Roman"/>
          <w:b/>
          <w:szCs w:val="24"/>
          <w:u w:val="single"/>
          <w:lang w:bidi="lt-LT"/>
        </w:rPr>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565"/>
      </w:tblGrid>
      <w:tr w:rsidR="00B163C2" w:rsidRPr="00B163C2" w:rsidTr="00B163C2">
        <w:trPr>
          <w:tblCellSpacing w:w="0" w:type="dxa"/>
        </w:trPr>
        <w:tc>
          <w:tcPr>
            <w:tcW w:w="0" w:type="auto"/>
            <w:tcMar>
              <w:top w:w="0" w:type="dxa"/>
              <w:left w:w="180" w:type="dxa"/>
              <w:bottom w:w="0" w:type="dxa"/>
              <w:right w:w="180" w:type="dxa"/>
            </w:tcMar>
            <w:hideMark/>
          </w:tcPr>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 xml:space="preserve">Siekiant pasirengti 2019 m. lapkričio 8 d. vyksiančiam ECOFIN Tarybos posėdžiui parengtas dokumentas 13405/19 FISC 408 ECOFIN 934 DIGIT 158 (toliau – Dokumentas), kuriame pristatoma esama padėtis dėl darbų ES lygiu, atsižvelgiant į EBPO vykdomą visaapimantį darbą, sprendžiant su </w:t>
            </w:r>
            <w:proofErr w:type="spellStart"/>
            <w:r w:rsidRPr="00B163C2">
              <w:rPr>
                <w:rFonts w:eastAsia="Times New Roman" w:cs="Times New Roman"/>
                <w:szCs w:val="24"/>
                <w:lang w:eastAsia="lt-LT"/>
              </w:rPr>
              <w:t>skaitmenėjančios</w:t>
            </w:r>
            <w:proofErr w:type="spellEnd"/>
            <w:r w:rsidRPr="00B163C2">
              <w:rPr>
                <w:rFonts w:eastAsia="Times New Roman" w:cs="Times New Roman"/>
                <w:szCs w:val="24"/>
                <w:lang w:eastAsia="lt-LT"/>
              </w:rPr>
              <w:t xml:space="preserve"> ekonomikos apmokestinimu susijusius iššūkius.</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Darbas EBPO iš esmės atliekamas š. m. gegužės mėnesį  EBPO Fiskalinių reikalų komiteto dėl kovos su mokesčių bazės erozija ir pelno perkėlimu (angl. </w:t>
            </w:r>
            <w:proofErr w:type="spellStart"/>
            <w:r w:rsidRPr="00E2576D">
              <w:rPr>
                <w:rFonts w:eastAsia="Times New Roman" w:cs="Times New Roman"/>
                <w:i/>
                <w:iCs/>
                <w:szCs w:val="24"/>
                <w:lang w:eastAsia="lt-LT"/>
              </w:rPr>
              <w:t>Inclusive</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framework</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on</w:t>
            </w:r>
            <w:proofErr w:type="spellEnd"/>
            <w:r w:rsidRPr="00E2576D">
              <w:rPr>
                <w:rFonts w:eastAsia="Times New Roman" w:cs="Times New Roman"/>
                <w:i/>
                <w:iCs/>
                <w:szCs w:val="24"/>
                <w:lang w:eastAsia="lt-LT"/>
              </w:rPr>
              <w:t xml:space="preserve"> BEPS</w:t>
            </w:r>
            <w:r w:rsidRPr="00B163C2">
              <w:rPr>
                <w:rFonts w:eastAsia="Times New Roman" w:cs="Times New Roman"/>
                <w:szCs w:val="24"/>
                <w:lang w:eastAsia="lt-LT"/>
              </w:rPr>
              <w:t>) patvirtintos ir birželio mėn. G20 finansų ministrų paremtos darbų programos (angl. </w:t>
            </w:r>
            <w:proofErr w:type="spellStart"/>
            <w:r w:rsidRPr="00E2576D">
              <w:rPr>
                <w:rFonts w:eastAsia="Times New Roman" w:cs="Times New Roman"/>
                <w:i/>
                <w:iCs/>
                <w:szCs w:val="24"/>
                <w:lang w:eastAsia="lt-LT"/>
              </w:rPr>
              <w:t>Programme</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of</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Work</w:t>
            </w:r>
            <w:proofErr w:type="spellEnd"/>
            <w:r w:rsidRPr="00E2576D">
              <w:rPr>
                <w:rFonts w:eastAsia="Times New Roman" w:cs="Times New Roman"/>
                <w:i/>
                <w:iCs/>
                <w:szCs w:val="24"/>
                <w:lang w:eastAsia="lt-LT"/>
              </w:rPr>
              <w:t xml:space="preserve"> to </w:t>
            </w:r>
            <w:proofErr w:type="spellStart"/>
            <w:r w:rsidRPr="00E2576D">
              <w:rPr>
                <w:rFonts w:eastAsia="Times New Roman" w:cs="Times New Roman"/>
                <w:i/>
                <w:iCs/>
                <w:szCs w:val="24"/>
                <w:lang w:eastAsia="lt-LT"/>
              </w:rPr>
              <w:t>Develop</w:t>
            </w:r>
            <w:proofErr w:type="spellEnd"/>
            <w:r w:rsidRPr="00E2576D">
              <w:rPr>
                <w:rFonts w:eastAsia="Times New Roman" w:cs="Times New Roman"/>
                <w:i/>
                <w:iCs/>
                <w:szCs w:val="24"/>
                <w:lang w:eastAsia="lt-LT"/>
              </w:rPr>
              <w:t xml:space="preserve"> a </w:t>
            </w:r>
            <w:proofErr w:type="spellStart"/>
            <w:r w:rsidRPr="00E2576D">
              <w:rPr>
                <w:rFonts w:eastAsia="Times New Roman" w:cs="Times New Roman"/>
                <w:i/>
                <w:iCs/>
                <w:szCs w:val="24"/>
                <w:lang w:eastAsia="lt-LT"/>
              </w:rPr>
              <w:t>Consensus</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Solution</w:t>
            </w:r>
            <w:proofErr w:type="spellEnd"/>
            <w:r w:rsidRPr="00E2576D">
              <w:rPr>
                <w:rFonts w:eastAsia="Times New Roman" w:cs="Times New Roman"/>
                <w:i/>
                <w:iCs/>
                <w:szCs w:val="24"/>
                <w:lang w:eastAsia="lt-LT"/>
              </w:rPr>
              <w:t xml:space="preserve"> to </w:t>
            </w:r>
            <w:proofErr w:type="spellStart"/>
            <w:r w:rsidRPr="00E2576D">
              <w:rPr>
                <w:rFonts w:eastAsia="Times New Roman" w:cs="Times New Roman"/>
                <w:i/>
                <w:iCs/>
                <w:szCs w:val="24"/>
                <w:lang w:eastAsia="lt-LT"/>
              </w:rPr>
              <w:t>the</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Tax</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Challenges</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Arising</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from</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the</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Digitalisation</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of</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the</w:t>
            </w:r>
            <w:proofErr w:type="spellEnd"/>
            <w:r w:rsidRPr="00E2576D">
              <w:rPr>
                <w:rFonts w:eastAsia="Times New Roman" w:cs="Times New Roman"/>
                <w:i/>
                <w:iCs/>
                <w:szCs w:val="24"/>
                <w:lang w:eastAsia="lt-LT"/>
              </w:rPr>
              <w:t xml:space="preserve"> </w:t>
            </w:r>
            <w:proofErr w:type="spellStart"/>
            <w:r w:rsidRPr="00E2576D">
              <w:rPr>
                <w:rFonts w:eastAsia="Times New Roman" w:cs="Times New Roman"/>
                <w:i/>
                <w:iCs/>
                <w:szCs w:val="24"/>
                <w:lang w:eastAsia="lt-LT"/>
              </w:rPr>
              <w:t>Economy</w:t>
            </w:r>
            <w:proofErr w:type="spellEnd"/>
            <w:r w:rsidRPr="00B163C2">
              <w:rPr>
                <w:rFonts w:eastAsia="Times New Roman" w:cs="Times New Roman"/>
                <w:szCs w:val="24"/>
                <w:lang w:eastAsia="lt-LT"/>
              </w:rPr>
              <w:t>) rėmuose.</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Pagal šią programą, minėtas darbas vyksta dvejomis pasiūlymų kryptimis, įskaitant jų ekonominio poveikio vertinimą:</w:t>
            </w:r>
          </w:p>
          <w:p w:rsidR="00B163C2" w:rsidRPr="00B163C2" w:rsidRDefault="00F25802" w:rsidP="00F25802">
            <w:pPr>
              <w:spacing w:after="0" w:line="240" w:lineRule="auto"/>
              <w:jc w:val="both"/>
              <w:rPr>
                <w:rFonts w:eastAsia="Times New Roman" w:cs="Times New Roman"/>
                <w:szCs w:val="24"/>
                <w:lang w:eastAsia="lt-LT"/>
              </w:rPr>
            </w:pPr>
            <w:r>
              <w:rPr>
                <w:rFonts w:eastAsia="Times New Roman" w:cs="Times New Roman"/>
                <w:szCs w:val="24"/>
                <w:lang w:eastAsia="lt-LT"/>
              </w:rPr>
              <w:t xml:space="preserve">1) </w:t>
            </w:r>
            <w:r w:rsidR="00B163C2" w:rsidRPr="00B163C2">
              <w:rPr>
                <w:rFonts w:eastAsia="Times New Roman" w:cs="Times New Roman"/>
                <w:szCs w:val="24"/>
                <w:lang w:eastAsia="lt-LT"/>
              </w:rPr>
              <w:t>Apmokestinimo teisių pasidalijimo principų peržiūra, įskaitant skaitmeninės veiklos mokestinio ryšio (angl. </w:t>
            </w:r>
            <w:proofErr w:type="spellStart"/>
            <w:r w:rsidR="00B163C2" w:rsidRPr="00E2576D">
              <w:rPr>
                <w:rFonts w:eastAsia="Times New Roman" w:cs="Times New Roman"/>
                <w:i/>
                <w:iCs/>
                <w:szCs w:val="24"/>
                <w:lang w:eastAsia="lt-LT"/>
              </w:rPr>
              <w:t>nexus</w:t>
            </w:r>
            <w:proofErr w:type="spellEnd"/>
            <w:r w:rsidR="00B163C2" w:rsidRPr="00B163C2">
              <w:rPr>
                <w:rFonts w:eastAsia="Times New Roman" w:cs="Times New Roman"/>
                <w:szCs w:val="24"/>
                <w:lang w:eastAsia="lt-LT"/>
              </w:rPr>
              <w:t>) atitinkamoje jurisdikcijoje nustatymo principus;</w:t>
            </w:r>
          </w:p>
          <w:p w:rsidR="00B163C2" w:rsidRPr="00B163C2" w:rsidRDefault="00F25802" w:rsidP="00F25802">
            <w:pPr>
              <w:spacing w:after="0" w:line="240" w:lineRule="auto"/>
              <w:jc w:val="both"/>
              <w:rPr>
                <w:rFonts w:eastAsia="Times New Roman" w:cs="Times New Roman"/>
                <w:szCs w:val="24"/>
                <w:lang w:eastAsia="lt-LT"/>
              </w:rPr>
            </w:pPr>
            <w:r>
              <w:rPr>
                <w:rFonts w:eastAsia="Times New Roman" w:cs="Times New Roman"/>
                <w:szCs w:val="24"/>
                <w:lang w:eastAsia="lt-LT"/>
              </w:rPr>
              <w:t>2)</w:t>
            </w:r>
            <w:r w:rsidR="00B163C2" w:rsidRPr="00B163C2">
              <w:rPr>
                <w:rFonts w:eastAsia="Times New Roman" w:cs="Times New Roman"/>
                <w:szCs w:val="24"/>
                <w:lang w:eastAsia="lt-LT"/>
              </w:rPr>
              <w:t xml:space="preserve"> Užsienyje neapmokestinto ar mažai efektyviai apmokestinto pelno apmokestinimo teisių stiprinimu.</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I ramsčio atžvilgiu EBPO Sekretoriatas pateikė pasiūlymą dėl Vieningo metodo, kuriame pateikiami siūlymai dėl pagrindinių galimo sprendimo sudedamųjų elementų, t.y.:</w:t>
            </w:r>
          </w:p>
          <w:p w:rsidR="00B163C2" w:rsidRPr="00B163C2" w:rsidRDefault="00B163C2" w:rsidP="00F25802">
            <w:pPr>
              <w:spacing w:after="0" w:line="240" w:lineRule="auto"/>
              <w:jc w:val="both"/>
              <w:rPr>
                <w:rFonts w:eastAsia="Times New Roman" w:cs="Times New Roman"/>
                <w:szCs w:val="24"/>
                <w:lang w:eastAsia="lt-LT"/>
              </w:rPr>
            </w:pPr>
            <w:r w:rsidRPr="00E2576D">
              <w:rPr>
                <w:rFonts w:eastAsia="Times New Roman" w:cs="Times New Roman"/>
                <w:b/>
                <w:bCs/>
                <w:i/>
                <w:iCs/>
                <w:szCs w:val="24"/>
                <w:lang w:eastAsia="lt-LT"/>
              </w:rPr>
              <w:t>Taikymo apimtis:</w:t>
            </w:r>
            <w:r w:rsidRPr="00B163C2">
              <w:rPr>
                <w:rFonts w:eastAsia="Times New Roman" w:cs="Times New Roman"/>
                <w:szCs w:val="24"/>
                <w:lang w:eastAsia="lt-LT"/>
              </w:rPr>
              <w:t> pasiūlymas apimtų labai skaitmenizuotus verslo modelius, tačiau praplečiant taikymo apimtį plačiau ir koncentruojantis ties verslu, kuris reikšmingą vertę sukuria iš veiklos, susijusios su vartotojais. Tolimesnis darbas turės būti tęsiamas ties taikymo apimtimi ir išimtimis. Gavybos pramonė nepatektų į taikymo apimtį.</w:t>
            </w:r>
          </w:p>
          <w:p w:rsidR="00B163C2" w:rsidRPr="00B163C2" w:rsidRDefault="00B163C2" w:rsidP="00F25802">
            <w:pPr>
              <w:spacing w:after="0" w:line="240" w:lineRule="auto"/>
              <w:jc w:val="both"/>
              <w:rPr>
                <w:rFonts w:eastAsia="Times New Roman" w:cs="Times New Roman"/>
                <w:szCs w:val="24"/>
                <w:lang w:eastAsia="lt-LT"/>
              </w:rPr>
            </w:pPr>
            <w:r w:rsidRPr="00E2576D">
              <w:rPr>
                <w:rFonts w:eastAsia="Times New Roman" w:cs="Times New Roman"/>
                <w:b/>
                <w:bCs/>
                <w:i/>
                <w:iCs/>
                <w:szCs w:val="24"/>
                <w:lang w:eastAsia="lt-LT"/>
              </w:rPr>
              <w:t>Naujas „</w:t>
            </w:r>
            <w:proofErr w:type="spellStart"/>
            <w:r w:rsidRPr="00E2576D">
              <w:rPr>
                <w:rFonts w:eastAsia="Times New Roman" w:cs="Times New Roman"/>
                <w:b/>
                <w:bCs/>
                <w:i/>
                <w:iCs/>
                <w:szCs w:val="24"/>
                <w:lang w:eastAsia="lt-LT"/>
              </w:rPr>
              <w:t>nexus</w:t>
            </w:r>
            <w:proofErr w:type="spellEnd"/>
            <w:r w:rsidRPr="00E2576D">
              <w:rPr>
                <w:rFonts w:eastAsia="Times New Roman" w:cs="Times New Roman"/>
                <w:b/>
                <w:bCs/>
                <w:i/>
                <w:iCs/>
                <w:szCs w:val="24"/>
                <w:lang w:eastAsia="lt-LT"/>
              </w:rPr>
              <w:t>“:</w:t>
            </w:r>
            <w:r w:rsidRPr="00B163C2">
              <w:rPr>
                <w:rFonts w:eastAsia="Times New Roman" w:cs="Times New Roman"/>
                <w:szCs w:val="24"/>
                <w:lang w:eastAsia="lt-LT"/>
              </w:rPr>
              <w:t> būtų sukuriamas naujas </w:t>
            </w:r>
            <w:proofErr w:type="spellStart"/>
            <w:r w:rsidRPr="00E2576D">
              <w:rPr>
                <w:rFonts w:eastAsia="Times New Roman" w:cs="Times New Roman"/>
                <w:i/>
                <w:iCs/>
                <w:szCs w:val="24"/>
                <w:lang w:eastAsia="lt-LT"/>
              </w:rPr>
              <w:t>nexus</w:t>
            </w:r>
            <w:proofErr w:type="spellEnd"/>
            <w:r w:rsidRPr="00B163C2">
              <w:rPr>
                <w:rFonts w:eastAsia="Times New Roman" w:cs="Times New Roman"/>
                <w:szCs w:val="24"/>
                <w:lang w:eastAsia="lt-LT"/>
              </w:rPr>
              <w:t> į taikymo apimtį patenkantiems mokesčių mokėtojams, nepriklausomai nuo fizinės buvimo vietos, o iš esmės grindžiant pardavimais. Naujasis </w:t>
            </w:r>
            <w:proofErr w:type="spellStart"/>
            <w:r w:rsidRPr="00E2576D">
              <w:rPr>
                <w:rFonts w:eastAsia="Times New Roman" w:cs="Times New Roman"/>
                <w:i/>
                <w:iCs/>
                <w:szCs w:val="24"/>
                <w:lang w:eastAsia="lt-LT"/>
              </w:rPr>
              <w:t>nexus</w:t>
            </w:r>
            <w:proofErr w:type="spellEnd"/>
            <w:r w:rsidRPr="00B163C2">
              <w:rPr>
                <w:rFonts w:eastAsia="Times New Roman" w:cs="Times New Roman"/>
                <w:szCs w:val="24"/>
                <w:lang w:eastAsia="lt-LT"/>
              </w:rPr>
              <w:t> galėtų turėti slenksčius, įskaitant kiekvienai šaliai būdingus pardavimo slenksčius, siekiant užtikrinti, kad ir mažesnių  ekonomikų jurisdikcijos gautų naudos. Būtų sukurta kaip nauja atskira EBPO dvigubo apmokestinimo išvengimo sutarties modelio nuostata.</w:t>
            </w:r>
          </w:p>
          <w:p w:rsidR="00B163C2" w:rsidRPr="00B163C2" w:rsidRDefault="00B163C2" w:rsidP="00F25802">
            <w:pPr>
              <w:spacing w:after="0" w:line="240" w:lineRule="auto"/>
              <w:jc w:val="both"/>
              <w:rPr>
                <w:rFonts w:eastAsia="Times New Roman" w:cs="Times New Roman"/>
                <w:szCs w:val="24"/>
                <w:lang w:eastAsia="lt-LT"/>
              </w:rPr>
            </w:pPr>
            <w:r w:rsidRPr="00E2576D">
              <w:rPr>
                <w:rFonts w:eastAsia="Times New Roman" w:cs="Times New Roman"/>
                <w:b/>
                <w:bCs/>
                <w:i/>
                <w:iCs/>
                <w:szCs w:val="24"/>
                <w:lang w:eastAsia="lt-LT"/>
              </w:rPr>
              <w:t>Nauja pelno paskirstymo taisyklė:</w:t>
            </w:r>
            <w:r w:rsidRPr="00B163C2">
              <w:rPr>
                <w:rFonts w:eastAsia="Times New Roman" w:cs="Times New Roman"/>
                <w:szCs w:val="24"/>
                <w:lang w:eastAsia="lt-LT"/>
              </w:rPr>
              <w:t> būtų sukuriama nauja pelno paskirstymo taisyklė, taikoma mokesčių mokėtojams, kurie patenka į taikymo apimtį, nepriklausomai, ar turi prekybos ar platinimo vietą šalies viduje (nuolatinė buveinė ar dukterinė įmonė) ar vykdo prekybą per nesusijusius platintojus. </w:t>
            </w:r>
          </w:p>
          <w:p w:rsidR="00B163C2" w:rsidRPr="00B163C2" w:rsidRDefault="00B163C2" w:rsidP="00F25802">
            <w:pPr>
              <w:spacing w:after="0" w:line="240" w:lineRule="auto"/>
              <w:jc w:val="both"/>
              <w:rPr>
                <w:rFonts w:eastAsia="Times New Roman" w:cs="Times New Roman"/>
                <w:szCs w:val="24"/>
                <w:lang w:eastAsia="lt-LT"/>
              </w:rPr>
            </w:pPr>
            <w:r w:rsidRPr="00E2576D">
              <w:rPr>
                <w:rFonts w:eastAsia="Times New Roman" w:cs="Times New Roman"/>
                <w:b/>
                <w:bCs/>
                <w:i/>
                <w:iCs/>
                <w:szCs w:val="24"/>
                <w:lang w:eastAsia="lt-LT"/>
              </w:rPr>
              <w:t>Formulėmis grindžiami požiūriai į papildomą ištiestosios rankos principą:</w:t>
            </w:r>
            <w:r w:rsidRPr="00B163C2">
              <w:rPr>
                <w:rFonts w:eastAsia="Times New Roman" w:cs="Times New Roman"/>
                <w:szCs w:val="24"/>
                <w:lang w:eastAsia="lt-LT"/>
              </w:rPr>
              <w:t> iš esmės būtų išlaikomos dabartinės sandorių kainodaros taisyklės, pagrįstos ištiestosios rankos principu, tačiau jas papildytų formulėmis pagrįsti sprendimai. Didesnis apmokestinimo aiškumas būtų pasiekiamas naudojant trijų pakopų pelno paskirstymo mechanizmą (apibrėžiant taip vadinamas A, B, C sumas).</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 </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EBPO Sekretoriato pasiūlymas dėl Vieningo metodo š. m. spalio 9 d. paskelbtas viešosioms konsultacijoms, o  lapkričio 21-22 d. šio dokumento pagrindu vyks viešosios diskusijos.</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Dėl II ramsčio EBPO Sekretoriatas taip pat planuoja parengti dokumentą viešosioms konsultacijoms lapkričio pradžioje.</w:t>
            </w:r>
          </w:p>
          <w:p w:rsidR="00B163C2" w:rsidRPr="00B163C2" w:rsidRDefault="00B163C2" w:rsidP="00F25802">
            <w:pPr>
              <w:spacing w:after="0" w:line="240" w:lineRule="auto"/>
              <w:jc w:val="both"/>
              <w:rPr>
                <w:rFonts w:eastAsia="Times New Roman" w:cs="Times New Roman"/>
                <w:szCs w:val="24"/>
                <w:lang w:eastAsia="lt-LT"/>
              </w:rPr>
            </w:pPr>
            <w:r w:rsidRPr="00B163C2">
              <w:rPr>
                <w:rFonts w:eastAsia="Times New Roman" w:cs="Times New Roman"/>
                <w:szCs w:val="24"/>
                <w:lang w:eastAsia="lt-LT"/>
              </w:rPr>
              <w:t>ES VN EBPO vykdomą darbą laiko svarbiausiu prioritetu, dauguma ES VN palaiko parengiamąjį darbą ES lygiu. Kalbant apie I ramstį, svarbūs tokie klausimai kaip: kuriems mokesčių mokėtojams būtų taikomos naujosios taisyklės, išimčių taikymas, nauji kriterijai </w:t>
            </w:r>
            <w:proofErr w:type="spellStart"/>
            <w:r w:rsidRPr="00E2576D">
              <w:rPr>
                <w:rFonts w:eastAsia="Times New Roman" w:cs="Times New Roman"/>
                <w:i/>
                <w:iCs/>
                <w:szCs w:val="24"/>
                <w:lang w:eastAsia="lt-LT"/>
              </w:rPr>
              <w:t>nexus</w:t>
            </w:r>
            <w:proofErr w:type="spellEnd"/>
            <w:r w:rsidRPr="00E2576D">
              <w:rPr>
                <w:rFonts w:eastAsia="Times New Roman" w:cs="Times New Roman"/>
                <w:i/>
                <w:iCs/>
                <w:szCs w:val="24"/>
                <w:lang w:eastAsia="lt-LT"/>
              </w:rPr>
              <w:t> </w:t>
            </w:r>
            <w:r w:rsidRPr="00B163C2">
              <w:rPr>
                <w:rFonts w:eastAsia="Times New Roman" w:cs="Times New Roman"/>
                <w:szCs w:val="24"/>
                <w:lang w:eastAsia="lt-LT"/>
              </w:rPr>
              <w:t>nustatymui. Dėl  II ramsčio </w:t>
            </w:r>
            <w:r w:rsidRPr="00E2576D">
              <w:rPr>
                <w:rFonts w:eastAsia="Times New Roman" w:cs="Times New Roman"/>
                <w:b/>
                <w:bCs/>
                <w:szCs w:val="24"/>
                <w:lang w:eastAsia="lt-LT"/>
              </w:rPr>
              <w:t>-</w:t>
            </w:r>
            <w:r w:rsidRPr="00B163C2">
              <w:rPr>
                <w:rFonts w:eastAsia="Times New Roman" w:cs="Times New Roman"/>
                <w:szCs w:val="24"/>
                <w:lang w:eastAsia="lt-LT"/>
              </w:rPr>
              <w:t> svarbu laiku atlikti ES teisės suderinamumo su EBPO siūlomais pasiūlymais analizę.</w:t>
            </w:r>
          </w:p>
        </w:tc>
      </w:tr>
    </w:tbl>
    <w:p w:rsidR="000922B3" w:rsidRPr="00E2576D" w:rsidRDefault="00B163C2" w:rsidP="00F25802">
      <w:pPr>
        <w:spacing w:after="0" w:line="240" w:lineRule="auto"/>
        <w:jc w:val="both"/>
        <w:rPr>
          <w:rFonts w:cs="Times New Roman"/>
          <w:b/>
          <w:szCs w:val="24"/>
        </w:rPr>
      </w:pPr>
      <w:r w:rsidRPr="00E2576D">
        <w:rPr>
          <w:rFonts w:eastAsia="Times New Roman" w:cs="Times New Roman"/>
          <w:color w:val="000000"/>
          <w:szCs w:val="24"/>
          <w:lang w:eastAsia="lt-LT"/>
        </w:rPr>
        <w:t>Dokumente ES VN kviečiamos toliau dirbti siekiant išanalizuoti tam tikrus EBPO pasiūlymų elementus ES lygiu tam, kad būtų rasti bendrumai visoms ES šalims, teikti svarbų prioritetą pasiūlymų poveikio vertinimo analizei, nagrinėti pirminius rezultatus dėl EBPO pasiūlymų suderinamumo su ES teise.</w:t>
      </w:r>
    </w:p>
    <w:p w:rsidR="00DC573C" w:rsidRPr="00E2576D" w:rsidRDefault="000922B3" w:rsidP="00F25802">
      <w:pPr>
        <w:spacing w:after="0" w:line="240" w:lineRule="auto"/>
        <w:jc w:val="both"/>
        <w:rPr>
          <w:rFonts w:cs="Times New Roman"/>
          <w:b/>
          <w:szCs w:val="24"/>
          <w:u w:val="single"/>
          <w:lang w:eastAsia="lt-LT"/>
        </w:rPr>
      </w:pPr>
      <w:r w:rsidRPr="00E2576D">
        <w:rPr>
          <w:rFonts w:cs="Times New Roman"/>
          <w:b/>
          <w:szCs w:val="24"/>
          <w:u w:val="single"/>
          <w:lang w:eastAsia="lt-LT"/>
        </w:rPr>
        <w:t>Lietuvos pozicija.</w:t>
      </w:r>
      <w:r w:rsidR="00DC573C" w:rsidRPr="00E2576D">
        <w:rPr>
          <w:rFonts w:cs="Times New Roman"/>
          <w:b/>
          <w:szCs w:val="24"/>
          <w:u w:val="single"/>
          <w:lang w:eastAsia="lt-LT"/>
        </w:rPr>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565"/>
      </w:tblGrid>
      <w:tr w:rsidR="00DC573C" w:rsidRPr="00DC573C" w:rsidTr="00DC573C">
        <w:trPr>
          <w:tblCellSpacing w:w="0" w:type="dxa"/>
        </w:trPr>
        <w:tc>
          <w:tcPr>
            <w:tcW w:w="0" w:type="auto"/>
            <w:tcMar>
              <w:top w:w="0" w:type="dxa"/>
              <w:left w:w="180" w:type="dxa"/>
              <w:bottom w:w="0" w:type="dxa"/>
              <w:right w:w="180" w:type="dxa"/>
            </w:tcMar>
            <w:hideMark/>
          </w:tcPr>
          <w:p w:rsidR="00DC573C" w:rsidRPr="00DC573C" w:rsidRDefault="00DC573C" w:rsidP="00F25802">
            <w:pPr>
              <w:spacing w:after="0" w:line="240" w:lineRule="auto"/>
              <w:jc w:val="both"/>
              <w:rPr>
                <w:rFonts w:eastAsia="Times New Roman" w:cs="Times New Roman"/>
                <w:szCs w:val="24"/>
                <w:lang w:eastAsia="lt-LT"/>
              </w:rPr>
            </w:pPr>
            <w:r w:rsidRPr="00DC573C">
              <w:rPr>
                <w:rFonts w:eastAsia="Times New Roman" w:cs="Times New Roman"/>
                <w:szCs w:val="24"/>
                <w:lang w:eastAsia="lt-LT"/>
              </w:rPr>
              <w:t>Džiaugiamės EBPO pasiekta pažanga sprendžiant naujojo </w:t>
            </w:r>
            <w:proofErr w:type="spellStart"/>
            <w:r w:rsidRPr="00E2576D">
              <w:rPr>
                <w:rFonts w:eastAsia="Times New Roman" w:cs="Times New Roman"/>
                <w:i/>
                <w:iCs/>
                <w:szCs w:val="24"/>
                <w:lang w:eastAsia="lt-LT"/>
              </w:rPr>
              <w:t>nexus</w:t>
            </w:r>
            <w:proofErr w:type="spellEnd"/>
            <w:r w:rsidRPr="00DC573C">
              <w:rPr>
                <w:rFonts w:eastAsia="Times New Roman" w:cs="Times New Roman"/>
                <w:szCs w:val="24"/>
                <w:lang w:eastAsia="lt-LT"/>
              </w:rPr>
              <w:t> nustatymo klausimus. Diskusijose dėl Pirmojo ramsčio mums ypač svarbu, kad naujojo </w:t>
            </w:r>
            <w:proofErr w:type="spellStart"/>
            <w:r w:rsidRPr="00E2576D">
              <w:rPr>
                <w:rFonts w:eastAsia="Times New Roman" w:cs="Times New Roman"/>
                <w:i/>
                <w:iCs/>
                <w:szCs w:val="24"/>
                <w:lang w:eastAsia="lt-LT"/>
              </w:rPr>
              <w:t>nexus</w:t>
            </w:r>
            <w:proofErr w:type="spellEnd"/>
            <w:r w:rsidRPr="00DC573C">
              <w:rPr>
                <w:rFonts w:eastAsia="Times New Roman" w:cs="Times New Roman"/>
                <w:szCs w:val="24"/>
                <w:lang w:eastAsia="lt-LT"/>
              </w:rPr>
              <w:t> nustatymo kriterijai tinkamai atsektų vertės kūrimo grandinę. Manome, kad šia tema prasminga diskutuoti ir ES forumuose.</w:t>
            </w:r>
          </w:p>
        </w:tc>
      </w:tr>
    </w:tbl>
    <w:p w:rsidR="000922B3" w:rsidRPr="00E2576D" w:rsidRDefault="00DC573C" w:rsidP="00F25802">
      <w:pPr>
        <w:spacing w:after="0" w:line="240" w:lineRule="auto"/>
        <w:jc w:val="both"/>
        <w:rPr>
          <w:rFonts w:cs="Times New Roman"/>
          <w:b/>
          <w:szCs w:val="24"/>
          <w:u w:val="single"/>
          <w:lang w:eastAsia="lt-LT"/>
        </w:rPr>
      </w:pPr>
      <w:r w:rsidRPr="00E2576D">
        <w:rPr>
          <w:rFonts w:eastAsia="Times New Roman" w:cs="Times New Roman"/>
          <w:color w:val="000000"/>
          <w:szCs w:val="24"/>
          <w:lang w:eastAsia="lt-LT"/>
        </w:rPr>
        <w:t>Tuo tarpu diskusijose dėl Antrojo ramsčio ES lygiu reikėtų tęsti atliekant EBPO pasiūlymų suderinamumo su ES teise analizę.</w:t>
      </w:r>
    </w:p>
    <w:p w:rsidR="000922B3" w:rsidRPr="00E2576D" w:rsidRDefault="000922B3" w:rsidP="000922B3">
      <w:pPr>
        <w:autoSpaceDE w:val="0"/>
        <w:autoSpaceDN w:val="0"/>
        <w:adjustRightInd w:val="0"/>
        <w:spacing w:after="0" w:line="240" w:lineRule="auto"/>
        <w:rPr>
          <w:rFonts w:cs="Times New Roman"/>
          <w:color w:val="000000"/>
          <w:szCs w:val="24"/>
        </w:rPr>
      </w:pPr>
    </w:p>
    <w:p w:rsidR="00BF0B01" w:rsidRPr="00E2576D" w:rsidRDefault="00BF0B01" w:rsidP="00343558">
      <w:pPr>
        <w:spacing w:after="0" w:line="240" w:lineRule="auto"/>
        <w:contextualSpacing/>
        <w:jc w:val="both"/>
        <w:rPr>
          <w:rFonts w:eastAsia="Times New Roman" w:cs="Times New Roman"/>
          <w:szCs w:val="24"/>
          <w:lang w:eastAsia="fr-BE"/>
        </w:rPr>
      </w:pPr>
    </w:p>
    <w:p w:rsidR="00421F54" w:rsidRPr="00E2576D" w:rsidRDefault="00B163C2" w:rsidP="00421F5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E2576D">
        <w:rPr>
          <w:rFonts w:cs="Times New Roman"/>
          <w:b/>
          <w:szCs w:val="24"/>
        </w:rPr>
        <w:lastRenderedPageBreak/>
        <w:t>Europos fiskalinės valdybos 2019 m. metinė ataskaita</w:t>
      </w:r>
      <w:r w:rsidR="00421F54" w:rsidRPr="00E2576D">
        <w:rPr>
          <w:rFonts w:cs="Times New Roman"/>
          <w:b/>
          <w:szCs w:val="24"/>
        </w:rPr>
        <w:t xml:space="preserve"> </w:t>
      </w:r>
      <w:r w:rsidR="00421F54" w:rsidRPr="00E2576D">
        <w:rPr>
          <w:rFonts w:cs="Times New Roman"/>
          <w:i/>
          <w:szCs w:val="24"/>
        </w:rPr>
        <w:t>(</w:t>
      </w:r>
      <w:r w:rsidRPr="00E2576D">
        <w:rPr>
          <w:rFonts w:cs="Times New Roman"/>
          <w:i/>
          <w:szCs w:val="24"/>
        </w:rPr>
        <w:t>pristatymas</w:t>
      </w:r>
      <w:r w:rsidR="00421F54" w:rsidRPr="00E2576D">
        <w:rPr>
          <w:rFonts w:cs="Times New Roman"/>
          <w:i/>
          <w:szCs w:val="24"/>
        </w:rPr>
        <w:t>)</w:t>
      </w:r>
    </w:p>
    <w:p w:rsidR="00421F54" w:rsidRPr="00E2576D" w:rsidRDefault="00421F54" w:rsidP="00421F54">
      <w:pPr>
        <w:spacing w:after="0" w:line="240" w:lineRule="auto"/>
        <w:jc w:val="both"/>
        <w:rPr>
          <w:rFonts w:eastAsia="Calibri" w:cs="Times New Roman"/>
          <w:b/>
          <w:noProof/>
          <w:szCs w:val="24"/>
          <w:u w:val="single"/>
          <w:lang w:bidi="lt-LT"/>
        </w:rPr>
      </w:pPr>
    </w:p>
    <w:p w:rsidR="00E2576D" w:rsidRPr="00E2576D" w:rsidRDefault="000922B3" w:rsidP="00F25802">
      <w:pPr>
        <w:pStyle w:val="prastasistinklapis"/>
        <w:ind w:right="99"/>
        <w:jc w:val="both"/>
        <w:rPr>
          <w:color w:val="000000"/>
        </w:rPr>
      </w:pPr>
      <w:r w:rsidRPr="00E2576D">
        <w:rPr>
          <w:b/>
          <w:u w:val="single"/>
          <w:lang w:bidi="lt-LT"/>
        </w:rPr>
        <w:t>Klausimo esmė.</w:t>
      </w:r>
      <w:r w:rsidR="00E2576D" w:rsidRPr="00E2576D">
        <w:rPr>
          <w:b/>
          <w:u w:val="single"/>
          <w:lang w:bidi="lt-LT"/>
        </w:rPr>
        <w:t xml:space="preserve"> </w:t>
      </w:r>
      <w:r w:rsidR="00E2576D" w:rsidRPr="00E2576D">
        <w:rPr>
          <w:color w:val="000000"/>
        </w:rPr>
        <w:t>Europos fiskalinė valdyba ( angl. </w:t>
      </w:r>
      <w:proofErr w:type="spellStart"/>
      <w:r w:rsidR="00E2576D" w:rsidRPr="00E2576D">
        <w:rPr>
          <w:i/>
          <w:iCs/>
          <w:color w:val="000000"/>
        </w:rPr>
        <w:t>European</w:t>
      </w:r>
      <w:proofErr w:type="spellEnd"/>
      <w:r w:rsidR="00E2576D" w:rsidRPr="00E2576D">
        <w:rPr>
          <w:i/>
          <w:iCs/>
          <w:color w:val="000000"/>
        </w:rPr>
        <w:t xml:space="preserve"> </w:t>
      </w:r>
      <w:proofErr w:type="spellStart"/>
      <w:r w:rsidR="00E2576D" w:rsidRPr="00E2576D">
        <w:rPr>
          <w:i/>
          <w:iCs/>
          <w:color w:val="000000"/>
        </w:rPr>
        <w:t>Fiscal</w:t>
      </w:r>
      <w:proofErr w:type="spellEnd"/>
      <w:r w:rsidR="00E2576D" w:rsidRPr="00E2576D">
        <w:rPr>
          <w:i/>
          <w:iCs/>
          <w:color w:val="000000"/>
        </w:rPr>
        <w:t xml:space="preserve"> </w:t>
      </w:r>
      <w:proofErr w:type="spellStart"/>
      <w:r w:rsidR="00E2576D" w:rsidRPr="00E2576D">
        <w:rPr>
          <w:i/>
          <w:iCs/>
          <w:color w:val="000000"/>
        </w:rPr>
        <w:t>Board</w:t>
      </w:r>
      <w:proofErr w:type="spellEnd"/>
      <w:r w:rsidR="00E2576D" w:rsidRPr="00E2576D">
        <w:rPr>
          <w:color w:val="000000"/>
        </w:rPr>
        <w:t xml:space="preserve">, EFB) pristatė savo ataskaitą apie 2018 metais vykdytą ES šalių narių fiskalinę priežiūrą, jos rezultatus bei rekomendacijas tolimesniam Europos Sąjungos fiskalinės sistemos tobulinimui. Pagrindinės ataskaitos žinutės: 2018 metais Euro zonos ekonomika augo, tačiau lėtesniu nei 2017 m. tempu; faktinis ekonomikos augimas iš  esmės atitiko prognozuotąjį 2018 metams ir nukrypimai nuo biudžetų planų įvyko ne dėl makroekonominių tendencijų pasikeitimo; šalių finansų rezultatas buvo geresnis nei planuotas; didesnės nei planuota pajamos paaiškina Euro zonos struktūrinio balanso pagerėjimą nors ir nežymų(0,1 </w:t>
      </w:r>
      <w:proofErr w:type="spellStart"/>
      <w:r w:rsidR="00E2576D" w:rsidRPr="00E2576D">
        <w:rPr>
          <w:color w:val="000000"/>
        </w:rPr>
        <w:t>p.p</w:t>
      </w:r>
      <w:proofErr w:type="spellEnd"/>
      <w:r w:rsidR="00E2576D" w:rsidRPr="00E2576D">
        <w:rPr>
          <w:color w:val="000000"/>
        </w:rPr>
        <w:t xml:space="preserve">. BVP); išlaidų augimas viršijo potencialaus BVP augimą (kas rodo labiau ekspansyvią politiką); fiskalinės padėties vertinimą apsunkino vienas kitam prieštaraujantis struktūrinio balanso pagerėjimo ir išlaidų augimo vertinimas; naudodamosi vis dar palankia ekonomikos augimo padėtimi, didelė skolą turinčios šalys turėjo galimybę kaupti fiskalinius rezervus; keletu atveju struktūrinį pagerėjimą (artėjimą prie vidutinio laikotarpio tikslo) lėmė statistinė duomenų revizija; 2018 m. Europos Komisija pritaikė naujas lankstumo ir </w:t>
      </w:r>
      <w:proofErr w:type="spellStart"/>
      <w:r w:rsidR="00E2576D" w:rsidRPr="00E2576D">
        <w:rPr>
          <w:color w:val="000000"/>
        </w:rPr>
        <w:t>diskrecijos</w:t>
      </w:r>
      <w:proofErr w:type="spellEnd"/>
      <w:r w:rsidR="00E2576D" w:rsidRPr="00E2576D">
        <w:rPr>
          <w:color w:val="000000"/>
        </w:rPr>
        <w:t xml:space="preserve"> priemones šalių fiskalinės priežiūros procese (kas lėmė, kad perteklinio deficito (skolos rodiklio vertinime) procedūra buvo neiškelta Italijai – kas liudija fiskalinės sistemos, numatytos Stabilumo  ir augimo pakte (SAP) silpnėjimą; ženklus nukrypimas nuo SAP prevencinės dalies reikalavimų pagal bent vieną iš kriterijų (struktūrinio balanso  arba išlaidų augimo) fiksuoti 12 šalių, tačiau tik Italijos, Vengrijos ir Rumunijos atvejais EK tą formaliai konstatavo, o perteklinio deficito procedūra iškelta tik Vengrijai ir Rumunijai; pirmą kartą pritaikyta biudžeto projekto atmetimo procedūra (Italijai), tačiau imtis biudžeto taisomųjų veiksmų Komisija Italijai formaliai nerekomendavo; Belgijos, Latvijos, Portugalijos ir Slovakijos atvejais Komisija konstatavo, kad nėra pakankamo pagrindo kelti perteklinio deficito procedūrą – SAP taisyklių atitikimo vertinime Komisija naudojo ne tik struktūrinio balanso ir išlaidų augimo rodiklius, bet atsižvelgė ir šalims specifines ekonomines aplinkybes; 2018 m. atliktos fiskalinės priežiūros procedūros dar kartą rodo, kad sankcijų už taisyklių nesilaikymą (</w:t>
      </w:r>
      <w:proofErr w:type="spellStart"/>
      <w:r w:rsidR="00E2576D" w:rsidRPr="00E2576D">
        <w:rPr>
          <w:color w:val="000000"/>
        </w:rPr>
        <w:t>ne)pritaikymas</w:t>
      </w:r>
      <w:proofErr w:type="spellEnd"/>
      <w:r w:rsidR="00E2576D" w:rsidRPr="00E2576D">
        <w:rPr>
          <w:color w:val="000000"/>
        </w:rPr>
        <w:t xml:space="preserve"> lieka </w:t>
      </w:r>
      <w:proofErr w:type="spellStart"/>
      <w:r w:rsidR="00E2576D" w:rsidRPr="00E2576D">
        <w:rPr>
          <w:color w:val="000000"/>
        </w:rPr>
        <w:t>problematiškas</w:t>
      </w:r>
      <w:proofErr w:type="spellEnd"/>
      <w:r w:rsidR="00E2576D" w:rsidRPr="00E2576D">
        <w:rPr>
          <w:color w:val="000000"/>
        </w:rPr>
        <w:t xml:space="preserve"> dėl politinių sprendimų; išvadose akcentuojama nepriklausomų fiskalinių institucijų rolė fiskalinės drausmės priežiūros procese; siūloma svarstyti minimalių reikalavimų fiskalinėms institucijoms nustatymo klausimą.</w:t>
      </w:r>
    </w:p>
    <w:p w:rsidR="00E2576D" w:rsidRPr="00E2576D" w:rsidRDefault="00E2576D" w:rsidP="00E2576D">
      <w:pPr>
        <w:spacing w:after="0" w:line="240" w:lineRule="auto"/>
        <w:ind w:right="99" w:firstLine="709"/>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Atskira ataskaitos dalis skirta EFB pasiūlymui reformuoti ES fiskalinę sistemą. Nagrinėjama fiskalinės drausmės taisyklių evoliucija, poveikis </w:t>
      </w:r>
      <w:r w:rsidR="00C32423">
        <w:rPr>
          <w:rFonts w:eastAsia="Times New Roman" w:cs="Times New Roman"/>
          <w:color w:val="000000"/>
          <w:szCs w:val="24"/>
          <w:lang w:eastAsia="lt-LT"/>
        </w:rPr>
        <w:t>VN</w:t>
      </w:r>
      <w:r w:rsidRPr="00E2576D">
        <w:rPr>
          <w:rFonts w:eastAsia="Times New Roman" w:cs="Times New Roman"/>
          <w:color w:val="000000"/>
          <w:szCs w:val="24"/>
          <w:lang w:eastAsia="lt-LT"/>
        </w:rPr>
        <w:t xml:space="preserve"> finansų padėčiai ir bendrai EZ bei EU finansų padėčiai; taip pat įvardinami esamų taisyklių trūkumai. Pateikiamos EFB įžvalgos, kurlink galėtų toliau evoliucionuoti ES fiskalinė sistema, kurios neatsiejama dalimi yra ir fiskalinės drausmės taisyklės.</w:t>
      </w:r>
    </w:p>
    <w:p w:rsidR="00E2576D" w:rsidRPr="00E2576D" w:rsidRDefault="00E2576D" w:rsidP="00E2576D">
      <w:pPr>
        <w:spacing w:after="6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Siūloma:</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Vienas pagrindinis fiskalinis indikatorius- valdžios sektoriaus skola ne didesnė kaip 60 proc. BVP (privalumas- stebimas ir tiksliai apskaičiuojamas rodiklis);</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Vienas operatyvinis rodiklis – išlaidų riba (</w:t>
      </w:r>
      <w:proofErr w:type="spellStart"/>
      <w:r w:rsidRPr="00E2576D">
        <w:rPr>
          <w:rFonts w:eastAsia="Times New Roman" w:cs="Times New Roman"/>
          <w:i/>
          <w:iCs/>
          <w:color w:val="000000"/>
          <w:szCs w:val="24"/>
          <w:lang w:eastAsia="lt-LT"/>
        </w:rPr>
        <w:t>expenditure</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benchmark</w:t>
      </w:r>
      <w:proofErr w:type="spellEnd"/>
      <w:r w:rsidRPr="00E2576D">
        <w:rPr>
          <w:rFonts w:eastAsia="Times New Roman" w:cs="Times New Roman"/>
          <w:color w:val="000000"/>
          <w:szCs w:val="24"/>
          <w:lang w:eastAsia="lt-LT"/>
        </w:rPr>
        <w:t>)  - stebimas rodiklis, turintis stabilizavimo savybių, turėtų būti griežtai nustatomos  trimetės išlaidų ribos, jų laikymasis kasmet stebimas ir viršijus jas- nedelsiant viršijimas kompensuojamas;</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Nustatomas tik viena išlyga iš taisyklės, atsisakant šiuo metu taikomas įvairias lankstumo sąlygas. Išlygos „įjungimas“ turėtų kiek įmanoma labiau priklausyti nuo nepriklausomo ekonominio vertinimo, bet ne nuo politinio sprendimo;</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Auksinės taisyklės“ (</w:t>
      </w:r>
      <w:proofErr w:type="spellStart"/>
      <w:r w:rsidRPr="00E2576D">
        <w:rPr>
          <w:rFonts w:eastAsia="Times New Roman" w:cs="Times New Roman"/>
          <w:i/>
          <w:iCs/>
          <w:color w:val="000000"/>
          <w:szCs w:val="24"/>
          <w:lang w:eastAsia="lt-LT"/>
        </w:rPr>
        <w:t>Golden</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rule</w:t>
      </w:r>
      <w:proofErr w:type="spellEnd"/>
      <w:r w:rsidRPr="00E2576D">
        <w:rPr>
          <w:rFonts w:eastAsia="Times New Roman" w:cs="Times New Roman"/>
          <w:color w:val="000000"/>
          <w:szCs w:val="24"/>
          <w:lang w:eastAsia="lt-LT"/>
        </w:rPr>
        <w:t>) įvedimas. Ją taikant, vertinant kaip šalis laikosi išlaidų ribojimo taisyklės, būtų atsižvelgiama į išlaidas investicijoms, kurios skatina ekonomikos augimą (pvz., galėtų būti taikoma bendrai finansuojamiems ES investicijų projektams); investicijų tinkamumą papildomai stabėtų nacionalinės fiskalinės institucijos (IFI) ir statistikos departamentai;</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Nustatyti šaliai specifiniai skolos  tiksliniai dydžiai ir siektina skolos dinamika (tikslų skirtumus lemtų skirtingi šalims taupymo įpročiai, pensijų sistemos, skolinimosi kaina, einamosios sąskaitos padėtis);</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Euro grupės pirmininkas būtų pilnai įdarbinamas; neturėtų būti konkrečios šalies Finansų ministras, nei Komisijos narys, taip užtikrinant darbų tęstinumą ir valdymo gerinimą;</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t>- panaikinti atvirkštinį daugumos balsavimo principą.  Jį panaikinus, būtų perkelta politinė atsakomybė už taisyklių įgyvendinimą Tarybai; būtų sustiprinta daugiašalė priežiūra;</w:t>
      </w:r>
    </w:p>
    <w:p w:rsidR="00E2576D" w:rsidRPr="00E2576D" w:rsidRDefault="00E2576D" w:rsidP="00E2576D">
      <w:pPr>
        <w:spacing w:after="0" w:line="240" w:lineRule="auto"/>
        <w:ind w:firstLine="284"/>
        <w:jc w:val="both"/>
        <w:rPr>
          <w:rFonts w:eastAsia="Times New Roman" w:cs="Times New Roman"/>
          <w:color w:val="000000"/>
          <w:szCs w:val="24"/>
          <w:lang w:eastAsia="lt-LT"/>
        </w:rPr>
      </w:pPr>
      <w:r w:rsidRPr="00E2576D">
        <w:rPr>
          <w:rFonts w:eastAsia="Times New Roman" w:cs="Times New Roman"/>
          <w:color w:val="000000"/>
          <w:szCs w:val="24"/>
          <w:lang w:eastAsia="lt-LT"/>
        </w:rPr>
        <w:lastRenderedPageBreak/>
        <w:t>- Kadangi finansinių sankcijų klausimas yra labai jautrus ir politiškai sunkiai įgyvendinimas, siūloma sukurti centrinį fiskalinį pajėgumą. VN norinčios juo pasinaudoti, t.y. prieiti prie šio fondo, visų pirma turėtų atitikti fiskalines taisykles</w:t>
      </w:r>
    </w:p>
    <w:p w:rsidR="00E2576D" w:rsidRPr="00E2576D" w:rsidRDefault="000922B3" w:rsidP="00E2576D">
      <w:pPr>
        <w:pStyle w:val="prastasistinklapis"/>
        <w:jc w:val="both"/>
        <w:rPr>
          <w:color w:val="000000"/>
        </w:rPr>
      </w:pPr>
      <w:r w:rsidRPr="00E2576D">
        <w:rPr>
          <w:b/>
          <w:u w:val="single"/>
        </w:rPr>
        <w:t>Lietuvos pozicija.</w:t>
      </w:r>
      <w:r w:rsidR="00E2576D" w:rsidRPr="00E2576D">
        <w:rPr>
          <w:b/>
          <w:u w:val="single"/>
        </w:rPr>
        <w:t xml:space="preserve"> </w:t>
      </w:r>
      <w:r w:rsidR="00E2576D" w:rsidRPr="00E2576D">
        <w:rPr>
          <w:color w:val="000000"/>
        </w:rPr>
        <w:t xml:space="preserve">ES fiskalinės sistemos peržiūra (ar reformos) neturi lemti taisyklėmis grįstos sistemos silpninimo (kiek įmanoma, reiktų vengti politizuotų procesų, diskrecinių sprendimų iš EK pusės bei negausinti išimčių bei lankstumo, taikant Stabilumo ir augimo pakto taisykles, atvejų), pagrindinė gairė taisyklių peržiūros procese turėtų būti ES šalių narių ir euro zonos finansų tvarumo išlaikymas bei makro </w:t>
      </w:r>
      <w:proofErr w:type="spellStart"/>
      <w:r w:rsidR="00E2576D" w:rsidRPr="00E2576D">
        <w:rPr>
          <w:color w:val="000000"/>
        </w:rPr>
        <w:t>disbalansų</w:t>
      </w:r>
      <w:proofErr w:type="spellEnd"/>
      <w:r w:rsidR="00E2576D" w:rsidRPr="00E2576D">
        <w:rPr>
          <w:color w:val="000000"/>
        </w:rPr>
        <w:t xml:space="preserve"> prevencija bei vengimas. Pačių šalių narių atsakomybė (</w:t>
      </w:r>
      <w:proofErr w:type="spellStart"/>
      <w:r w:rsidR="00E2576D" w:rsidRPr="00E2576D">
        <w:rPr>
          <w:color w:val="000000"/>
        </w:rPr>
        <w:t>ownership</w:t>
      </w:r>
      <w:proofErr w:type="spellEnd"/>
      <w:r w:rsidR="00E2576D" w:rsidRPr="00E2576D">
        <w:rPr>
          <w:color w:val="000000"/>
        </w:rPr>
        <w:t>) už taisyklių laikymasis ir suinteresuotumas ilgalaikiu finansų stabilumu turėtų būti stiprinamas.</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Nepriklausomų fiskalinių institucijų, veikiančių šalyse (NFI) vaidmens formalaus stiprinimo reikalingumas yra abejotinas, nes:</w:t>
      </w:r>
    </w:p>
    <w:p w:rsidR="00E2576D" w:rsidRPr="00E2576D" w:rsidRDefault="00E2576D" w:rsidP="00E2576D">
      <w:pPr>
        <w:spacing w:after="0" w:line="240" w:lineRule="auto"/>
        <w:ind w:left="34" w:firstLine="326"/>
        <w:jc w:val="both"/>
        <w:rPr>
          <w:rFonts w:eastAsia="Times New Roman" w:cs="Times New Roman"/>
          <w:color w:val="000000"/>
          <w:szCs w:val="24"/>
          <w:lang w:eastAsia="lt-LT"/>
        </w:rPr>
      </w:pPr>
      <w:r w:rsidRPr="00E2576D">
        <w:rPr>
          <w:rFonts w:eastAsia="Times New Roman" w:cs="Times New Roman"/>
          <w:color w:val="000000"/>
          <w:szCs w:val="24"/>
          <w:lang w:eastAsia="lt-LT"/>
        </w:rPr>
        <w:t>- šiuo metu esantis NFI kompetencijos ir institucinio nepriklausomumo lygis ES šalyse  yra labai skirtingas;</w:t>
      </w:r>
    </w:p>
    <w:p w:rsidR="00E2576D" w:rsidRPr="00E2576D" w:rsidRDefault="00E2576D" w:rsidP="00E2576D">
      <w:pPr>
        <w:spacing w:after="0" w:line="240" w:lineRule="auto"/>
        <w:ind w:left="34" w:firstLine="326"/>
        <w:jc w:val="both"/>
        <w:rPr>
          <w:rFonts w:eastAsia="Times New Roman" w:cs="Times New Roman"/>
          <w:color w:val="000000"/>
          <w:szCs w:val="24"/>
          <w:lang w:eastAsia="lt-LT"/>
        </w:rPr>
      </w:pPr>
      <w:r w:rsidRPr="00E2576D">
        <w:rPr>
          <w:rFonts w:eastAsia="Times New Roman" w:cs="Times New Roman"/>
          <w:color w:val="000000"/>
          <w:szCs w:val="24"/>
          <w:lang w:eastAsia="lt-LT"/>
        </w:rPr>
        <w:t>- šalių vyriausybės yra atsakingos už biudžeto parengimą pagal vyriausybės formuojamą ekonominę ir fiskalinę politiką (būtent vyriausybių prerogatyva yra nustatyti atitinkamos politikos įgyvendinimo priemones ir jų apimtį);</w:t>
      </w:r>
    </w:p>
    <w:p w:rsidR="000922B3" w:rsidRPr="00E2576D" w:rsidRDefault="00E2576D" w:rsidP="00E2576D">
      <w:pPr>
        <w:spacing w:after="0" w:line="240" w:lineRule="auto"/>
        <w:jc w:val="both"/>
        <w:rPr>
          <w:rFonts w:cs="Times New Roman"/>
          <w:b/>
          <w:szCs w:val="24"/>
          <w:u w:val="single"/>
          <w:lang w:eastAsia="lt-LT"/>
        </w:rPr>
      </w:pPr>
      <w:r w:rsidRPr="00E2576D">
        <w:rPr>
          <w:rFonts w:eastAsia="Times New Roman" w:cs="Times New Roman"/>
          <w:color w:val="000000"/>
          <w:szCs w:val="24"/>
          <w:lang w:eastAsia="lt-LT"/>
        </w:rPr>
        <w:t xml:space="preserve">atsakomybė už priemonių įgyvendinimą, už fiskalinių tikslų pasiekimą ar nepasiekimą taip pat </w:t>
      </w:r>
      <w:proofErr w:type="spellStart"/>
      <w:r w:rsidRPr="00E2576D">
        <w:rPr>
          <w:rFonts w:eastAsia="Times New Roman" w:cs="Times New Roman"/>
          <w:color w:val="000000"/>
          <w:szCs w:val="24"/>
          <w:lang w:eastAsia="lt-LT"/>
        </w:rPr>
        <w:t>de</w:t>
      </w:r>
      <w:proofErr w:type="spellEnd"/>
      <w:r w:rsidRPr="00E2576D">
        <w:rPr>
          <w:rFonts w:eastAsia="Times New Roman" w:cs="Times New Roman"/>
          <w:color w:val="000000"/>
          <w:szCs w:val="24"/>
          <w:lang w:eastAsia="lt-LT"/>
        </w:rPr>
        <w:t xml:space="preserve"> facto yra vyriausybės,  ne NFI. </w:t>
      </w:r>
    </w:p>
    <w:p w:rsidR="000922B3" w:rsidRDefault="000922B3" w:rsidP="000922B3">
      <w:pPr>
        <w:autoSpaceDE w:val="0"/>
        <w:autoSpaceDN w:val="0"/>
        <w:adjustRightInd w:val="0"/>
        <w:spacing w:after="0" w:line="240" w:lineRule="auto"/>
        <w:rPr>
          <w:rFonts w:cs="Times New Roman"/>
          <w:color w:val="000000"/>
          <w:szCs w:val="24"/>
        </w:rPr>
      </w:pPr>
    </w:p>
    <w:p w:rsidR="00E84CA5" w:rsidRPr="00E2576D" w:rsidRDefault="00E84CA5" w:rsidP="000922B3">
      <w:pPr>
        <w:autoSpaceDE w:val="0"/>
        <w:autoSpaceDN w:val="0"/>
        <w:adjustRightInd w:val="0"/>
        <w:spacing w:after="0" w:line="240" w:lineRule="auto"/>
        <w:rPr>
          <w:rFonts w:cs="Times New Roman"/>
          <w:color w:val="000000"/>
          <w:szCs w:val="24"/>
        </w:rPr>
      </w:pPr>
    </w:p>
    <w:p w:rsidR="00421F54" w:rsidRPr="00E2576D" w:rsidRDefault="00B163C2" w:rsidP="00421F5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E2576D">
        <w:rPr>
          <w:rFonts w:cs="Times New Roman"/>
          <w:b/>
          <w:szCs w:val="24"/>
        </w:rPr>
        <w:t xml:space="preserve">Išvados dėl ES statistikos </w:t>
      </w:r>
      <w:r w:rsidRPr="00E2576D">
        <w:rPr>
          <w:rFonts w:cs="Times New Roman"/>
          <w:i/>
          <w:szCs w:val="24"/>
        </w:rPr>
        <w:t>(priėmimas)</w:t>
      </w:r>
    </w:p>
    <w:p w:rsidR="00D876C0" w:rsidRPr="00E2576D" w:rsidRDefault="00D876C0" w:rsidP="003F5087">
      <w:pPr>
        <w:spacing w:after="0" w:line="240" w:lineRule="auto"/>
        <w:jc w:val="both"/>
        <w:rPr>
          <w:rFonts w:eastAsia="Calibri" w:cs="Times New Roman"/>
          <w:b/>
          <w:noProof/>
          <w:szCs w:val="24"/>
          <w:u w:val="single"/>
          <w:lang w:bidi="lt-LT"/>
        </w:rPr>
      </w:pPr>
    </w:p>
    <w:p w:rsidR="00E2576D" w:rsidRPr="00E2576D" w:rsidRDefault="00B163C2" w:rsidP="00E84CA5">
      <w:pPr>
        <w:pStyle w:val="prastasistinklapis"/>
        <w:jc w:val="both"/>
        <w:rPr>
          <w:color w:val="000000"/>
        </w:rPr>
      </w:pPr>
      <w:r w:rsidRPr="00E2576D">
        <w:rPr>
          <w:b/>
          <w:u w:val="single"/>
          <w:lang w:bidi="lt-LT"/>
        </w:rPr>
        <w:t>Klausimo esmė.</w:t>
      </w:r>
      <w:r w:rsidR="00E2576D" w:rsidRPr="00E84CA5">
        <w:rPr>
          <w:lang w:bidi="lt-LT"/>
        </w:rPr>
        <w:t xml:space="preserve"> </w:t>
      </w:r>
      <w:r w:rsidR="00E2576D" w:rsidRPr="00E84CA5">
        <w:rPr>
          <w:bCs/>
          <w:color w:val="000000"/>
        </w:rPr>
        <w:t>Tarybos išvadose</w:t>
      </w:r>
      <w:r w:rsidR="00E2576D" w:rsidRPr="00E2576D">
        <w:rPr>
          <w:color w:val="000000"/>
        </w:rPr>
        <w:t> pabrėžiama, kad atsižvelgiant į augantį kokybiškos statistinės informacijos poreikį globalizacijos, technologinės pažangos kontekste svarbu užtikrinti adekvačius finansinius ir žmogiškuosius išteklius tiek Europos, tiek nacionaliniu lygiu.</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Pripažįstama migracijos, demografinės, užimtumo, skaitmeninės ekonomikos, klimato kaitos, aplinkos, darnaus vystymosi, MTEP, inovacijų, švietimo, sveikatos socialinės apsaugos bei socialinės įtrauktiems bei skurdo statistikos plėtros svarba. Taip pat pripažįstamas veiklos rengiant teisės aktus, įgyvendinančius Europos integruotos socialinės statistikos ir verslo statistikos reglamentų reikalavimus, reikšmingumas. Ypatingai sveikinamas Europos integruotos socialinės statistikos reglamente numatomas Užimtumo tyrimo ir Gyvenimo sąlygų tyrimo modernizavimas nuo 2021 m.</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Išvadose skatinamas naujų duomenų šaltinių ir technologijų, </w:t>
      </w:r>
      <w:proofErr w:type="spellStart"/>
      <w:r w:rsidRPr="00E2576D">
        <w:rPr>
          <w:rFonts w:eastAsia="Times New Roman" w:cs="Times New Roman"/>
          <w:color w:val="000000"/>
          <w:szCs w:val="24"/>
          <w:lang w:eastAsia="lt-LT"/>
        </w:rPr>
        <w:t>inovatyvių</w:t>
      </w:r>
      <w:proofErr w:type="spellEnd"/>
      <w:r w:rsidRPr="00E2576D">
        <w:rPr>
          <w:rFonts w:eastAsia="Times New Roman" w:cs="Times New Roman"/>
          <w:color w:val="000000"/>
          <w:szCs w:val="24"/>
          <w:lang w:eastAsia="lt-LT"/>
        </w:rPr>
        <w:t xml:space="preserve"> metodų panaudojimas.</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Pripažįstama pasiekta pažanga gerinant </w:t>
      </w:r>
      <w:proofErr w:type="spellStart"/>
      <w:r w:rsidRPr="00E2576D">
        <w:rPr>
          <w:rFonts w:eastAsia="Times New Roman" w:cs="Times New Roman"/>
          <w:color w:val="000000"/>
          <w:szCs w:val="24"/>
          <w:lang w:eastAsia="lt-LT"/>
        </w:rPr>
        <w:t>PEEIs</w:t>
      </w:r>
      <w:proofErr w:type="spellEnd"/>
      <w:r w:rsidRPr="00E2576D">
        <w:rPr>
          <w:rFonts w:eastAsia="Times New Roman" w:cs="Times New Roman"/>
          <w:color w:val="000000"/>
          <w:szCs w:val="24"/>
          <w:lang w:eastAsia="lt-LT"/>
        </w:rPr>
        <w:t xml:space="preserve"> kokybę teritorinės aprėpties, savalaikiškumo, laiko eilučių ilgio požiūriu. Šiuo požiūriu kaip ypatingai reikšmingas rezultatas įvardijamas ESA2010 pagrindu pradėti rengti užimtumo įverčiai. Taryba skatina plėtoti eksperimentinę socialinę statistiką, tokiu būdu gerinant šios srities statistikos savalaikiškumą. Taip pat akcentuojama pasiekta pažanga įgyvendinant ESA2010 reikalavimus panaikinant išlygas.</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Išaugus verslo, politikų, investuotojų ir ypač analitikų susidomėjimui komercinės paskirties nekilnojamojo turto rodikliais (CPPI) vertinami pirmieji Eurostato žingsniai šiai statistikai plėtoti. </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Pabrėžiama valdžios sektoriaus ir PDP statistikos kokybės svarba prižiūrint bei formuojant ES ekonomikos politiką, ypač Stabilumo ir augimo pakto (SAP) ir EK investicijų plano Europai kontekste ir kviečiama VN užtikrinti, kad visi statistiniai duomenys, reikalingi SAP išlaidų limitams apskaičiuoti, būtų pateikti Eurostatui, įskaitant valdžios sektoriaus pajamas iš ES fondų. Eurostatas skatinamas teikti išaiškinimus aktualiais metodologiniais klausimais.</w:t>
      </w:r>
    </w:p>
    <w:p w:rsidR="00E2576D" w:rsidRPr="00E2576D" w:rsidRDefault="00E2576D" w:rsidP="00E84CA5">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Tarybos išvadose palankiai vertinama metinė Europos statistikos sistemos (ESS) ir Europos centrinių bankų sistemos (ECBS) MIP kokybės ataskaita ir joje numatyti veiksmai.</w:t>
      </w:r>
    </w:p>
    <w:p w:rsidR="00B163C2" w:rsidRPr="00E2576D" w:rsidRDefault="00E2576D" w:rsidP="00E84CA5">
      <w:pPr>
        <w:spacing w:after="0" w:line="240" w:lineRule="auto"/>
        <w:jc w:val="both"/>
        <w:rPr>
          <w:rFonts w:cs="Times New Roman"/>
          <w:b/>
          <w:szCs w:val="24"/>
        </w:rPr>
      </w:pPr>
      <w:r w:rsidRPr="00E2576D">
        <w:rPr>
          <w:rFonts w:eastAsia="Times New Roman" w:cs="Times New Roman"/>
          <w:color w:val="000000"/>
          <w:szCs w:val="24"/>
          <w:lang w:eastAsia="lt-LT"/>
        </w:rPr>
        <w:t>Atspindint globalizacijos procesus, skatinamas ESS ir ECBS bendradarbiavimas nukreiptas į finansinio ir nefinansinio sektorių statistikos suderinamumo ir tikslumo užtikrinimą bei apsikeitimą statistikos rengėjams reikalingais duomenimis. Pripažįstama viešojo sektoriaus apskaitos standartų diegimo pažanga.</w:t>
      </w:r>
    </w:p>
    <w:p w:rsidR="00B163C2" w:rsidRPr="00E2576D" w:rsidRDefault="00B163C2" w:rsidP="00E84CA5">
      <w:pPr>
        <w:spacing w:after="0" w:line="240" w:lineRule="auto"/>
        <w:jc w:val="both"/>
        <w:rPr>
          <w:rFonts w:cs="Times New Roman"/>
          <w:b/>
          <w:szCs w:val="24"/>
          <w:u w:val="single"/>
          <w:lang w:eastAsia="lt-LT"/>
        </w:rPr>
      </w:pPr>
      <w:r w:rsidRPr="00E2576D">
        <w:rPr>
          <w:rFonts w:cs="Times New Roman"/>
          <w:b/>
          <w:szCs w:val="24"/>
          <w:u w:val="single"/>
          <w:lang w:eastAsia="lt-LT"/>
        </w:rPr>
        <w:t>Lietuvos pozicija.</w:t>
      </w:r>
      <w:r w:rsidR="00E2576D" w:rsidRPr="00E2576D">
        <w:rPr>
          <w:rFonts w:cs="Times New Roman"/>
          <w:b/>
          <w:szCs w:val="24"/>
          <w:u w:val="single"/>
          <w:lang w:eastAsia="lt-LT"/>
        </w:rPr>
        <w:t xml:space="preserve"> </w:t>
      </w:r>
      <w:r w:rsidR="00E2576D" w:rsidRPr="00E2576D">
        <w:rPr>
          <w:rFonts w:cs="Times New Roman"/>
          <w:color w:val="000000"/>
          <w:szCs w:val="24"/>
        </w:rPr>
        <w:t>Siūlome pritarti Tarybos išvadoms dėl ES statistikos.</w:t>
      </w:r>
    </w:p>
    <w:p w:rsidR="003B0320" w:rsidRDefault="00E2576D" w:rsidP="00343558">
      <w:pPr>
        <w:spacing w:after="0" w:line="240" w:lineRule="auto"/>
        <w:contextualSpacing/>
        <w:jc w:val="both"/>
        <w:rPr>
          <w:rFonts w:eastAsia="Calibri" w:cs="Times New Roman"/>
          <w:b/>
          <w:szCs w:val="24"/>
        </w:rPr>
      </w:pPr>
      <w:r w:rsidRPr="00E2576D">
        <w:rPr>
          <w:rFonts w:eastAsia="Calibri" w:cs="Times New Roman"/>
          <w:b/>
          <w:szCs w:val="24"/>
        </w:rPr>
        <w:t xml:space="preserve"> </w:t>
      </w:r>
    </w:p>
    <w:p w:rsidR="00792C64" w:rsidRDefault="00792C64" w:rsidP="00343558">
      <w:pPr>
        <w:spacing w:after="0" w:line="240" w:lineRule="auto"/>
        <w:contextualSpacing/>
        <w:jc w:val="both"/>
        <w:rPr>
          <w:rFonts w:eastAsia="Calibri" w:cs="Times New Roman"/>
          <w:b/>
          <w:szCs w:val="24"/>
        </w:rPr>
      </w:pPr>
    </w:p>
    <w:p w:rsidR="00792C64" w:rsidRPr="00E2576D" w:rsidRDefault="00792C64" w:rsidP="00343558">
      <w:pPr>
        <w:spacing w:after="0" w:line="240" w:lineRule="auto"/>
        <w:contextualSpacing/>
        <w:jc w:val="both"/>
        <w:rPr>
          <w:rFonts w:eastAsia="Calibri" w:cs="Times New Roman"/>
          <w:b/>
          <w:szCs w:val="24"/>
        </w:rPr>
      </w:pPr>
    </w:p>
    <w:p w:rsidR="003B0320" w:rsidRPr="00E2576D" w:rsidRDefault="003B0320" w:rsidP="00343558">
      <w:pPr>
        <w:spacing w:after="0" w:line="240" w:lineRule="auto"/>
        <w:contextualSpacing/>
        <w:jc w:val="both"/>
        <w:rPr>
          <w:rFonts w:eastAsia="Calibri" w:cs="Times New Roman"/>
          <w:b/>
          <w:szCs w:val="24"/>
        </w:rPr>
      </w:pPr>
    </w:p>
    <w:p w:rsidR="003B0320" w:rsidRPr="00E2576D" w:rsidRDefault="00B163C2" w:rsidP="003B032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E2576D">
        <w:rPr>
          <w:rFonts w:cs="Times New Roman"/>
          <w:b/>
          <w:szCs w:val="24"/>
        </w:rPr>
        <w:lastRenderedPageBreak/>
        <w:t xml:space="preserve">COP 25 išvados dėl kovos su klimato kaita finansavimo </w:t>
      </w:r>
      <w:r w:rsidRPr="00E2576D">
        <w:rPr>
          <w:rFonts w:cs="Times New Roman"/>
          <w:i/>
          <w:szCs w:val="24"/>
        </w:rPr>
        <w:t>(priėmimas)</w:t>
      </w:r>
    </w:p>
    <w:p w:rsidR="00E84CA5" w:rsidRDefault="00E84CA5" w:rsidP="00E2576D">
      <w:pPr>
        <w:pStyle w:val="prastasistinklapis"/>
        <w:jc w:val="both"/>
        <w:rPr>
          <w:b/>
          <w:u w:val="single"/>
          <w:lang w:bidi="lt-LT"/>
        </w:rPr>
      </w:pPr>
    </w:p>
    <w:p w:rsidR="00E2576D" w:rsidRPr="00E2576D" w:rsidRDefault="00B163C2" w:rsidP="00E2576D">
      <w:pPr>
        <w:pStyle w:val="prastasistinklapis"/>
        <w:jc w:val="both"/>
        <w:rPr>
          <w:color w:val="000000"/>
        </w:rPr>
      </w:pPr>
      <w:r w:rsidRPr="00E2576D">
        <w:rPr>
          <w:b/>
          <w:u w:val="single"/>
          <w:lang w:bidi="lt-LT"/>
        </w:rPr>
        <w:t>Klausimo esmė.</w:t>
      </w:r>
      <w:r w:rsidR="00E2576D" w:rsidRPr="00E2576D">
        <w:rPr>
          <w:b/>
          <w:u w:val="single"/>
          <w:lang w:bidi="lt-LT"/>
        </w:rPr>
        <w:t xml:space="preserve"> </w:t>
      </w:r>
      <w:r w:rsidR="00E2576D" w:rsidRPr="00E2576D">
        <w:rPr>
          <w:color w:val="000000"/>
        </w:rPr>
        <w:t>Š. m. lapkričio 8 d. ECOFIN tarybos posėdžio metu bus svarstomos ir tvirtinamos Tarybos išvados rengiantis Jungtinių Tautų bendrosios klimato kaitos konvencijos (toliau - JTBKKK) šalių konferencijai, vyksiančiai</w:t>
      </w:r>
      <w:r w:rsidR="00785520">
        <w:rPr>
          <w:color w:val="000000"/>
        </w:rPr>
        <w:t xml:space="preserve"> š. m. gruodžio 2-13 d. Madride (Ispanijoje</w:t>
      </w:r>
      <w:r w:rsidR="00E2576D" w:rsidRPr="00E2576D">
        <w:rPr>
          <w:color w:val="000000"/>
        </w:rPr>
        <w:t>).</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Pagrindiniai ECOFIN išvadų aspektai:</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 Pakartotinai išreiškiama ES parama Paryžiaus susitarimo įgyvendinimui, Katovicuose COP24 metu parengtoms veiklos taisyklėms, 2019 m. Jungtinių Tautų vystymosi finansavimo forumo rezultatams, pabrėžiamas 2030 m. Darnaus vystymosi darbotvarkės, </w:t>
      </w:r>
      <w:proofErr w:type="spellStart"/>
      <w:r w:rsidRPr="00E2576D">
        <w:rPr>
          <w:rFonts w:eastAsia="Times New Roman" w:cs="Times New Roman"/>
          <w:color w:val="000000"/>
          <w:szCs w:val="24"/>
          <w:lang w:eastAsia="lt-LT"/>
        </w:rPr>
        <w:t>Adis</w:t>
      </w:r>
      <w:proofErr w:type="spellEnd"/>
      <w:r w:rsidRPr="00E2576D">
        <w:rPr>
          <w:rFonts w:eastAsia="Times New Roman" w:cs="Times New Roman"/>
          <w:color w:val="000000"/>
          <w:szCs w:val="24"/>
          <w:lang w:eastAsia="lt-LT"/>
        </w:rPr>
        <w:t xml:space="preserve"> Abeba veiksmų darbotvarkės tikslų ir Paryžiaus susitarimo įgyvendinimo tarpusavio ryšys.</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Pabrėžiama greitos ir ambicingos pažangos svarba siekiant ilgalaikių Paryžiaus susitarimo tikslų, ypatingai Paryžiaus susitarimo 2.1c straipsnio tikslo, pabrėžiamas spartesnės pažangos siekiant ilgalaikių finansinių tikslų poreikis, privačių lėšų mobilizavimo svarba, remiamos privataus sektoriaus ir ES iniciatyvos tvarių finansų ir investicijų srityse, Finansų ministrų koalicijos klimato klausimams veikla.</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Pabrėžiama anglies dioksido apmokestinimo mechanizmų ir žalingų subsidijų atsisakymo svarba siekiant klimato atžvilgiu neutralių ir tvarių investicijų, teisingo (angl. </w:t>
      </w:r>
      <w:r w:rsidRPr="00E2576D">
        <w:rPr>
          <w:rFonts w:eastAsia="Times New Roman" w:cs="Times New Roman"/>
          <w:i/>
          <w:iCs/>
          <w:color w:val="000000"/>
          <w:szCs w:val="24"/>
          <w:lang w:eastAsia="lt-LT"/>
        </w:rPr>
        <w:t>just</w:t>
      </w:r>
      <w:r w:rsidRPr="00E2576D">
        <w:rPr>
          <w:rFonts w:eastAsia="Times New Roman" w:cs="Times New Roman"/>
          <w:color w:val="000000"/>
          <w:szCs w:val="24"/>
          <w:lang w:eastAsia="lt-LT"/>
        </w:rPr>
        <w:t xml:space="preserve">) perėjimo prie klimato atžvilgiu neutralios ekonomikos ir </w:t>
      </w:r>
      <w:proofErr w:type="spellStart"/>
      <w:r w:rsidRPr="00E2576D">
        <w:rPr>
          <w:rFonts w:eastAsia="Times New Roman" w:cs="Times New Roman"/>
          <w:color w:val="000000"/>
          <w:szCs w:val="24"/>
          <w:lang w:eastAsia="lt-LT"/>
        </w:rPr>
        <w:t>inovatyvių</w:t>
      </w:r>
      <w:proofErr w:type="spellEnd"/>
      <w:r w:rsidRPr="00E2576D">
        <w:rPr>
          <w:rFonts w:eastAsia="Times New Roman" w:cs="Times New Roman"/>
          <w:color w:val="000000"/>
          <w:szCs w:val="24"/>
          <w:lang w:eastAsia="lt-LT"/>
        </w:rPr>
        <w:t xml:space="preserve"> sprendimų kovai su klimato kaita, pabrėžiama išmetamo anglies dioksido apmokestinimo ir klimato kaitos klausimų įtraukimo į biudžeto ir planavimo procedūras svarba, patvirtinamas įsipareigojamas dirbti kartu su kitomis šalimis sudarant tarptautinių anglies dioksido rinkų taisykles.  </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Pabrėžiama, kad naujoje ES daugiametėje finansinėje programoje 2021-2027 m. bus įtraukti ambicingi klimato kaitos tikslai visose srityse, atsižvelgiant į kitus ES politikos prioritetus. Pažymima, kad lėšos klimato kaitos ir darnaus vystymosi tikslams įgyvendinti turėtų būti naudojamos efektyviai. Pabrėžiamas poreikis koordinuoti veiksmus su šalimis narėmis ir kitais tarptautiniais donorais, didinti lėšų mobilizavimą iš įvairių šaltinių.</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Pažymima, kad ES ir toliau sieks didinti tarptautiniam klimato kaitos finansavimui mobilizuojamas lėšas, taip prisidėdama prie 100 mlrd. JAV dolerių sumos, kurią 2020-2025 m. išsivysčiusios šalys yra įsipareigojusios kasmet skirti klimato kaitos mažinimo ir prisitaikymo priemonėms besivystančiose šalyse. Šiame kontekste atkreipiamas dėmesys, kad reikalingi reikšmingi veiksmai klimato kaitos švelninimo srityje, skaidrumo poreikis. Pažymima jau pasiekta pažanga ir ES bei šalių narių indėlis viešosiomis lėšomis (daugiau nei 20 mlrd. EUR kasmet, 2018 m. - 21,7 mlrd. EUR), kuris ir toliau yra didžiausias. Kitos šalys skatinamos didinti klimato kaitos tikslams skiriamą finansavimą.</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Pabrėžiama, kad viešasis klimato kaitos finansavimas ir toliau bus svarbus, tačiau didžioji dalis finansavimo, norint pasiekti užsibrėžtus tikslus, turės būti skirta iš vietinių ir privačių šaltinių, akcentuojama papildomų pastangų šioje srityje svarba ir poreikis tikslingiau nukreipti viešąsias lėšas, siekiant, kad jos suteiktų svertą privataus sektoriaus skiriamam finansavimui. Taip pat svarbu kurti įgalinančią aplinką.</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 Pakartotinai išreiškiamas ES įsipareigojimas dalyvauti 2020 m. lapkričio mėnesį prasidėsiančioje diskusijose dėl naujo finansinio tikslo nustatymo laikotarpiui po 2025 m. Pabrėžiamas didesnės finansavimo šaltinių įvairovės, didesnio donorų rato, sąsajos su Paryžiaus susitarimo 2.1.c straipsniu ir </w:t>
      </w:r>
      <w:proofErr w:type="spellStart"/>
      <w:r w:rsidRPr="00E2576D">
        <w:rPr>
          <w:rFonts w:eastAsia="Times New Roman" w:cs="Times New Roman"/>
          <w:color w:val="000000"/>
          <w:szCs w:val="24"/>
          <w:lang w:eastAsia="lt-LT"/>
        </w:rPr>
        <w:t>Adis</w:t>
      </w:r>
      <w:proofErr w:type="spellEnd"/>
      <w:r w:rsidRPr="00E2576D">
        <w:rPr>
          <w:rFonts w:eastAsia="Times New Roman" w:cs="Times New Roman"/>
          <w:color w:val="000000"/>
          <w:szCs w:val="24"/>
          <w:lang w:eastAsia="lt-LT"/>
        </w:rPr>
        <w:t xml:space="preserve"> Abeba veiksmų darbotvarke, lėšų panaudojimo efektyvumo poreikis.</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 Daugiašaliai plėtros bankai (DPB) bei nacionaliniai ir regioniniai plėtros bankai skatinami pateikti informaciją apie priemones, kuriomis jie siekia suderinti savo investicinius portfelius su Paryžiaus susitarimo įgyvendinimu, toliau didinti su klimato kaita susijusias investicijas, pasitelkti </w:t>
      </w:r>
      <w:proofErr w:type="spellStart"/>
      <w:r w:rsidRPr="00E2576D">
        <w:rPr>
          <w:rFonts w:eastAsia="Times New Roman" w:cs="Times New Roman"/>
          <w:color w:val="000000"/>
          <w:szCs w:val="24"/>
          <w:lang w:eastAsia="lt-LT"/>
        </w:rPr>
        <w:t>inovatyvius</w:t>
      </w:r>
      <w:proofErr w:type="spellEnd"/>
      <w:r w:rsidRPr="00E2576D">
        <w:rPr>
          <w:rFonts w:eastAsia="Times New Roman" w:cs="Times New Roman"/>
          <w:color w:val="000000"/>
          <w:szCs w:val="24"/>
          <w:lang w:eastAsia="lt-LT"/>
        </w:rPr>
        <w:t xml:space="preserve"> sprendimus, pritraukti privataus sektoriaus finansavimą. Sveikinama iki šiol pasiekta pažanga šioje srityje, laukiama DPB ataskaitos apie pasiektą pažangą dėl DPB bendro požiūrio COP25 </w:t>
      </w:r>
      <w:r w:rsidR="003948F6">
        <w:rPr>
          <w:rFonts w:eastAsia="Times New Roman" w:cs="Times New Roman"/>
          <w:color w:val="000000"/>
          <w:szCs w:val="24"/>
          <w:lang w:eastAsia="lt-LT"/>
        </w:rPr>
        <w:t>Madride</w:t>
      </w:r>
      <w:r w:rsidRPr="00E2576D">
        <w:rPr>
          <w:rFonts w:eastAsia="Times New Roman" w:cs="Times New Roman"/>
          <w:color w:val="000000"/>
          <w:szCs w:val="24"/>
          <w:lang w:eastAsia="lt-LT"/>
        </w:rPr>
        <w:t xml:space="preserve"> metu. DPB skatinami palaipsniui mažinti finansavimą iškastiniam kurui.</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 Sveikinamos pastangos didinti prisitaikymui prie klimato kaitos skiriamą finansavimą, pabrėžiama, kad ES ir šalys narės yra didžiausias prisitaikymui skirtų lėšų donoras, bei toliau ketina didinti šiam tikslui skiriamas lėšas, ypatingai siekiant padėti </w:t>
      </w:r>
      <w:proofErr w:type="spellStart"/>
      <w:r w:rsidRPr="00E2576D">
        <w:rPr>
          <w:rFonts w:eastAsia="Times New Roman" w:cs="Times New Roman"/>
          <w:color w:val="000000"/>
          <w:szCs w:val="24"/>
          <w:lang w:eastAsia="lt-LT"/>
        </w:rPr>
        <w:t>pažeidžiamiausioms</w:t>
      </w:r>
      <w:proofErr w:type="spellEnd"/>
      <w:r w:rsidRPr="00E2576D">
        <w:rPr>
          <w:rFonts w:eastAsia="Times New Roman" w:cs="Times New Roman"/>
          <w:color w:val="000000"/>
          <w:szCs w:val="24"/>
          <w:lang w:eastAsia="lt-LT"/>
        </w:rPr>
        <w:t xml:space="preserve"> šalims (mažiausiai išsivysčiusioms šalims ir mažų salų besivystančioms valstybėms).</w:t>
      </w:r>
    </w:p>
    <w:p w:rsidR="00B163C2" w:rsidRPr="00E2576D" w:rsidRDefault="00E2576D" w:rsidP="00E2576D">
      <w:pPr>
        <w:spacing w:after="0" w:line="240" w:lineRule="auto"/>
        <w:jc w:val="both"/>
        <w:rPr>
          <w:rFonts w:cs="Times New Roman"/>
          <w:b/>
          <w:szCs w:val="24"/>
        </w:rPr>
      </w:pPr>
      <w:r w:rsidRPr="00E2576D">
        <w:rPr>
          <w:rFonts w:eastAsia="Times New Roman" w:cs="Times New Roman"/>
          <w:color w:val="000000"/>
          <w:szCs w:val="24"/>
          <w:lang w:eastAsia="lt-LT"/>
        </w:rPr>
        <w:t xml:space="preserve">- Pabrėžiama, kad į besivystančių šalių poreikių nustatymą turi būti žvelgiama platesniame kontekste, įvertinant Darnaus vystymosi tikslų ir </w:t>
      </w:r>
      <w:proofErr w:type="spellStart"/>
      <w:r w:rsidRPr="00E2576D">
        <w:rPr>
          <w:rFonts w:eastAsia="Times New Roman" w:cs="Times New Roman"/>
          <w:color w:val="000000"/>
          <w:szCs w:val="24"/>
          <w:lang w:eastAsia="lt-LT"/>
        </w:rPr>
        <w:t>Adis</w:t>
      </w:r>
      <w:proofErr w:type="spellEnd"/>
      <w:r w:rsidRPr="00E2576D">
        <w:rPr>
          <w:rFonts w:eastAsia="Times New Roman" w:cs="Times New Roman"/>
          <w:color w:val="000000"/>
          <w:szCs w:val="24"/>
          <w:lang w:eastAsia="lt-LT"/>
        </w:rPr>
        <w:t xml:space="preserve"> Abeba veiksmų darbotvarkės įgyvendinimą, ryšį tarp </w:t>
      </w:r>
      <w:r w:rsidRPr="00E2576D">
        <w:rPr>
          <w:rFonts w:eastAsia="Times New Roman" w:cs="Times New Roman"/>
          <w:color w:val="000000"/>
          <w:szCs w:val="24"/>
          <w:lang w:eastAsia="lt-LT"/>
        </w:rPr>
        <w:lastRenderedPageBreak/>
        <w:t>ambicingų veiksmų, Paryžiaus susitarimo 2.1.c str. ir didesnio privataus sektoriaus lėšų mobilizavimo. Atliekant šią analizę taip pat svarbu įvertinti metodologinius trūkumus. ES skatina akademinę bendruomenę, viešąjį ir privatų sektorius, daugiašales ir dvišales plėtros institucijas dalyvauti šiame procese bei laukia poreikių nustatymo ataskaitos pristatymo per COP26.</w:t>
      </w:r>
    </w:p>
    <w:p w:rsidR="00B163C2" w:rsidRPr="00E2576D" w:rsidRDefault="00B163C2" w:rsidP="00B163C2">
      <w:pPr>
        <w:spacing w:after="0" w:line="240" w:lineRule="auto"/>
        <w:jc w:val="both"/>
        <w:rPr>
          <w:rFonts w:cs="Times New Roman"/>
          <w:b/>
          <w:szCs w:val="24"/>
          <w:u w:val="single"/>
          <w:lang w:eastAsia="lt-LT"/>
        </w:rPr>
      </w:pPr>
      <w:r w:rsidRPr="00E2576D">
        <w:rPr>
          <w:rFonts w:cs="Times New Roman"/>
          <w:b/>
          <w:szCs w:val="24"/>
          <w:u w:val="single"/>
          <w:lang w:eastAsia="lt-LT"/>
        </w:rPr>
        <w:t>Lietuvos pozicija.</w:t>
      </w:r>
      <w:r w:rsidR="00E2576D" w:rsidRPr="00E84CA5">
        <w:rPr>
          <w:rFonts w:cs="Times New Roman"/>
          <w:szCs w:val="24"/>
          <w:lang w:eastAsia="lt-LT"/>
        </w:rPr>
        <w:t xml:space="preserve"> </w:t>
      </w:r>
      <w:r w:rsidR="00E2576D" w:rsidRPr="00E2576D">
        <w:rPr>
          <w:rFonts w:cs="Times New Roman"/>
          <w:color w:val="000000"/>
          <w:szCs w:val="24"/>
        </w:rPr>
        <w:t>Lietuva pritaria ECOFIN Tarybos išvadoms dėl tarptautinio klimato kaitos finansavimo ir remia pagrindinius išvadų elementus, kad svarbu akcentuoti poreikį įgyvendinti Paryžiaus susitarimo 2.1.c str. nuostatas, kad privataus klimato kaitos finansavimo augimas būtų kaip pagrindinis klimato kaitos finansavimo didėjimo šaltinis, išlaikant viešojo klimato kaitos finansavimo svarbą. Taip pat pritariame, kad reikalingas įvairių finansavimo šaltinių ir plataus dalyvių rato indėlis į klimato kaitos finansavimą. </w:t>
      </w:r>
    </w:p>
    <w:p w:rsidR="00DD1D02" w:rsidRPr="00E2576D" w:rsidRDefault="00DD1D02" w:rsidP="00DD1D02">
      <w:pPr>
        <w:spacing w:after="0" w:line="240" w:lineRule="auto"/>
        <w:jc w:val="both"/>
        <w:rPr>
          <w:rFonts w:cs="Times New Roman"/>
          <w:color w:val="000000"/>
          <w:szCs w:val="24"/>
        </w:rPr>
      </w:pPr>
    </w:p>
    <w:p w:rsidR="00B163C2" w:rsidRPr="00E2576D" w:rsidRDefault="00B163C2" w:rsidP="00DD1D02">
      <w:pPr>
        <w:spacing w:after="0" w:line="240" w:lineRule="auto"/>
        <w:jc w:val="both"/>
        <w:rPr>
          <w:rFonts w:cs="Times New Roman"/>
          <w:color w:val="000000"/>
          <w:szCs w:val="24"/>
        </w:rPr>
      </w:pPr>
    </w:p>
    <w:p w:rsidR="00B163C2" w:rsidRPr="00E2576D" w:rsidRDefault="00B163C2" w:rsidP="00B163C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E2576D">
        <w:rPr>
          <w:rFonts w:cs="Times New Roman"/>
          <w:b/>
          <w:szCs w:val="24"/>
        </w:rPr>
        <w:t>Tolesnė veikla, susijusiu su G20 finansų ministrų ir centrinių bankų valdytojų susitikimui su TVF ir Pasaulio Banko metiniais susitikimais, įvykusiais 2019 m. spalio mėn. Vašingtone (</w:t>
      </w:r>
      <w:r w:rsidRPr="00E2576D">
        <w:rPr>
          <w:rFonts w:cs="Times New Roman"/>
          <w:i/>
          <w:iCs/>
          <w:szCs w:val="24"/>
        </w:rPr>
        <w:t>Pirmininkaujančios valstybės narės ir Komisijos informacija)</w:t>
      </w:r>
    </w:p>
    <w:p w:rsidR="00B163C2" w:rsidRPr="00E2576D" w:rsidRDefault="00B163C2" w:rsidP="00DD1D02">
      <w:pPr>
        <w:spacing w:after="0" w:line="240" w:lineRule="auto"/>
        <w:jc w:val="both"/>
        <w:rPr>
          <w:rFonts w:cs="Times New Roman"/>
          <w:color w:val="000000"/>
          <w:szCs w:val="24"/>
        </w:rPr>
      </w:pPr>
    </w:p>
    <w:p w:rsidR="00E2576D" w:rsidRPr="00E2576D" w:rsidRDefault="00B163C2" w:rsidP="00E84CA5">
      <w:pPr>
        <w:pStyle w:val="prastasistinklapis"/>
        <w:jc w:val="both"/>
        <w:rPr>
          <w:color w:val="000000"/>
        </w:rPr>
      </w:pPr>
      <w:r w:rsidRPr="00E2576D">
        <w:rPr>
          <w:b/>
          <w:u w:val="single"/>
          <w:lang w:bidi="lt-LT"/>
        </w:rPr>
        <w:t>Klausimo esmė.</w:t>
      </w:r>
      <w:r w:rsidR="00E2576D" w:rsidRPr="00E2576D">
        <w:rPr>
          <w:b/>
          <w:u w:val="single"/>
          <w:lang w:bidi="lt-LT"/>
        </w:rPr>
        <w:t xml:space="preserve"> </w:t>
      </w:r>
      <w:r w:rsidR="00E2576D" w:rsidRPr="00E2576D">
        <w:rPr>
          <w:color w:val="000000"/>
        </w:rPr>
        <w:t>Pirmininkaujanti šalis ir Komisija pristatys informaciją apie G20 finansų ministrų ir centrinių bankų valdytojų susitikimą, ir TVF ir Pasaulio banko metinius susitikimus, vykusius 2019 m. spalio mėn. Vašingtone, JAV.</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color w:val="000000"/>
          <w:szCs w:val="24"/>
          <w:lang w:eastAsia="lt-LT"/>
        </w:rPr>
        <w:t xml:space="preserve">G20 finansų ministrų ir centrinių bankų valdytojų susitikimo metu buvo aptarta pasaulio ekonomikos situacija, tarptautinis apmokestinimas, </w:t>
      </w:r>
      <w:proofErr w:type="spellStart"/>
      <w:r w:rsidRPr="00E2576D">
        <w:rPr>
          <w:rFonts w:eastAsia="Times New Roman" w:cs="Times New Roman"/>
          <w:color w:val="000000"/>
          <w:szCs w:val="24"/>
          <w:lang w:eastAsia="lt-LT"/>
        </w:rPr>
        <w:t>kriptovaliutų</w:t>
      </w:r>
      <w:proofErr w:type="spellEnd"/>
      <w:r w:rsidRPr="00E2576D">
        <w:rPr>
          <w:rFonts w:eastAsia="Times New Roman" w:cs="Times New Roman"/>
          <w:color w:val="000000"/>
          <w:szCs w:val="24"/>
          <w:lang w:eastAsia="lt-LT"/>
        </w:rPr>
        <w:t xml:space="preserve"> klausimai, Susitarimo su Afrika (angl. </w:t>
      </w:r>
      <w:proofErr w:type="spellStart"/>
      <w:r w:rsidRPr="00E2576D">
        <w:rPr>
          <w:rFonts w:eastAsia="Times New Roman" w:cs="Times New Roman"/>
          <w:i/>
          <w:iCs/>
          <w:color w:val="000000"/>
          <w:szCs w:val="24"/>
          <w:lang w:eastAsia="lt-LT"/>
        </w:rPr>
        <w:t>Compact</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with</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Africa</w:t>
      </w:r>
      <w:proofErr w:type="spellEnd"/>
      <w:r w:rsidRPr="00E2576D">
        <w:rPr>
          <w:rFonts w:eastAsia="Times New Roman" w:cs="Times New Roman"/>
          <w:color w:val="000000"/>
          <w:szCs w:val="24"/>
          <w:lang w:eastAsia="lt-LT"/>
        </w:rPr>
        <w:t>) iniciatyva. Saudo Arabija, pristatė savo artėjančio pirmininkavimo G20 prioritetus.</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Pasaulio ekonomika:</w:t>
      </w:r>
      <w:r w:rsidRPr="00E2576D">
        <w:rPr>
          <w:rFonts w:eastAsia="Times New Roman" w:cs="Times New Roman"/>
          <w:color w:val="000000"/>
          <w:szCs w:val="24"/>
          <w:lang w:eastAsia="lt-LT"/>
        </w:rPr>
        <w:t xml:space="preserve"> atkreiptas dėmesys, kad pasaulio ekonomikos augimas lėtėja, tačiau tikimasi, kad jis vėl paspartės 2020 m. G20 susitikimo metu TVF akcentavo (1) prekybos karų įtaką pasaulio BVP; (2) padidėjusias </w:t>
      </w:r>
      <w:proofErr w:type="spellStart"/>
      <w:r w:rsidRPr="00E2576D">
        <w:rPr>
          <w:rFonts w:eastAsia="Times New Roman" w:cs="Times New Roman"/>
          <w:color w:val="000000"/>
          <w:szCs w:val="24"/>
          <w:lang w:eastAsia="lt-LT"/>
        </w:rPr>
        <w:t>rizikas</w:t>
      </w:r>
      <w:proofErr w:type="spellEnd"/>
      <w:r w:rsidRPr="00E2576D">
        <w:rPr>
          <w:rFonts w:eastAsia="Times New Roman" w:cs="Times New Roman"/>
          <w:color w:val="000000"/>
          <w:szCs w:val="24"/>
          <w:lang w:eastAsia="lt-LT"/>
        </w:rPr>
        <w:t xml:space="preserve">; (3) poreikį mažinti neapibrėžtumą tiek prekyboje, tiek dėl </w:t>
      </w:r>
      <w:proofErr w:type="spellStart"/>
      <w:r w:rsidRPr="00E2576D">
        <w:rPr>
          <w:rFonts w:eastAsia="Times New Roman" w:cs="Times New Roman"/>
          <w:color w:val="000000"/>
          <w:szCs w:val="24"/>
          <w:lang w:eastAsia="lt-LT"/>
        </w:rPr>
        <w:t>Brexit</w:t>
      </w:r>
      <w:proofErr w:type="spellEnd"/>
      <w:r w:rsidRPr="00E2576D">
        <w:rPr>
          <w:rFonts w:eastAsia="Times New Roman" w:cs="Times New Roman"/>
          <w:color w:val="000000"/>
          <w:szCs w:val="24"/>
          <w:lang w:eastAsia="lt-LT"/>
        </w:rPr>
        <w:t>.</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Tarptautinis apmokestinimas:</w:t>
      </w:r>
      <w:r w:rsidRPr="00E2576D">
        <w:rPr>
          <w:rFonts w:eastAsia="Times New Roman" w:cs="Times New Roman"/>
          <w:color w:val="000000"/>
          <w:szCs w:val="24"/>
          <w:lang w:eastAsia="lt-LT"/>
        </w:rPr>
        <w:t> aptarta pasiekta pažanga, patvirtinta dviejų atramų darbo programa (1 – skaitmeninių verslo modelių apmokestinimas, 2 – pelno nukreipimas į teritorijas, kuriose apmokestinimo nėra, arba jis yra labai mažas). Patvirtinta, kad bus siekiama sutarimu paremto sprendimo, kuris turėtų būti pasiektas iki G20  viršūnių susitikimo 2020 m. lapkričio mėn.</w:t>
      </w:r>
    </w:p>
    <w:p w:rsidR="00E2576D" w:rsidRPr="00E2576D" w:rsidRDefault="00E2576D" w:rsidP="00E2576D">
      <w:pPr>
        <w:spacing w:after="0" w:line="240" w:lineRule="auto"/>
        <w:jc w:val="both"/>
        <w:rPr>
          <w:rFonts w:eastAsia="Times New Roman" w:cs="Times New Roman"/>
          <w:color w:val="000000"/>
          <w:szCs w:val="24"/>
          <w:lang w:eastAsia="lt-LT"/>
        </w:rPr>
      </w:pPr>
      <w:proofErr w:type="spellStart"/>
      <w:r w:rsidRPr="00E2576D">
        <w:rPr>
          <w:rFonts w:eastAsia="Times New Roman" w:cs="Times New Roman"/>
          <w:b/>
          <w:bCs/>
          <w:i/>
          <w:iCs/>
          <w:color w:val="000000"/>
          <w:szCs w:val="24"/>
          <w:lang w:eastAsia="lt-LT"/>
        </w:rPr>
        <w:t>Stablecoins</w:t>
      </w:r>
      <w:proofErr w:type="spellEnd"/>
      <w:r w:rsidRPr="00E2576D">
        <w:rPr>
          <w:rFonts w:eastAsia="Times New Roman" w:cs="Times New Roman"/>
          <w:b/>
          <w:bCs/>
          <w:color w:val="000000"/>
          <w:szCs w:val="24"/>
          <w:lang w:eastAsia="lt-LT"/>
        </w:rPr>
        <w:t>: </w:t>
      </w:r>
      <w:r w:rsidRPr="00E2576D">
        <w:rPr>
          <w:rFonts w:eastAsia="Times New Roman" w:cs="Times New Roman"/>
          <w:color w:val="000000"/>
          <w:szCs w:val="24"/>
          <w:lang w:eastAsia="lt-LT"/>
        </w:rPr>
        <w:t>aptarta pasaulinių </w:t>
      </w:r>
      <w:proofErr w:type="spellStart"/>
      <w:r w:rsidRPr="00E2576D">
        <w:rPr>
          <w:rFonts w:eastAsia="Times New Roman" w:cs="Times New Roman"/>
          <w:i/>
          <w:iCs/>
          <w:color w:val="000000"/>
          <w:szCs w:val="24"/>
          <w:lang w:eastAsia="lt-LT"/>
        </w:rPr>
        <w:t>stablecoins</w:t>
      </w:r>
      <w:proofErr w:type="spellEnd"/>
      <w:r w:rsidRPr="00E2576D">
        <w:rPr>
          <w:rFonts w:eastAsia="Times New Roman" w:cs="Times New Roman"/>
          <w:i/>
          <w:iCs/>
          <w:color w:val="000000"/>
          <w:szCs w:val="24"/>
          <w:lang w:eastAsia="lt-LT"/>
        </w:rPr>
        <w:t> </w:t>
      </w:r>
      <w:r w:rsidRPr="00E2576D">
        <w:rPr>
          <w:rFonts w:eastAsia="Times New Roman" w:cs="Times New Roman"/>
          <w:color w:val="000000"/>
          <w:szCs w:val="24"/>
          <w:lang w:eastAsia="lt-LT"/>
        </w:rPr>
        <w:t>galimai teikiama nauda ir keliami iššūkiai, susiję su finansiniu stabilumu, monetarine politika, suverenitetu, pinigų plovimo ir kt. klausimais. Finansinio stabilumo tarybos, Finansinių veiksmų darbo grupės ir TVF paprašyta iki 2020 m. vidurio parengti su klausimu susijusias analizes.</w:t>
      </w:r>
    </w:p>
    <w:p w:rsidR="00E2576D" w:rsidRPr="00E2576D" w:rsidRDefault="00E2576D" w:rsidP="00E2576D">
      <w:pPr>
        <w:spacing w:after="0" w:line="240" w:lineRule="auto"/>
        <w:jc w:val="both"/>
        <w:rPr>
          <w:rFonts w:eastAsia="Times New Roman" w:cs="Times New Roman"/>
          <w:color w:val="000000"/>
          <w:szCs w:val="24"/>
          <w:lang w:eastAsia="lt-LT"/>
        </w:rPr>
      </w:pPr>
      <w:r w:rsidRPr="00E2576D">
        <w:rPr>
          <w:rFonts w:eastAsia="Times New Roman" w:cs="Times New Roman"/>
          <w:b/>
          <w:bCs/>
          <w:color w:val="000000"/>
          <w:szCs w:val="24"/>
          <w:lang w:eastAsia="lt-LT"/>
        </w:rPr>
        <w:t>Susitarimas su Afrika:</w:t>
      </w:r>
      <w:r w:rsidRPr="00E2576D">
        <w:rPr>
          <w:rFonts w:eastAsia="Times New Roman" w:cs="Times New Roman"/>
          <w:color w:val="000000"/>
          <w:szCs w:val="24"/>
          <w:lang w:eastAsia="lt-LT"/>
        </w:rPr>
        <w:t> pristatyta pasiekta pažanga, tarptautinės organizacijos pakviestos labiau įsitraukti į susitarimo su Afrika veiklą. Pasaulio bankas paskirtas pagrindine organizacija, Afrikos vystymosi bankas – atsakingas už bendradarbiavimą su vystymosi finansavimo institucijomis ir privačiu sektoriumi, o TVF turėtų koncentruotis į makroekonominius ir finansinio stabilumo klausimus Susitarimo su Afrika valstybėse.</w:t>
      </w:r>
    </w:p>
    <w:p w:rsidR="00B163C2" w:rsidRPr="00E2576D" w:rsidRDefault="00E2576D" w:rsidP="00E2576D">
      <w:pPr>
        <w:spacing w:after="0" w:line="240" w:lineRule="auto"/>
        <w:jc w:val="both"/>
        <w:rPr>
          <w:rFonts w:cs="Times New Roman"/>
          <w:b/>
          <w:szCs w:val="24"/>
        </w:rPr>
      </w:pPr>
      <w:r w:rsidRPr="00E2576D">
        <w:rPr>
          <w:rFonts w:eastAsia="Times New Roman" w:cs="Times New Roman"/>
          <w:b/>
          <w:bCs/>
          <w:color w:val="000000"/>
          <w:szCs w:val="24"/>
          <w:lang w:eastAsia="lt-LT"/>
        </w:rPr>
        <w:t>Saudo Arabijos pirmininkavimas G20: </w:t>
      </w:r>
      <w:r w:rsidRPr="00E2576D">
        <w:rPr>
          <w:rFonts w:eastAsia="Times New Roman" w:cs="Times New Roman"/>
          <w:color w:val="000000"/>
          <w:szCs w:val="24"/>
          <w:lang w:eastAsia="lt-LT"/>
        </w:rPr>
        <w:t>finansų srityje Saudo Arabija didžiausią dėmesį skirs 1) vietos valiuta nominuotų obligacijų rinkų plėtrai (angl. </w:t>
      </w:r>
      <w:proofErr w:type="spellStart"/>
      <w:r w:rsidRPr="00E2576D">
        <w:rPr>
          <w:rFonts w:eastAsia="Times New Roman" w:cs="Times New Roman"/>
          <w:i/>
          <w:iCs/>
          <w:color w:val="000000"/>
          <w:szCs w:val="24"/>
          <w:lang w:eastAsia="lt-LT"/>
        </w:rPr>
        <w:t>local</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currency</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bond</w:t>
      </w:r>
      <w:proofErr w:type="spellEnd"/>
      <w:r w:rsidRPr="00E2576D">
        <w:rPr>
          <w:rFonts w:eastAsia="Times New Roman" w:cs="Times New Roman"/>
          <w:i/>
          <w:iCs/>
          <w:color w:val="000000"/>
          <w:szCs w:val="24"/>
          <w:lang w:eastAsia="lt-LT"/>
        </w:rPr>
        <w:t xml:space="preserve"> </w:t>
      </w:r>
      <w:proofErr w:type="spellStart"/>
      <w:r w:rsidRPr="00E2576D">
        <w:rPr>
          <w:rFonts w:eastAsia="Times New Roman" w:cs="Times New Roman"/>
          <w:i/>
          <w:iCs/>
          <w:color w:val="000000"/>
          <w:szCs w:val="24"/>
          <w:lang w:eastAsia="lt-LT"/>
        </w:rPr>
        <w:t>markets</w:t>
      </w:r>
      <w:proofErr w:type="spellEnd"/>
      <w:r w:rsidRPr="00E2576D">
        <w:rPr>
          <w:rFonts w:eastAsia="Times New Roman" w:cs="Times New Roman"/>
          <w:color w:val="000000"/>
          <w:szCs w:val="24"/>
          <w:lang w:eastAsia="lt-LT"/>
        </w:rPr>
        <w:t xml:space="preserve">), 2) kapitalo srautams, 3) technologijos panaudojimo infrastruktūroje teikiamos naudos analizei, 4) finansų reguliavimo ir priežiūros skaitmeninėje eroje klausimams, 5) G20 darbo ekonomikos </w:t>
      </w:r>
      <w:proofErr w:type="spellStart"/>
      <w:r w:rsidRPr="00E2576D">
        <w:rPr>
          <w:rFonts w:eastAsia="Times New Roman" w:cs="Times New Roman"/>
          <w:color w:val="000000"/>
          <w:szCs w:val="24"/>
          <w:lang w:eastAsia="lt-LT"/>
        </w:rPr>
        <w:t>stebėsenoje</w:t>
      </w:r>
      <w:proofErr w:type="spellEnd"/>
      <w:r w:rsidRPr="00E2576D">
        <w:rPr>
          <w:rFonts w:eastAsia="Times New Roman" w:cs="Times New Roman"/>
          <w:color w:val="000000"/>
          <w:szCs w:val="24"/>
          <w:lang w:eastAsia="lt-LT"/>
        </w:rPr>
        <w:t>, skolos, terorizmo finansavimo, apmokestinimo klausimais tąsai, 6) galimybių prieinamumui.</w:t>
      </w:r>
    </w:p>
    <w:p w:rsidR="00B163C2" w:rsidRPr="00E2576D" w:rsidRDefault="00B163C2" w:rsidP="00B163C2">
      <w:pPr>
        <w:spacing w:after="0" w:line="240" w:lineRule="auto"/>
        <w:jc w:val="both"/>
        <w:rPr>
          <w:rFonts w:cs="Times New Roman"/>
          <w:b/>
          <w:szCs w:val="24"/>
          <w:u w:val="single"/>
          <w:lang w:eastAsia="lt-LT"/>
        </w:rPr>
      </w:pPr>
      <w:r w:rsidRPr="00E2576D">
        <w:rPr>
          <w:rFonts w:cs="Times New Roman"/>
          <w:b/>
          <w:szCs w:val="24"/>
          <w:u w:val="single"/>
          <w:lang w:eastAsia="lt-LT"/>
        </w:rPr>
        <w:t>Lietuvos pozicija.</w:t>
      </w:r>
      <w:r w:rsidR="00E2576D" w:rsidRPr="00E2576D">
        <w:rPr>
          <w:rFonts w:cs="Times New Roman"/>
          <w:b/>
          <w:szCs w:val="24"/>
          <w:u w:val="single"/>
          <w:lang w:eastAsia="lt-LT"/>
        </w:rPr>
        <w:t xml:space="preserve"> </w:t>
      </w:r>
      <w:r w:rsidR="00E2576D" w:rsidRPr="00E2576D">
        <w:rPr>
          <w:rFonts w:cs="Times New Roman"/>
          <w:color w:val="000000"/>
          <w:szCs w:val="24"/>
        </w:rPr>
        <w:t>Informacija pateikiama žiniai.</w:t>
      </w:r>
    </w:p>
    <w:p w:rsidR="00B163C2" w:rsidRDefault="00B163C2" w:rsidP="00DD1D02">
      <w:pPr>
        <w:spacing w:after="0" w:line="240" w:lineRule="auto"/>
        <w:jc w:val="both"/>
        <w:rPr>
          <w:rFonts w:cs="Times New Roman"/>
          <w:color w:val="000000"/>
          <w:szCs w:val="24"/>
        </w:rPr>
      </w:pPr>
    </w:p>
    <w:p w:rsidR="00792C64" w:rsidRPr="002404FC" w:rsidRDefault="00792C64" w:rsidP="00792C64">
      <w:pPr>
        <w:spacing w:after="0" w:line="240" w:lineRule="auto"/>
        <w:contextualSpacing/>
        <w:jc w:val="both"/>
        <w:rPr>
          <w:rFonts w:eastAsia="Calibri" w:cs="Times New Roman"/>
          <w:szCs w:val="24"/>
        </w:rPr>
      </w:pPr>
      <w:r w:rsidRPr="002404FC">
        <w:rPr>
          <w:rFonts w:eastAsia="Calibri" w:cs="Times New Roman"/>
          <w:szCs w:val="24"/>
        </w:rPr>
        <w:t xml:space="preserve">Taip pat </w:t>
      </w:r>
      <w:r>
        <w:rPr>
          <w:rFonts w:eastAsia="Calibri" w:cs="Times New Roman"/>
          <w:szCs w:val="24"/>
        </w:rPr>
        <w:t xml:space="preserve">posėdžio metu bus priimtos </w:t>
      </w:r>
      <w:r w:rsidRPr="002404FC">
        <w:rPr>
          <w:rFonts w:eastAsia="Calibri" w:cs="Times New Roman"/>
          <w:b/>
          <w:szCs w:val="24"/>
        </w:rPr>
        <w:t>Tarybos rekomendacijos dėl Europos centrinio banko Vykdomosios valdybos nario skyrimo</w:t>
      </w:r>
      <w:r>
        <w:rPr>
          <w:rFonts w:eastAsia="Calibri" w:cs="Times New Roman"/>
          <w:szCs w:val="24"/>
        </w:rPr>
        <w:t xml:space="preserve"> (plačiau žr. prie Euro grupės klausimų).</w:t>
      </w:r>
    </w:p>
    <w:p w:rsidR="00792C64" w:rsidRDefault="00792C64" w:rsidP="00DD1D02">
      <w:pPr>
        <w:spacing w:after="0" w:line="240" w:lineRule="auto"/>
        <w:jc w:val="both"/>
        <w:rPr>
          <w:rFonts w:cs="Times New Roman"/>
          <w:color w:val="000000"/>
          <w:szCs w:val="24"/>
        </w:rPr>
      </w:pPr>
    </w:p>
    <w:p w:rsidR="002404FC" w:rsidRDefault="002404FC" w:rsidP="002404FC">
      <w:pPr>
        <w:spacing w:after="0" w:line="240" w:lineRule="auto"/>
        <w:rPr>
          <w:rFonts w:eastAsia="Calibri" w:cs="Times New Roman"/>
          <w:szCs w:val="24"/>
        </w:rPr>
      </w:pPr>
    </w:p>
    <w:p w:rsidR="00792C64" w:rsidRDefault="00792C64" w:rsidP="002404FC">
      <w:pPr>
        <w:spacing w:after="0" w:line="240" w:lineRule="auto"/>
        <w:rPr>
          <w:rFonts w:eastAsia="Calibri" w:cs="Times New Roman"/>
          <w:szCs w:val="24"/>
        </w:rPr>
      </w:pPr>
    </w:p>
    <w:p w:rsidR="00792C64" w:rsidRDefault="00792C64" w:rsidP="002404FC">
      <w:pPr>
        <w:spacing w:after="0" w:line="240" w:lineRule="auto"/>
        <w:rPr>
          <w:rFonts w:eastAsia="Calibri" w:cs="Times New Roman"/>
          <w:szCs w:val="24"/>
        </w:rPr>
      </w:pPr>
    </w:p>
    <w:p w:rsidR="00792C64" w:rsidRDefault="00792C64" w:rsidP="002404FC">
      <w:pPr>
        <w:spacing w:after="0" w:line="240" w:lineRule="auto"/>
        <w:rPr>
          <w:rFonts w:eastAsia="Calibri" w:cs="Times New Roman"/>
          <w:szCs w:val="24"/>
        </w:rPr>
      </w:pPr>
    </w:p>
    <w:p w:rsidR="00792C64" w:rsidRDefault="00792C64" w:rsidP="002404FC">
      <w:pPr>
        <w:spacing w:after="0" w:line="240" w:lineRule="auto"/>
        <w:rPr>
          <w:rFonts w:eastAsia="Calibri" w:cs="Times New Roman"/>
          <w:szCs w:val="24"/>
        </w:rPr>
      </w:pPr>
    </w:p>
    <w:p w:rsidR="00792C64" w:rsidRPr="00112FEC" w:rsidRDefault="00792C64" w:rsidP="002404FC">
      <w:pPr>
        <w:spacing w:after="0" w:line="240" w:lineRule="auto"/>
        <w:rPr>
          <w:rFonts w:eastAsia="Calibri" w:cs="Times New Roman"/>
          <w:szCs w:val="24"/>
        </w:rPr>
      </w:pPr>
    </w:p>
    <w:p w:rsidR="003B0320" w:rsidRDefault="003B0320" w:rsidP="003B0320">
      <w:pPr>
        <w:spacing w:after="0" w:line="240" w:lineRule="auto"/>
        <w:jc w:val="center"/>
        <w:rPr>
          <w:rFonts w:eastAsia="Calibri" w:cs="Times New Roman"/>
          <w:b/>
          <w:sz w:val="26"/>
          <w:szCs w:val="26"/>
        </w:rPr>
      </w:pPr>
      <w:r w:rsidRPr="002F602E">
        <w:rPr>
          <w:rFonts w:eastAsia="Calibri" w:cs="Times New Roman"/>
          <w:b/>
          <w:sz w:val="26"/>
          <w:szCs w:val="26"/>
        </w:rPr>
        <w:lastRenderedPageBreak/>
        <w:t xml:space="preserve">PAŽYMA dėl š.m. </w:t>
      </w:r>
      <w:r w:rsidR="0099647D">
        <w:rPr>
          <w:rFonts w:eastAsia="Calibri" w:cs="Times New Roman"/>
          <w:b/>
          <w:sz w:val="26"/>
          <w:szCs w:val="26"/>
        </w:rPr>
        <w:t>lapkričio 7</w:t>
      </w:r>
      <w:r w:rsidRPr="002F602E">
        <w:rPr>
          <w:rFonts w:eastAsia="Calibri" w:cs="Times New Roman"/>
          <w:b/>
          <w:sz w:val="26"/>
          <w:szCs w:val="26"/>
        </w:rPr>
        <w:t xml:space="preserve"> d. EURO GRUPĖS klausimų</w:t>
      </w:r>
    </w:p>
    <w:p w:rsidR="003B0320" w:rsidRPr="00112FEC" w:rsidRDefault="003B0320" w:rsidP="003B0320">
      <w:pPr>
        <w:spacing w:after="0" w:line="240" w:lineRule="auto"/>
        <w:jc w:val="center"/>
        <w:rPr>
          <w:rFonts w:eastAsia="Calibri" w:cs="Times New Roman"/>
          <w:szCs w:val="24"/>
        </w:rPr>
      </w:pPr>
    </w:p>
    <w:p w:rsidR="00B431FD" w:rsidRPr="00112FEC" w:rsidRDefault="00B431FD" w:rsidP="00B431FD">
      <w:pPr>
        <w:spacing w:after="0" w:line="240" w:lineRule="auto"/>
        <w:jc w:val="center"/>
        <w:rPr>
          <w:rFonts w:eastAsia="Calibri" w:cs="Times New Roman"/>
          <w:szCs w:val="24"/>
        </w:rPr>
      </w:pPr>
    </w:p>
    <w:p w:rsidR="00B431FD" w:rsidRPr="002F602E" w:rsidRDefault="00B431FD" w:rsidP="00B431FD">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 xml:space="preserve">Tematinės diskusijos </w:t>
      </w:r>
      <w:r w:rsidR="00DB08A9">
        <w:rPr>
          <w:rFonts w:cs="Times New Roman"/>
          <w:b/>
          <w:szCs w:val="24"/>
        </w:rPr>
        <w:t>– Investicijos į inovacijas</w:t>
      </w:r>
    </w:p>
    <w:p w:rsidR="00B431FD" w:rsidRDefault="00B431FD" w:rsidP="00B431FD">
      <w:pPr>
        <w:spacing w:after="0" w:line="240" w:lineRule="auto"/>
        <w:jc w:val="both"/>
        <w:rPr>
          <w:rFonts w:cs="Times New Roman"/>
          <w:szCs w:val="24"/>
          <w:lang w:eastAsia="lt-LT" w:bidi="lt-LT"/>
        </w:rPr>
      </w:pPr>
    </w:p>
    <w:p w:rsidR="00E40A00" w:rsidRDefault="00B431FD" w:rsidP="00B431FD">
      <w:pPr>
        <w:spacing w:after="0" w:line="240" w:lineRule="auto"/>
        <w:jc w:val="both"/>
        <w:rPr>
          <w:rFonts w:cs="Times New Roman"/>
          <w:b/>
          <w:szCs w:val="24"/>
        </w:rPr>
      </w:pPr>
      <w:r w:rsidRPr="00B97266">
        <w:rPr>
          <w:rFonts w:cs="Times New Roman"/>
          <w:b/>
          <w:szCs w:val="24"/>
          <w:u w:val="single"/>
          <w:lang w:eastAsia="lt-LT" w:bidi="lt-LT"/>
        </w:rPr>
        <w:t>Klausimo esmė.</w:t>
      </w:r>
      <w:r w:rsidRPr="00B97266">
        <w:rPr>
          <w:rFonts w:cs="Times New Roman"/>
          <w:szCs w:val="24"/>
          <w:lang w:eastAsia="lt-LT" w:bidi="lt-LT"/>
        </w:rPr>
        <w:t xml:space="preserve"> </w:t>
      </w:r>
      <w:r w:rsidR="00E40A00" w:rsidRPr="00E40A00">
        <w:rPr>
          <w:rFonts w:cs="Times New Roman"/>
          <w:szCs w:val="24"/>
        </w:rPr>
        <w:t>Investicijos į mokslinius tyrimus ir inovacijas vienas pagrindinių ekonomikos augimo variklių, nes šios investicijos kartu su investicijomis į žmogiškąjį kapitalą sukuria sąlygas nemažėjančiam ribiniam kapitalo produktui. Bendros išlaidos moksliniams tyrimams ir eksperimentinei plėtrai (MTEP) euro zonoje yra 2,1% BVP gerokai žemiau 3</w:t>
      </w:r>
      <w:r w:rsidR="00E40A00" w:rsidRPr="00E40A00">
        <w:rPr>
          <w:rFonts w:cs="Times New Roman"/>
          <w:szCs w:val="24"/>
          <w:lang w:val="en-US"/>
        </w:rPr>
        <w:t>%</w:t>
      </w:r>
      <w:r w:rsidR="00E40A00" w:rsidRPr="00E40A00">
        <w:rPr>
          <w:rFonts w:cs="Times New Roman"/>
          <w:szCs w:val="24"/>
        </w:rPr>
        <w:t xml:space="preserve"> tikslo.</w:t>
      </w:r>
      <w:r w:rsidR="00E40A00" w:rsidRPr="00E40A00">
        <w:rPr>
          <w:rFonts w:cs="Times New Roman"/>
          <w:color w:val="FF0000"/>
          <w:szCs w:val="24"/>
        </w:rPr>
        <w:t xml:space="preserve"> </w:t>
      </w:r>
      <w:r w:rsidR="00E40A00" w:rsidRPr="00E40A00">
        <w:rPr>
          <w:rFonts w:cs="Times New Roman"/>
          <w:szCs w:val="24"/>
        </w:rPr>
        <w:t xml:space="preserve">Taip pat egzistuoja labai dideli skirtumai tarp EZ VN. </w:t>
      </w:r>
      <w:r w:rsidR="00E40A00" w:rsidRPr="00E40A00">
        <w:rPr>
          <w:rFonts w:cs="Times New Roman"/>
          <w:b/>
          <w:szCs w:val="24"/>
        </w:rPr>
        <w:t>Lietuva, yra tarp atsiliekančių VN- išlaidos MTEP nesiekia 1</w:t>
      </w:r>
      <w:r w:rsidR="00E40A00" w:rsidRPr="00E40A00">
        <w:rPr>
          <w:rFonts w:cs="Times New Roman"/>
          <w:b/>
          <w:szCs w:val="24"/>
          <w:lang w:val="en-US"/>
        </w:rPr>
        <w:t>%</w:t>
      </w:r>
      <w:r w:rsidR="00E40A00" w:rsidRPr="00E40A00">
        <w:rPr>
          <w:rFonts w:cs="Times New Roman"/>
          <w:b/>
          <w:szCs w:val="24"/>
        </w:rPr>
        <w:t xml:space="preserve"> BVP. </w:t>
      </w:r>
    </w:p>
    <w:p w:rsidR="00B431FD" w:rsidRDefault="00E40A00" w:rsidP="00B431FD">
      <w:pPr>
        <w:spacing w:after="0" w:line="240" w:lineRule="auto"/>
        <w:jc w:val="both"/>
        <w:rPr>
          <w:rFonts w:eastAsia="Times New Roman" w:cs="Times New Roman"/>
          <w:b/>
          <w:sz w:val="26"/>
          <w:szCs w:val="26"/>
          <w:lang w:eastAsia="fr-BE"/>
        </w:rPr>
      </w:pPr>
      <w:r w:rsidRPr="00E40A00">
        <w:rPr>
          <w:rFonts w:eastAsia="Times New Roman" w:cs="Times New Roman"/>
          <w:szCs w:val="24"/>
          <w:lang w:eastAsia="fr-BE"/>
        </w:rPr>
        <w:t>Pamatinė</w:t>
      </w:r>
      <w:r w:rsidR="00C21322">
        <w:rPr>
          <w:rFonts w:eastAsia="Times New Roman" w:cs="Times New Roman"/>
          <w:szCs w:val="24"/>
          <w:lang w:eastAsia="fr-BE"/>
        </w:rPr>
        <w:t xml:space="preserve"> inovacijų</w:t>
      </w:r>
      <w:r w:rsidRPr="00E40A00">
        <w:rPr>
          <w:rFonts w:eastAsia="Times New Roman" w:cs="Times New Roman"/>
          <w:szCs w:val="24"/>
          <w:lang w:eastAsia="fr-BE"/>
        </w:rPr>
        <w:t xml:space="preserve"> problema yra susijusi su </w:t>
      </w:r>
      <w:r w:rsidRPr="00E40A00">
        <w:rPr>
          <w:rFonts w:eastAsia="Times New Roman" w:cs="Times New Roman"/>
          <w:b/>
          <w:szCs w:val="24"/>
          <w:lang w:eastAsia="fr-BE"/>
        </w:rPr>
        <w:t xml:space="preserve">finansavimu ir sklaida. </w:t>
      </w:r>
      <w:r w:rsidRPr="00E40A00">
        <w:rPr>
          <w:rFonts w:eastAsia="Times New Roman" w:cs="Times New Roman"/>
          <w:szCs w:val="24"/>
          <w:lang w:eastAsia="fr-BE"/>
        </w:rPr>
        <w:t>Esant didelei inovacijų sklaidai įmonės susiduria su „</w:t>
      </w:r>
      <w:proofErr w:type="spellStart"/>
      <w:r w:rsidRPr="00E40A00">
        <w:rPr>
          <w:rFonts w:eastAsia="Times New Roman" w:cs="Times New Roman"/>
          <w:i/>
          <w:szCs w:val="24"/>
          <w:lang w:eastAsia="fr-BE"/>
        </w:rPr>
        <w:t>free-riding</w:t>
      </w:r>
      <w:r w:rsidRPr="00E40A00">
        <w:rPr>
          <w:rFonts w:eastAsia="Times New Roman" w:cs="Times New Roman"/>
          <w:szCs w:val="24"/>
          <w:lang w:eastAsia="fr-BE"/>
        </w:rPr>
        <w:t>“</w:t>
      </w:r>
      <w:proofErr w:type="spellEnd"/>
      <w:r w:rsidRPr="00E40A00">
        <w:rPr>
          <w:rFonts w:eastAsia="Times New Roman" w:cs="Times New Roman"/>
          <w:szCs w:val="24"/>
          <w:lang w:eastAsia="fr-BE"/>
        </w:rPr>
        <w:t xml:space="preserve"> problema, t.y., jų sukurtomis inovacijomis naudojasi visi įskaitant ir tuos, kurie neprisidėjo prie jų sukūrimo. Jeigu šią problemą bandoma spręsti ilgai galiojančiais patentais, tai sukuria paskatas investuoti į MTEP didinant investuojančiųjų grąžą, tačiau kenksmingai atsiliepia inovacijų sklaidai, o tai mažina naudą visai ekonomikai ir kuria aukštą nelygybę. </w:t>
      </w:r>
      <w:r w:rsidRPr="00E40A00">
        <w:rPr>
          <w:rFonts w:eastAsia="Times New Roman" w:cs="Times New Roman"/>
          <w:b/>
          <w:szCs w:val="24"/>
          <w:lang w:eastAsia="fr-BE"/>
        </w:rPr>
        <w:t>Viešasis sektorius turi galimybę užtikrinti tinkamą šios srities finansavimą neaukojant inovacijų sklaidos, t.y., priverčiant visus investuoti į MTEP, pvz., per mokesčius, o efektyvumą užtikrinant per įmonių įtraukimą į lėšų panaudojimo procesą.</w:t>
      </w:r>
    </w:p>
    <w:p w:rsidR="00B431FD" w:rsidRDefault="00B431FD" w:rsidP="00B431FD">
      <w:pPr>
        <w:spacing w:after="0" w:line="240" w:lineRule="auto"/>
        <w:jc w:val="both"/>
        <w:rPr>
          <w:rFonts w:cs="Times New Roman"/>
          <w:szCs w:val="24"/>
          <w:lang w:eastAsia="lt-LT" w:bidi="lt-LT"/>
        </w:rPr>
      </w:pPr>
    </w:p>
    <w:p w:rsidR="00B431FD" w:rsidRPr="003F12DD" w:rsidRDefault="00B431FD" w:rsidP="00B431FD">
      <w:pPr>
        <w:autoSpaceDE w:val="0"/>
        <w:autoSpaceDN w:val="0"/>
        <w:adjustRightInd w:val="0"/>
        <w:spacing w:after="0" w:line="240" w:lineRule="auto"/>
        <w:jc w:val="both"/>
        <w:rPr>
          <w:rFonts w:cs="Times New Roman"/>
          <w:b/>
          <w:szCs w:val="24"/>
        </w:rPr>
      </w:pPr>
    </w:p>
    <w:p w:rsidR="00B431FD" w:rsidRPr="003F12DD" w:rsidRDefault="00B431FD" w:rsidP="00B431FD">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F12DD">
        <w:rPr>
          <w:rFonts w:cs="Times New Roman"/>
          <w:b/>
          <w:szCs w:val="24"/>
        </w:rPr>
        <w:t>Naujo</w:t>
      </w:r>
      <w:r>
        <w:rPr>
          <w:rFonts w:eastAsia="Times New Roman" w:cs="Times New Roman"/>
          <w:b/>
          <w:szCs w:val="24"/>
        </w:rPr>
        <w:t xml:space="preserve"> </w:t>
      </w:r>
      <w:r w:rsidRPr="003F12DD">
        <w:rPr>
          <w:rFonts w:eastAsia="Times New Roman" w:cs="Times New Roman"/>
          <w:b/>
          <w:szCs w:val="24"/>
        </w:rPr>
        <w:t xml:space="preserve">Europos Centrinio </w:t>
      </w:r>
      <w:r>
        <w:rPr>
          <w:rFonts w:eastAsia="Times New Roman" w:cs="Times New Roman"/>
          <w:b/>
          <w:szCs w:val="24"/>
        </w:rPr>
        <w:t>B</w:t>
      </w:r>
      <w:r w:rsidRPr="003F12DD">
        <w:rPr>
          <w:rFonts w:eastAsia="Times New Roman" w:cs="Times New Roman"/>
          <w:b/>
          <w:szCs w:val="24"/>
        </w:rPr>
        <w:t xml:space="preserve">anko </w:t>
      </w:r>
      <w:r w:rsidRPr="003F12DD">
        <w:rPr>
          <w:rFonts w:cs="Times New Roman"/>
          <w:b/>
          <w:szCs w:val="24"/>
          <w:lang w:eastAsia="fr-BE"/>
        </w:rPr>
        <w:t xml:space="preserve">Vykdomosios valdybos nario skyrimo </w:t>
      </w:r>
      <w:r w:rsidRPr="003F12DD">
        <w:rPr>
          <w:rFonts w:eastAsia="Times New Roman" w:cs="Times New Roman"/>
          <w:b/>
          <w:szCs w:val="24"/>
        </w:rPr>
        <w:t>procedūra</w:t>
      </w:r>
    </w:p>
    <w:p w:rsidR="00B431FD" w:rsidRDefault="00B431FD" w:rsidP="00B431FD">
      <w:pPr>
        <w:spacing w:after="0" w:line="240" w:lineRule="auto"/>
        <w:jc w:val="both"/>
        <w:rPr>
          <w:rFonts w:cs="Times New Roman"/>
          <w:b/>
          <w:szCs w:val="24"/>
          <w:u w:val="single"/>
          <w:lang w:eastAsia="lt-LT" w:bidi="lt-LT"/>
        </w:rPr>
      </w:pPr>
    </w:p>
    <w:p w:rsidR="00B431FD" w:rsidRPr="008634C4" w:rsidRDefault="00B431FD" w:rsidP="00B431FD">
      <w:pPr>
        <w:spacing w:after="0" w:line="240" w:lineRule="auto"/>
        <w:jc w:val="both"/>
        <w:rPr>
          <w:rFonts w:cs="Times New Roman"/>
          <w:szCs w:val="24"/>
          <w:lang w:eastAsia="lt-LT" w:bidi="lt-LT"/>
        </w:rPr>
      </w:pPr>
      <w:r w:rsidRPr="00C56D68">
        <w:rPr>
          <w:rFonts w:cs="Times New Roman"/>
          <w:b/>
          <w:szCs w:val="24"/>
          <w:u w:val="single"/>
          <w:lang w:eastAsia="lt-LT" w:bidi="lt-LT"/>
        </w:rPr>
        <w:t>Klausimo esmė.</w:t>
      </w:r>
      <w:r>
        <w:rPr>
          <w:rFonts w:cs="Times New Roman"/>
          <w:szCs w:val="24"/>
          <w:lang w:eastAsia="lt-LT" w:bidi="lt-LT"/>
        </w:rPr>
        <w:t xml:space="preserve"> </w:t>
      </w:r>
      <w:r w:rsidRPr="008634C4">
        <w:rPr>
          <w:rFonts w:cs="Times New Roman"/>
          <w:szCs w:val="24"/>
          <w:lang w:eastAsia="lt-LT" w:bidi="lt-LT"/>
        </w:rPr>
        <w:t xml:space="preserve">Š. m. gruodžio 31 d. baigiasi ECB Vykdomosios valdybos nario </w:t>
      </w:r>
      <w:proofErr w:type="spellStart"/>
      <w:r w:rsidRPr="008634C4">
        <w:rPr>
          <w:rFonts w:cs="Times New Roman"/>
          <w:szCs w:val="24"/>
          <w:lang w:eastAsia="lt-LT" w:bidi="lt-LT"/>
        </w:rPr>
        <w:t>Benoit</w:t>
      </w:r>
      <w:proofErr w:type="spellEnd"/>
      <w:r w:rsidRPr="008634C4">
        <w:rPr>
          <w:rFonts w:cs="Times New Roman"/>
          <w:szCs w:val="24"/>
          <w:lang w:eastAsia="lt-LT" w:bidi="lt-LT"/>
        </w:rPr>
        <w:t xml:space="preserve"> </w:t>
      </w:r>
      <w:proofErr w:type="spellStart"/>
      <w:r w:rsidRPr="008634C4">
        <w:rPr>
          <w:rFonts w:cs="Times New Roman"/>
          <w:szCs w:val="24"/>
          <w:lang w:eastAsia="lt-LT" w:bidi="lt-LT"/>
        </w:rPr>
        <w:t>Coeuré</w:t>
      </w:r>
      <w:proofErr w:type="spellEnd"/>
      <w:r w:rsidRPr="008634C4">
        <w:rPr>
          <w:rFonts w:cs="Times New Roman"/>
          <w:szCs w:val="24"/>
          <w:lang w:eastAsia="lt-LT" w:bidi="lt-LT"/>
        </w:rPr>
        <w:t xml:space="preserve"> kadencija. </w:t>
      </w:r>
    </w:p>
    <w:p w:rsidR="00B431FD" w:rsidRPr="003F12DD" w:rsidRDefault="00B431FD" w:rsidP="00B431FD">
      <w:pPr>
        <w:spacing w:after="0" w:line="240" w:lineRule="auto"/>
        <w:jc w:val="both"/>
        <w:rPr>
          <w:rFonts w:cs="Times New Roman"/>
          <w:szCs w:val="24"/>
          <w:lang w:eastAsia="lt-LT" w:bidi="lt-LT"/>
        </w:rPr>
      </w:pPr>
      <w:r w:rsidRPr="003F12DD">
        <w:rPr>
          <w:rFonts w:cs="Times New Roman"/>
          <w:szCs w:val="24"/>
          <w:lang w:eastAsia="lt-LT" w:bidi="lt-LT"/>
        </w:rPr>
        <w:t xml:space="preserve">Euro grupėje bus </w:t>
      </w:r>
      <w:r>
        <w:rPr>
          <w:rFonts w:cs="Times New Roman"/>
          <w:szCs w:val="24"/>
          <w:lang w:eastAsia="lt-LT" w:bidi="lt-LT"/>
        </w:rPr>
        <w:t>tęsiamos</w:t>
      </w:r>
      <w:r w:rsidRPr="003F12DD">
        <w:rPr>
          <w:rFonts w:cs="Times New Roman"/>
          <w:szCs w:val="24"/>
          <w:lang w:eastAsia="lt-LT" w:bidi="lt-LT"/>
        </w:rPr>
        <w:t xml:space="preserve"> ECB Vykdomosios valdybos nario atrankos procedūr</w:t>
      </w:r>
      <w:r>
        <w:rPr>
          <w:rFonts w:cs="Times New Roman"/>
          <w:szCs w:val="24"/>
          <w:lang w:eastAsia="lt-LT" w:bidi="lt-LT"/>
        </w:rPr>
        <w:t xml:space="preserve">os. Iki spalio 24 d. </w:t>
      </w:r>
      <w:r w:rsidRPr="003F12DD">
        <w:rPr>
          <w:rFonts w:cs="Times New Roman"/>
          <w:szCs w:val="24"/>
          <w:lang w:eastAsia="lt-LT" w:bidi="lt-LT"/>
        </w:rPr>
        <w:t>valstybės n</w:t>
      </w:r>
      <w:r>
        <w:rPr>
          <w:rFonts w:cs="Times New Roman"/>
          <w:szCs w:val="24"/>
          <w:lang w:eastAsia="lt-LT" w:bidi="lt-LT"/>
        </w:rPr>
        <w:t xml:space="preserve">arės galėjo teikti kandidatūras. Pateikta tik viena – </w:t>
      </w:r>
      <w:proofErr w:type="spellStart"/>
      <w:r w:rsidRPr="008634C4">
        <w:rPr>
          <w:rFonts w:cs="Times New Roman"/>
          <w:szCs w:val="24"/>
          <w:lang w:eastAsia="lt-LT" w:bidi="lt-LT"/>
        </w:rPr>
        <w:t>Isabel</w:t>
      </w:r>
      <w:proofErr w:type="spellEnd"/>
      <w:r w:rsidRPr="008634C4">
        <w:rPr>
          <w:rFonts w:cs="Times New Roman"/>
          <w:szCs w:val="24"/>
          <w:lang w:eastAsia="lt-LT" w:bidi="lt-LT"/>
        </w:rPr>
        <w:t xml:space="preserve"> </w:t>
      </w:r>
      <w:proofErr w:type="spellStart"/>
      <w:r w:rsidRPr="008634C4">
        <w:rPr>
          <w:rFonts w:cs="Times New Roman"/>
          <w:szCs w:val="24"/>
          <w:lang w:eastAsia="lt-LT" w:bidi="lt-LT"/>
        </w:rPr>
        <w:t>Schnabel</w:t>
      </w:r>
      <w:proofErr w:type="spellEnd"/>
      <w:r w:rsidRPr="0089695D">
        <w:rPr>
          <w:rFonts w:cs="Times New Roman"/>
          <w:szCs w:val="24"/>
          <w:lang w:eastAsia="lt-LT" w:bidi="lt-LT"/>
        </w:rPr>
        <w:t xml:space="preserve"> – </w:t>
      </w:r>
      <w:r w:rsidRPr="008634C4">
        <w:rPr>
          <w:rFonts w:cs="Times New Roman"/>
          <w:szCs w:val="24"/>
          <w:lang w:eastAsia="lt-LT" w:bidi="lt-LT"/>
        </w:rPr>
        <w:t>Bono universiteto finansų ekonomikos profesorės kandidatūra.</w:t>
      </w:r>
      <w:r>
        <w:rPr>
          <w:rFonts w:cs="Times New Roman"/>
          <w:szCs w:val="24"/>
          <w:lang w:eastAsia="lt-LT" w:bidi="lt-LT"/>
        </w:rPr>
        <w:t xml:space="preserve"> </w:t>
      </w:r>
      <w:r w:rsidRPr="003F12DD">
        <w:rPr>
          <w:rFonts w:cs="Times New Roman"/>
          <w:szCs w:val="24"/>
          <w:lang w:eastAsia="lt-LT" w:bidi="lt-LT"/>
        </w:rPr>
        <w:t>Euro grupėje bus siekiama sutarimo dėl kandidato.</w:t>
      </w:r>
      <w:r>
        <w:rPr>
          <w:rFonts w:cs="Times New Roman"/>
          <w:szCs w:val="24"/>
          <w:lang w:eastAsia="lt-LT" w:bidi="lt-LT"/>
        </w:rPr>
        <w:t xml:space="preserve"> </w:t>
      </w:r>
      <w:r w:rsidRPr="003F12DD">
        <w:rPr>
          <w:rFonts w:cs="Times New Roman"/>
          <w:szCs w:val="24"/>
          <w:lang w:eastAsia="lt-LT" w:bidi="lt-LT"/>
        </w:rPr>
        <w:t>Pasiekus susitarimą</w:t>
      </w:r>
      <w:r>
        <w:rPr>
          <w:rFonts w:cs="Times New Roman"/>
          <w:szCs w:val="24"/>
          <w:lang w:eastAsia="lt-LT" w:bidi="lt-LT"/>
        </w:rPr>
        <w:t>,</w:t>
      </w:r>
      <w:r w:rsidRPr="003F12DD">
        <w:rPr>
          <w:rFonts w:cs="Times New Roman"/>
          <w:szCs w:val="24"/>
          <w:lang w:eastAsia="lt-LT" w:bidi="lt-LT"/>
        </w:rPr>
        <w:t xml:space="preserve"> </w:t>
      </w:r>
      <w:r>
        <w:rPr>
          <w:rFonts w:cs="Times New Roman"/>
          <w:szCs w:val="24"/>
          <w:lang w:eastAsia="lt-LT" w:bidi="lt-LT"/>
        </w:rPr>
        <w:t xml:space="preserve">ECOFIN vyktų balsavimas ir </w:t>
      </w:r>
      <w:r w:rsidRPr="003F12DD">
        <w:rPr>
          <w:rFonts w:cs="Times New Roman"/>
          <w:szCs w:val="24"/>
          <w:lang w:eastAsia="lt-LT" w:bidi="lt-LT"/>
        </w:rPr>
        <w:t>konsultacijos dėl pasirinkto kandidato</w:t>
      </w:r>
      <w:r>
        <w:rPr>
          <w:rFonts w:cs="Times New Roman"/>
          <w:szCs w:val="24"/>
          <w:lang w:eastAsia="lt-LT" w:bidi="lt-LT"/>
        </w:rPr>
        <w:t xml:space="preserve"> su Europos Parlamentu ir ECB. </w:t>
      </w:r>
      <w:r w:rsidRPr="003F12DD">
        <w:rPr>
          <w:rFonts w:cs="Times New Roman"/>
          <w:szCs w:val="24"/>
          <w:lang w:eastAsia="lt-LT" w:bidi="lt-LT"/>
        </w:rPr>
        <w:t>Galutinis sprendimas turėtų būti priimtas Europos Vadovų Taryboje.</w:t>
      </w:r>
    </w:p>
    <w:p w:rsidR="00B431FD" w:rsidRDefault="00B431FD" w:rsidP="00B431FD">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C56D68">
        <w:rPr>
          <w:rFonts w:cs="Times New Roman"/>
          <w:szCs w:val="24"/>
          <w:lang w:eastAsia="lt-LT" w:bidi="lt-LT"/>
        </w:rPr>
        <w:t xml:space="preserve"> </w:t>
      </w:r>
      <w:r>
        <w:rPr>
          <w:rFonts w:cs="Times New Roman"/>
          <w:szCs w:val="24"/>
          <w:lang w:eastAsia="lt-LT" w:bidi="lt-LT"/>
        </w:rPr>
        <w:t>Pritarti</w:t>
      </w:r>
      <w:r w:rsidRPr="003F12DD">
        <w:rPr>
          <w:rFonts w:cs="Times New Roman"/>
          <w:szCs w:val="24"/>
          <w:lang w:eastAsia="lt-LT" w:bidi="lt-LT"/>
        </w:rPr>
        <w:t xml:space="preserve"> </w:t>
      </w:r>
      <w:proofErr w:type="spellStart"/>
      <w:r w:rsidRPr="003C76C8">
        <w:rPr>
          <w:rFonts w:cs="Times New Roman"/>
          <w:b/>
          <w:szCs w:val="24"/>
          <w:lang w:eastAsia="lt-LT" w:bidi="lt-LT"/>
        </w:rPr>
        <w:t>Isabel</w:t>
      </w:r>
      <w:proofErr w:type="spellEnd"/>
      <w:r w:rsidRPr="003C76C8">
        <w:rPr>
          <w:rFonts w:cs="Times New Roman"/>
          <w:b/>
          <w:szCs w:val="24"/>
          <w:lang w:eastAsia="lt-LT" w:bidi="lt-LT"/>
        </w:rPr>
        <w:t xml:space="preserve"> </w:t>
      </w:r>
      <w:proofErr w:type="spellStart"/>
      <w:r w:rsidRPr="003C76C8">
        <w:rPr>
          <w:rFonts w:cs="Times New Roman"/>
          <w:b/>
          <w:szCs w:val="24"/>
          <w:lang w:eastAsia="lt-LT" w:bidi="lt-LT"/>
        </w:rPr>
        <w:t>Schnabel</w:t>
      </w:r>
      <w:proofErr w:type="spellEnd"/>
      <w:r w:rsidRPr="0089695D">
        <w:rPr>
          <w:rFonts w:cs="Times New Roman"/>
          <w:szCs w:val="24"/>
          <w:lang w:eastAsia="lt-LT" w:bidi="lt-LT"/>
        </w:rPr>
        <w:t xml:space="preserve"> </w:t>
      </w:r>
      <w:r>
        <w:rPr>
          <w:rFonts w:cs="Times New Roman"/>
          <w:szCs w:val="24"/>
          <w:lang w:eastAsia="lt-LT" w:bidi="lt-LT"/>
        </w:rPr>
        <w:t xml:space="preserve">kandidatūrai į </w:t>
      </w:r>
      <w:r w:rsidRPr="003F12DD">
        <w:rPr>
          <w:rFonts w:cs="Times New Roman"/>
          <w:szCs w:val="24"/>
          <w:lang w:eastAsia="lt-LT" w:bidi="lt-LT"/>
        </w:rPr>
        <w:t>Europos Centrinio banko Vykdomosios valdybos nario</w:t>
      </w:r>
      <w:r>
        <w:rPr>
          <w:rFonts w:cs="Times New Roman"/>
          <w:szCs w:val="24"/>
          <w:lang w:eastAsia="lt-LT" w:bidi="lt-LT"/>
        </w:rPr>
        <w:t xml:space="preserve"> poziciją</w:t>
      </w:r>
      <w:r w:rsidRPr="003F12DD">
        <w:rPr>
          <w:rFonts w:cs="Times New Roman"/>
          <w:szCs w:val="24"/>
          <w:lang w:eastAsia="lt-LT" w:bidi="lt-LT"/>
        </w:rPr>
        <w:t>.</w:t>
      </w:r>
    </w:p>
    <w:p w:rsidR="00B431FD" w:rsidRDefault="00B431FD" w:rsidP="00B431FD">
      <w:pPr>
        <w:spacing w:after="0" w:line="240" w:lineRule="auto"/>
        <w:jc w:val="both"/>
        <w:rPr>
          <w:rFonts w:cs="Times New Roman"/>
          <w:szCs w:val="24"/>
          <w:lang w:eastAsia="lt-LT" w:bidi="lt-LT"/>
        </w:rPr>
      </w:pPr>
    </w:p>
    <w:p w:rsidR="00B431FD" w:rsidRPr="003F12DD" w:rsidRDefault="00B431FD" w:rsidP="00B431FD">
      <w:pPr>
        <w:autoSpaceDE w:val="0"/>
        <w:autoSpaceDN w:val="0"/>
        <w:adjustRightInd w:val="0"/>
        <w:spacing w:after="0" w:line="240" w:lineRule="auto"/>
        <w:jc w:val="both"/>
        <w:rPr>
          <w:rFonts w:cs="Times New Roman"/>
          <w:b/>
          <w:szCs w:val="24"/>
        </w:rPr>
      </w:pPr>
    </w:p>
    <w:p w:rsidR="00B431FD" w:rsidRPr="003F12DD" w:rsidRDefault="00B431FD" w:rsidP="00B431FD">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rPr>
        <w:t>Europos stabilumo mechanizmo (ESM) sutarties pakeitimai</w:t>
      </w:r>
    </w:p>
    <w:p w:rsidR="00B431FD" w:rsidRDefault="00B431FD" w:rsidP="00B431FD">
      <w:pPr>
        <w:spacing w:after="0" w:line="240" w:lineRule="auto"/>
        <w:jc w:val="both"/>
        <w:rPr>
          <w:rFonts w:cs="Times New Roman"/>
          <w:b/>
          <w:szCs w:val="24"/>
          <w:u w:val="single"/>
          <w:lang w:eastAsia="lt-LT" w:bidi="lt-LT"/>
        </w:rPr>
      </w:pPr>
    </w:p>
    <w:p w:rsidR="005B21D3" w:rsidRPr="005B21D3" w:rsidRDefault="00B431FD" w:rsidP="005B21D3">
      <w:pPr>
        <w:spacing w:after="0" w:line="240" w:lineRule="auto"/>
        <w:jc w:val="both"/>
        <w:rPr>
          <w:rFonts w:cs="Times New Roman"/>
          <w:szCs w:val="24"/>
          <w:lang w:eastAsia="lt-LT" w:bidi="lt-LT"/>
        </w:rPr>
      </w:pPr>
      <w:r w:rsidRPr="00C56D68">
        <w:rPr>
          <w:rFonts w:cs="Times New Roman"/>
          <w:b/>
          <w:szCs w:val="24"/>
          <w:u w:val="single"/>
          <w:lang w:eastAsia="lt-LT" w:bidi="lt-LT"/>
        </w:rPr>
        <w:t>Klausimo esmė.</w:t>
      </w:r>
      <w:r>
        <w:rPr>
          <w:rFonts w:cs="Times New Roman"/>
          <w:szCs w:val="24"/>
          <w:lang w:eastAsia="lt-LT" w:bidi="lt-LT"/>
        </w:rPr>
        <w:t xml:space="preserve"> Taip pat įtraukios sudėties Euro grupėje </w:t>
      </w:r>
      <w:r w:rsidR="005B21D3" w:rsidRPr="005B21D3">
        <w:rPr>
          <w:rFonts w:cs="Times New Roman"/>
          <w:szCs w:val="24"/>
          <w:lang w:eastAsia="lt-LT" w:bidi="lt-LT"/>
        </w:rPr>
        <w:t xml:space="preserve">bus </w:t>
      </w:r>
      <w:r w:rsidR="009B65E9">
        <w:rPr>
          <w:rFonts w:cs="Times New Roman"/>
          <w:szCs w:val="24"/>
          <w:lang w:eastAsia="lt-LT" w:bidi="lt-LT"/>
        </w:rPr>
        <w:t>tvirtinami tam tikri</w:t>
      </w:r>
      <w:r w:rsidR="005B21D3" w:rsidRPr="005B21D3">
        <w:rPr>
          <w:rFonts w:cs="Times New Roman"/>
          <w:szCs w:val="24"/>
          <w:lang w:eastAsia="lt-LT" w:bidi="lt-LT"/>
        </w:rPr>
        <w:t xml:space="preserve"> dokumentai, susiję su Europos stabilumo mechanizmo (ESM) sutarties pakeitimų patvirtinimu, atsižvelgiant į 2019 m. birželio 21 d</w:t>
      </w:r>
      <w:r w:rsidR="005B21D3" w:rsidRPr="00FD2A1D">
        <w:rPr>
          <w:rFonts w:cs="Times New Roman"/>
          <w:color w:val="FF0000"/>
          <w:szCs w:val="24"/>
          <w:lang w:eastAsia="lt-LT" w:bidi="lt-LT"/>
        </w:rPr>
        <w:t xml:space="preserve">. </w:t>
      </w:r>
      <w:r w:rsidR="00567F26" w:rsidRPr="00567F26">
        <w:rPr>
          <w:rFonts w:cs="Times New Roman"/>
          <w:szCs w:val="24"/>
          <w:lang w:eastAsia="lt-LT" w:bidi="lt-LT"/>
        </w:rPr>
        <w:t>Europos Sąjungos</w:t>
      </w:r>
      <w:r w:rsidR="005B21D3" w:rsidRPr="00567F26">
        <w:rPr>
          <w:rFonts w:cs="Times New Roman"/>
          <w:szCs w:val="24"/>
          <w:lang w:eastAsia="lt-LT" w:bidi="lt-LT"/>
        </w:rPr>
        <w:t xml:space="preserve"> vadovų</w:t>
      </w:r>
      <w:r w:rsidR="009B65E9" w:rsidRPr="00567F26">
        <w:rPr>
          <w:rFonts w:cs="Times New Roman"/>
          <w:szCs w:val="24"/>
          <w:lang w:eastAsia="lt-LT" w:bidi="lt-LT"/>
        </w:rPr>
        <w:t xml:space="preserve"> </w:t>
      </w:r>
      <w:r w:rsidR="00D041A2" w:rsidRPr="00567F26">
        <w:rPr>
          <w:rFonts w:cs="Times New Roman"/>
          <w:szCs w:val="24"/>
          <w:lang w:eastAsia="lt-LT" w:bidi="lt-LT"/>
        </w:rPr>
        <w:t xml:space="preserve">(angl. </w:t>
      </w:r>
      <w:r w:rsidR="00D041A2" w:rsidRPr="00567F26">
        <w:rPr>
          <w:rFonts w:cs="Times New Roman"/>
          <w:i/>
          <w:szCs w:val="24"/>
          <w:lang w:eastAsia="lt-LT" w:bidi="lt-LT"/>
        </w:rPr>
        <w:t xml:space="preserve">Euro </w:t>
      </w:r>
      <w:proofErr w:type="spellStart"/>
      <w:r w:rsidR="00D041A2" w:rsidRPr="00567F26">
        <w:rPr>
          <w:rFonts w:cs="Times New Roman"/>
          <w:i/>
          <w:szCs w:val="24"/>
          <w:lang w:eastAsia="lt-LT" w:bidi="lt-LT"/>
        </w:rPr>
        <w:t>Summit</w:t>
      </w:r>
      <w:proofErr w:type="spellEnd"/>
      <w:r w:rsidR="00567F26" w:rsidRPr="00567F26">
        <w:rPr>
          <w:rFonts w:cs="Times New Roman"/>
          <w:i/>
          <w:szCs w:val="24"/>
          <w:lang w:eastAsia="lt-LT" w:bidi="lt-LT"/>
        </w:rPr>
        <w:t xml:space="preserve"> </w:t>
      </w:r>
      <w:proofErr w:type="spellStart"/>
      <w:r w:rsidR="00567F26" w:rsidRPr="00567F26">
        <w:rPr>
          <w:rFonts w:cs="Times New Roman"/>
          <w:i/>
          <w:szCs w:val="24"/>
          <w:lang w:eastAsia="lt-LT" w:bidi="lt-LT"/>
        </w:rPr>
        <w:t>in</w:t>
      </w:r>
      <w:proofErr w:type="spellEnd"/>
      <w:r w:rsidR="00567F26" w:rsidRPr="00567F26">
        <w:rPr>
          <w:rFonts w:cs="Times New Roman"/>
          <w:i/>
          <w:szCs w:val="24"/>
          <w:lang w:eastAsia="lt-LT" w:bidi="lt-LT"/>
        </w:rPr>
        <w:t xml:space="preserve"> </w:t>
      </w:r>
      <w:proofErr w:type="spellStart"/>
      <w:r w:rsidR="00567F26" w:rsidRPr="00567F26">
        <w:rPr>
          <w:rFonts w:cs="Times New Roman"/>
          <w:i/>
          <w:szCs w:val="24"/>
          <w:lang w:eastAsia="lt-LT" w:bidi="lt-LT"/>
        </w:rPr>
        <w:t>inclusive</w:t>
      </w:r>
      <w:proofErr w:type="spellEnd"/>
      <w:r w:rsidR="00567F26" w:rsidRPr="00567F26">
        <w:rPr>
          <w:rFonts w:cs="Times New Roman"/>
          <w:i/>
          <w:szCs w:val="24"/>
          <w:lang w:eastAsia="lt-LT" w:bidi="lt-LT"/>
        </w:rPr>
        <w:t xml:space="preserve"> </w:t>
      </w:r>
      <w:proofErr w:type="spellStart"/>
      <w:r w:rsidR="00567F26" w:rsidRPr="00567F26">
        <w:rPr>
          <w:rFonts w:cs="Times New Roman"/>
          <w:i/>
          <w:szCs w:val="24"/>
          <w:lang w:eastAsia="lt-LT" w:bidi="lt-LT"/>
        </w:rPr>
        <w:t>format</w:t>
      </w:r>
      <w:proofErr w:type="spellEnd"/>
      <w:r w:rsidR="00D041A2" w:rsidRPr="00567F26">
        <w:rPr>
          <w:rFonts w:cs="Times New Roman"/>
          <w:szCs w:val="24"/>
          <w:lang w:eastAsia="lt-LT" w:bidi="lt-LT"/>
        </w:rPr>
        <w:t xml:space="preserve">) </w:t>
      </w:r>
      <w:r w:rsidR="009B65E9">
        <w:rPr>
          <w:rFonts w:cs="Times New Roman"/>
          <w:szCs w:val="24"/>
          <w:lang w:eastAsia="lt-LT" w:bidi="lt-LT"/>
        </w:rPr>
        <w:t xml:space="preserve">sustikime priimtus sprendimus: ESM prevencinės finansinės paramos įgyvendinimo būdo vadovas, skolos tvarumo analizės metodologija – dėl kurių buvo pasiektas susitarimas Euro darbo grupėje. </w:t>
      </w:r>
    </w:p>
    <w:p w:rsidR="003C76C8" w:rsidRPr="003C76C8" w:rsidRDefault="009B65E9" w:rsidP="003C76C8">
      <w:pPr>
        <w:spacing w:line="240" w:lineRule="auto"/>
        <w:jc w:val="both"/>
        <w:rPr>
          <w:szCs w:val="24"/>
        </w:rPr>
      </w:pPr>
      <w:r>
        <w:rPr>
          <w:rFonts w:cs="Times New Roman"/>
          <w:szCs w:val="24"/>
          <w:lang w:eastAsia="lt-LT" w:bidi="lt-LT"/>
        </w:rPr>
        <w:t>Taip pat posėdyje b</w:t>
      </w:r>
      <w:r w:rsidR="003C76C8" w:rsidRPr="003C76C8">
        <w:rPr>
          <w:rFonts w:cs="Times New Roman"/>
          <w:szCs w:val="24"/>
          <w:lang w:eastAsia="lt-LT" w:bidi="lt-LT"/>
        </w:rPr>
        <w:t>us siekiama susitarti dėl bendros finansinio stabilumo stiprinimo priemonės (</w:t>
      </w:r>
      <w:r w:rsidR="00D041A2">
        <w:rPr>
          <w:rFonts w:cs="Times New Roman"/>
          <w:szCs w:val="24"/>
          <w:lang w:eastAsia="lt-LT" w:bidi="lt-LT"/>
        </w:rPr>
        <w:t xml:space="preserve">angl. </w:t>
      </w:r>
      <w:proofErr w:type="spellStart"/>
      <w:r w:rsidR="003C76C8" w:rsidRPr="00D041A2">
        <w:rPr>
          <w:rFonts w:cs="Times New Roman"/>
          <w:i/>
          <w:szCs w:val="24"/>
          <w:lang w:eastAsia="lt-LT" w:bidi="lt-LT"/>
        </w:rPr>
        <w:t>Common</w:t>
      </w:r>
      <w:proofErr w:type="spellEnd"/>
      <w:r w:rsidR="003C76C8" w:rsidRPr="00D041A2">
        <w:rPr>
          <w:rFonts w:cs="Times New Roman"/>
          <w:i/>
          <w:szCs w:val="24"/>
          <w:lang w:eastAsia="lt-LT" w:bidi="lt-LT"/>
        </w:rPr>
        <w:t xml:space="preserve"> </w:t>
      </w:r>
      <w:proofErr w:type="spellStart"/>
      <w:r w:rsidR="003C76C8" w:rsidRPr="00D041A2">
        <w:rPr>
          <w:rFonts w:cs="Times New Roman"/>
          <w:i/>
          <w:szCs w:val="24"/>
          <w:lang w:eastAsia="lt-LT" w:bidi="lt-LT"/>
        </w:rPr>
        <w:t>backstop</w:t>
      </w:r>
      <w:proofErr w:type="spellEnd"/>
      <w:r w:rsidR="003C76C8" w:rsidRPr="003C76C8">
        <w:rPr>
          <w:rFonts w:cs="Times New Roman"/>
          <w:szCs w:val="24"/>
          <w:lang w:eastAsia="lt-LT" w:bidi="lt-LT"/>
        </w:rPr>
        <w:t>, CB) Bendrajam pertvarkymo fondui (SRF) nominalios viršutinės ribos.</w:t>
      </w:r>
      <w:r w:rsidR="003C76C8" w:rsidRPr="003C76C8">
        <w:rPr>
          <w:rFonts w:eastAsia="Times New Roman" w:cs="Times New Roman"/>
          <w:bCs/>
          <w:szCs w:val="24"/>
          <w:lang w:eastAsia="fr-BE"/>
        </w:rPr>
        <w:t xml:space="preserve"> </w:t>
      </w:r>
      <w:r w:rsidR="003C76C8" w:rsidRPr="003C76C8">
        <w:rPr>
          <w:rFonts w:cs="Times New Roman"/>
          <w:bCs/>
          <w:szCs w:val="24"/>
          <w:lang w:eastAsia="lt-LT" w:bidi="lt-LT"/>
        </w:rPr>
        <w:t>S</w:t>
      </w:r>
      <w:r w:rsidR="003C76C8" w:rsidRPr="003C76C8">
        <w:rPr>
          <w:rFonts w:cs="Times New Roman"/>
          <w:szCs w:val="24"/>
          <w:lang w:eastAsia="lt-LT" w:bidi="lt-LT"/>
        </w:rPr>
        <w:t xml:space="preserve">iūloma, kad CB nominali viršutinė riba būtų lygi 60–75 mlrd. eurų. </w:t>
      </w:r>
      <w:r w:rsidR="003C76C8" w:rsidRPr="003C76C8">
        <w:rPr>
          <w:szCs w:val="24"/>
        </w:rPr>
        <w:t>Pagal Susitarime, kuriuo iš dalies keičiama ESM sutartis (toliau – Susitarimas dėl ESM sutarties keitimo) siūlomą reglamentavimą, CB nominali viršutinė riba galėtų būti peržiūrima kas 5 metus kartu su didžiausio skolinimo pajėgumo ir įstatinio kapitalo peržiūra pagal ESM sutarties 10.1 str.</w:t>
      </w:r>
    </w:p>
    <w:p w:rsidR="009B65E9" w:rsidRDefault="00B431FD" w:rsidP="00B431FD">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C56D68">
        <w:rPr>
          <w:rFonts w:cs="Times New Roman"/>
          <w:szCs w:val="24"/>
          <w:lang w:eastAsia="lt-LT" w:bidi="lt-LT"/>
        </w:rPr>
        <w:t xml:space="preserve"> </w:t>
      </w:r>
      <w:r w:rsidR="009B65E9">
        <w:rPr>
          <w:rFonts w:cs="Times New Roman"/>
          <w:szCs w:val="24"/>
          <w:lang w:eastAsia="lt-LT" w:bidi="lt-LT"/>
        </w:rPr>
        <w:t>Pritarti ESM prevencinės finansinės paramos įgyvendinimo būdo vadovui, skolos tvarumo analizės metodologijai.</w:t>
      </w:r>
    </w:p>
    <w:p w:rsidR="00D876C0" w:rsidRDefault="003C76C8" w:rsidP="00792C64">
      <w:pPr>
        <w:spacing w:after="0" w:line="240" w:lineRule="auto"/>
        <w:jc w:val="both"/>
        <w:rPr>
          <w:rFonts w:cs="Times New Roman"/>
          <w:szCs w:val="24"/>
          <w:lang w:eastAsia="lt-LT" w:bidi="lt-LT"/>
        </w:rPr>
      </w:pPr>
      <w:r w:rsidRPr="003C76C8">
        <w:rPr>
          <w:rFonts w:cs="Times New Roman"/>
          <w:szCs w:val="24"/>
          <w:lang w:eastAsia="lt-LT" w:bidi="lt-LT"/>
        </w:rPr>
        <w:t xml:space="preserve">Manome, kad šiame etape, atsižvelgiant į pateiktas CB tikslinio dydžio augimo prognozes, </w:t>
      </w:r>
      <w:r w:rsidR="009B65E9">
        <w:rPr>
          <w:rFonts w:cs="Times New Roman"/>
          <w:szCs w:val="24"/>
          <w:lang w:eastAsia="lt-LT" w:bidi="lt-LT"/>
        </w:rPr>
        <w:t xml:space="preserve">CB </w:t>
      </w:r>
      <w:r w:rsidRPr="003C76C8">
        <w:rPr>
          <w:rFonts w:cs="Times New Roman"/>
          <w:szCs w:val="24"/>
          <w:lang w:eastAsia="lt-LT" w:bidi="lt-LT"/>
        </w:rPr>
        <w:t>nominali viršutinė riba galėtų būti 65 mlrd. eurų ir būtų reguliariai peržiūrima. Bet kokiu atveju  ji turi būti nustatyta tokia, kad ESM skolinimo pajėgumų pakaktų pagrindiniams ESM finansavimo tikslams, t. y. ne didesnė nei 75 mlrd. eurų, kas sudarytų 15 proc. visų ESM skolinimo pajėgumų (500 mlrd. eurų).</w:t>
      </w:r>
    </w:p>
    <w:p w:rsidR="00D041A2" w:rsidRDefault="00D041A2" w:rsidP="00567F26">
      <w:pPr>
        <w:spacing w:line="240" w:lineRule="auto"/>
        <w:jc w:val="both"/>
        <w:rPr>
          <w:rFonts w:ascii="Cambria" w:eastAsia="Times New Roman" w:hAnsi="Cambria"/>
          <w:bCs/>
          <w:szCs w:val="24"/>
          <w:lang w:bidi="en-US"/>
        </w:rPr>
      </w:pPr>
      <w:r>
        <w:rPr>
          <w:rFonts w:cs="Times New Roman"/>
          <w:szCs w:val="24"/>
          <w:lang w:eastAsia="lt-LT" w:bidi="lt-LT"/>
        </w:rPr>
        <w:lastRenderedPageBreak/>
        <w:t xml:space="preserve">Taip pat įtraukios sudėties Euro grupėje </w:t>
      </w:r>
      <w:r w:rsidRPr="00110DC0">
        <w:rPr>
          <w:rFonts w:ascii="Cambria" w:eastAsia="Times New Roman" w:hAnsi="Cambria"/>
          <w:bCs/>
          <w:szCs w:val="24"/>
          <w:lang w:bidi="en-US"/>
        </w:rPr>
        <w:t xml:space="preserve">galimai </w:t>
      </w:r>
      <w:r w:rsidR="00FD2A1D">
        <w:rPr>
          <w:rFonts w:ascii="Cambria" w:eastAsia="Times New Roman" w:hAnsi="Cambria"/>
          <w:bCs/>
          <w:szCs w:val="24"/>
          <w:lang w:bidi="en-US"/>
        </w:rPr>
        <w:t>bus aptarta pažanga dėl</w:t>
      </w:r>
      <w:r>
        <w:rPr>
          <w:rFonts w:ascii="Cambria" w:eastAsia="Times New Roman" w:hAnsi="Cambria"/>
          <w:bCs/>
          <w:szCs w:val="24"/>
          <w:lang w:bidi="en-US"/>
        </w:rPr>
        <w:t xml:space="preserve"> </w:t>
      </w:r>
      <w:r w:rsidRPr="000424F9">
        <w:rPr>
          <w:rFonts w:ascii="Cambria" w:eastAsia="Times New Roman" w:hAnsi="Cambria"/>
          <w:b/>
          <w:bCs/>
          <w:szCs w:val="24"/>
          <w:lang w:bidi="en-US"/>
        </w:rPr>
        <w:t>Europos indėlių draudimo sistem</w:t>
      </w:r>
      <w:r w:rsidR="00567F26">
        <w:rPr>
          <w:rFonts w:ascii="Cambria" w:eastAsia="Times New Roman" w:hAnsi="Cambria"/>
          <w:b/>
          <w:bCs/>
          <w:szCs w:val="24"/>
          <w:lang w:bidi="en-US"/>
        </w:rPr>
        <w:t>os</w:t>
      </w:r>
      <w:r w:rsidR="00C32423">
        <w:rPr>
          <w:rFonts w:ascii="Cambria" w:eastAsia="Times New Roman" w:hAnsi="Cambria"/>
          <w:b/>
          <w:bCs/>
          <w:szCs w:val="24"/>
          <w:lang w:bidi="en-US"/>
        </w:rPr>
        <w:t xml:space="preserve"> </w:t>
      </w:r>
      <w:r w:rsidR="00C32423" w:rsidRPr="00C32423">
        <w:rPr>
          <w:rFonts w:ascii="Cambria" w:eastAsia="Times New Roman" w:hAnsi="Cambria"/>
          <w:bCs/>
          <w:szCs w:val="24"/>
          <w:lang w:bidi="en-US"/>
        </w:rPr>
        <w:t>(EDIS)</w:t>
      </w:r>
      <w:r w:rsidR="00C32423">
        <w:rPr>
          <w:rFonts w:ascii="Cambria" w:eastAsia="Times New Roman" w:hAnsi="Cambria"/>
          <w:b/>
          <w:bCs/>
          <w:szCs w:val="24"/>
          <w:lang w:bidi="en-US"/>
        </w:rPr>
        <w:t xml:space="preserve"> </w:t>
      </w:r>
      <w:r w:rsidRPr="00110DC0">
        <w:rPr>
          <w:rFonts w:ascii="Cambria" w:eastAsia="Times New Roman" w:hAnsi="Cambria"/>
          <w:bCs/>
          <w:szCs w:val="24"/>
          <w:lang w:bidi="en-US"/>
        </w:rPr>
        <w:t xml:space="preserve">bei </w:t>
      </w:r>
      <w:r w:rsidRPr="000424F9">
        <w:rPr>
          <w:rFonts w:ascii="Cambria" w:eastAsia="Times New Roman" w:hAnsi="Cambria"/>
          <w:b/>
          <w:bCs/>
          <w:szCs w:val="24"/>
          <w:lang w:bidi="en-US"/>
        </w:rPr>
        <w:t>Biudžetini</w:t>
      </w:r>
      <w:r w:rsidR="00567F26">
        <w:rPr>
          <w:rFonts w:ascii="Cambria" w:eastAsia="Times New Roman" w:hAnsi="Cambria"/>
          <w:b/>
          <w:bCs/>
          <w:szCs w:val="24"/>
          <w:lang w:bidi="en-US"/>
        </w:rPr>
        <w:t>o</w:t>
      </w:r>
      <w:r w:rsidRPr="000424F9">
        <w:rPr>
          <w:rFonts w:ascii="Cambria" w:eastAsia="Times New Roman" w:hAnsi="Cambria"/>
          <w:b/>
          <w:bCs/>
          <w:szCs w:val="24"/>
          <w:lang w:bidi="en-US"/>
        </w:rPr>
        <w:t xml:space="preserve"> instrument</w:t>
      </w:r>
      <w:r w:rsidR="00567F26">
        <w:rPr>
          <w:rFonts w:ascii="Cambria" w:eastAsia="Times New Roman" w:hAnsi="Cambria"/>
          <w:b/>
          <w:bCs/>
          <w:szCs w:val="24"/>
          <w:lang w:bidi="en-US"/>
        </w:rPr>
        <w:t>o</w:t>
      </w:r>
      <w:r w:rsidRPr="000424F9">
        <w:rPr>
          <w:rFonts w:ascii="Cambria" w:eastAsia="Times New Roman" w:hAnsi="Cambria"/>
          <w:b/>
          <w:bCs/>
          <w:szCs w:val="24"/>
          <w:lang w:bidi="en-US"/>
        </w:rPr>
        <w:t xml:space="preserve"> konvergenci</w:t>
      </w:r>
      <w:r w:rsidR="00FD2A1D">
        <w:rPr>
          <w:rFonts w:ascii="Cambria" w:eastAsia="Times New Roman" w:hAnsi="Cambria"/>
          <w:b/>
          <w:bCs/>
          <w:szCs w:val="24"/>
          <w:lang w:bidi="en-US"/>
        </w:rPr>
        <w:t>jai ir konkurencingumui didinti</w:t>
      </w:r>
      <w:r w:rsidR="00C32423">
        <w:rPr>
          <w:rFonts w:ascii="Cambria" w:eastAsia="Times New Roman" w:hAnsi="Cambria"/>
          <w:b/>
          <w:bCs/>
          <w:szCs w:val="24"/>
          <w:lang w:bidi="en-US"/>
        </w:rPr>
        <w:t xml:space="preserve"> </w:t>
      </w:r>
      <w:r w:rsidR="00C32423" w:rsidRPr="00C32423">
        <w:rPr>
          <w:rFonts w:ascii="Cambria" w:eastAsia="Times New Roman" w:hAnsi="Cambria"/>
          <w:bCs/>
          <w:szCs w:val="24"/>
          <w:lang w:bidi="en-US"/>
        </w:rPr>
        <w:t>(BICC)</w:t>
      </w:r>
      <w:r w:rsidR="00FD2A1D" w:rsidRPr="00C32423">
        <w:rPr>
          <w:rFonts w:ascii="Cambria" w:eastAsia="Times New Roman" w:hAnsi="Cambria"/>
          <w:bCs/>
          <w:szCs w:val="24"/>
          <w:lang w:bidi="en-US"/>
        </w:rPr>
        <w:t>,</w:t>
      </w:r>
      <w:r w:rsidR="00FD2A1D">
        <w:rPr>
          <w:rFonts w:ascii="Cambria" w:eastAsia="Times New Roman" w:hAnsi="Cambria"/>
          <w:b/>
          <w:bCs/>
          <w:szCs w:val="24"/>
          <w:lang w:bidi="en-US"/>
        </w:rPr>
        <w:t xml:space="preserve"> </w:t>
      </w:r>
      <w:r w:rsidR="00FD2A1D">
        <w:rPr>
          <w:rFonts w:ascii="Cambria" w:eastAsia="Times New Roman" w:hAnsi="Cambria"/>
          <w:bCs/>
          <w:szCs w:val="24"/>
          <w:lang w:bidi="en-US"/>
        </w:rPr>
        <w:t>bet sprendimų priimti neplanuoja.</w:t>
      </w:r>
    </w:p>
    <w:p w:rsidR="00567F26" w:rsidRPr="00567F26" w:rsidRDefault="00FD2A1D" w:rsidP="00C32423">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567F26">
        <w:rPr>
          <w:rFonts w:cs="Times New Roman"/>
          <w:szCs w:val="24"/>
          <w:lang w:eastAsia="lt-LT" w:bidi="lt-LT"/>
        </w:rPr>
        <w:t xml:space="preserve"> </w:t>
      </w:r>
      <w:r w:rsidR="00567F26" w:rsidRPr="00567F26">
        <w:rPr>
          <w:rFonts w:cs="Times New Roman"/>
          <w:szCs w:val="24"/>
          <w:lang w:eastAsia="lt-LT" w:bidi="lt-LT"/>
        </w:rPr>
        <w:t xml:space="preserve">Dėl EDIS parinkčių (angl. </w:t>
      </w:r>
      <w:proofErr w:type="spellStart"/>
      <w:r w:rsidR="00567F26" w:rsidRPr="00567F26">
        <w:rPr>
          <w:rFonts w:cs="Times New Roman"/>
          <w:i/>
          <w:szCs w:val="24"/>
          <w:lang w:eastAsia="lt-LT" w:bidi="lt-LT"/>
        </w:rPr>
        <w:t>options</w:t>
      </w:r>
      <w:proofErr w:type="spellEnd"/>
      <w:r w:rsidR="00567F26" w:rsidRPr="00567F26">
        <w:rPr>
          <w:rFonts w:cs="Times New Roman"/>
          <w:szCs w:val="24"/>
          <w:lang w:eastAsia="lt-LT" w:bidi="lt-LT"/>
        </w:rPr>
        <w:t xml:space="preserve">) sekos ir sąlygų laikomės nuoseklaus požiūrio, kad EDIS būtų kuriamas laipsniškai, atsižvelgiant į jau pasiektą pažangą rizikos mažinimo srityje. Jei pradėtume nuo pagalbos likvidumui teikimo, tai šiame etape nereikėtų reikalauti tokio paties lygmens riziką mažinančių priemonių, kokios būtinos pilnai </w:t>
      </w:r>
      <w:proofErr w:type="spellStart"/>
      <w:r w:rsidR="00567F26" w:rsidRPr="00567F26">
        <w:rPr>
          <w:rFonts w:cs="Times New Roman"/>
          <w:szCs w:val="24"/>
          <w:lang w:eastAsia="lt-LT" w:bidi="lt-LT"/>
        </w:rPr>
        <w:t>mutualizuoto</w:t>
      </w:r>
      <w:proofErr w:type="spellEnd"/>
      <w:r w:rsidR="00567F26" w:rsidRPr="00567F26">
        <w:rPr>
          <w:rFonts w:cs="Times New Roman"/>
          <w:szCs w:val="24"/>
          <w:lang w:eastAsia="lt-LT" w:bidi="lt-LT"/>
        </w:rPr>
        <w:t xml:space="preserve"> EDIS stadijoje. Pagalba likvidumui, mūsų nuomone, svarstytina kaip pakankama tik  pirmojo EDIS etapo tikslams pasiekti.</w:t>
      </w:r>
    </w:p>
    <w:p w:rsidR="00567F26" w:rsidRPr="00C32423" w:rsidRDefault="00567F26" w:rsidP="00C32423">
      <w:pPr>
        <w:spacing w:line="240" w:lineRule="auto"/>
        <w:jc w:val="both"/>
        <w:rPr>
          <w:rFonts w:cs="Times New Roman"/>
          <w:szCs w:val="24"/>
          <w:lang w:eastAsia="lt-LT" w:bidi="lt-LT"/>
        </w:rPr>
      </w:pPr>
      <w:r w:rsidRPr="00567F26">
        <w:rPr>
          <w:rFonts w:cs="Times New Roman"/>
          <w:szCs w:val="24"/>
          <w:lang w:eastAsia="lt-LT" w:bidi="lt-LT"/>
        </w:rPr>
        <w:t>Pagalbos likvidumui etape, mūsų nuomone, tinkamiausias būtų perdraudimo (</w:t>
      </w:r>
      <w:r w:rsidR="00C32423">
        <w:rPr>
          <w:rFonts w:cs="Times New Roman"/>
          <w:szCs w:val="24"/>
          <w:lang w:eastAsia="lt-LT" w:bidi="lt-LT"/>
        </w:rPr>
        <w:t xml:space="preserve">angl. </w:t>
      </w:r>
      <w:proofErr w:type="spellStart"/>
      <w:r w:rsidRPr="00C32423">
        <w:rPr>
          <w:rFonts w:cs="Times New Roman"/>
          <w:i/>
          <w:szCs w:val="24"/>
          <w:lang w:eastAsia="lt-LT" w:bidi="lt-LT"/>
        </w:rPr>
        <w:t>reinsurance</w:t>
      </w:r>
      <w:proofErr w:type="spellEnd"/>
      <w:r w:rsidRPr="00567F26">
        <w:rPr>
          <w:rFonts w:cs="Times New Roman"/>
          <w:szCs w:val="24"/>
          <w:lang w:eastAsia="lt-LT" w:bidi="lt-LT"/>
        </w:rPr>
        <w:t>) modelis, kaip siūlo Europos Komisija. Abejonių turime dėl privalomo skolinimo modelio veiksmingumo, o hibridinis EDIS modelis, mūsų nuomone yra gana sudėtingas ir brangus.</w:t>
      </w:r>
    </w:p>
    <w:p w:rsidR="00567F26" w:rsidRPr="00590BEC" w:rsidRDefault="00FD2A1D" w:rsidP="00C32423">
      <w:pPr>
        <w:spacing w:line="240" w:lineRule="auto"/>
        <w:jc w:val="both"/>
        <w:rPr>
          <w:rFonts w:cs="Times New Roman"/>
          <w:szCs w:val="24"/>
        </w:rPr>
      </w:pPr>
      <w:r w:rsidRPr="00C56D68">
        <w:rPr>
          <w:rFonts w:cs="Times New Roman"/>
          <w:b/>
          <w:szCs w:val="24"/>
          <w:u w:val="single"/>
          <w:lang w:eastAsia="lt-LT" w:bidi="lt-LT"/>
        </w:rPr>
        <w:t>Lietuvos pozicija.</w:t>
      </w:r>
      <w:r w:rsidR="00C32423" w:rsidRPr="00C32423">
        <w:rPr>
          <w:rFonts w:cs="Times New Roman"/>
          <w:szCs w:val="24"/>
          <w:lang w:eastAsia="lt-LT" w:bidi="lt-LT"/>
        </w:rPr>
        <w:t xml:space="preserve"> </w:t>
      </w:r>
      <w:r w:rsidR="00567F26" w:rsidRPr="00590BEC">
        <w:rPr>
          <w:rFonts w:cs="Times New Roman"/>
          <w:szCs w:val="24"/>
        </w:rPr>
        <w:t xml:space="preserve">Pritariame Tarybos teisės tarnybos pateiktiems paaiškinimams, kuriuose nurodoma, kad BICC reglamento įgalinanti sąlyga negali priversti </w:t>
      </w:r>
      <w:r w:rsidR="00C32423">
        <w:rPr>
          <w:rFonts w:cs="Times New Roman"/>
          <w:szCs w:val="24"/>
        </w:rPr>
        <w:t>VN</w:t>
      </w:r>
      <w:r w:rsidR="00567F26" w:rsidRPr="00590BEC">
        <w:rPr>
          <w:rFonts w:cs="Times New Roman"/>
          <w:szCs w:val="24"/>
        </w:rPr>
        <w:t xml:space="preserve"> dalyvauti tarpv</w:t>
      </w:r>
      <w:r w:rsidR="00567F26">
        <w:rPr>
          <w:rFonts w:cs="Times New Roman"/>
          <w:szCs w:val="24"/>
        </w:rPr>
        <w:t>yriausybiniame susitarime bei manome, kad</w:t>
      </w:r>
      <w:r w:rsidR="00567F26" w:rsidRPr="00590BEC">
        <w:rPr>
          <w:rFonts w:cs="Times New Roman"/>
          <w:szCs w:val="24"/>
        </w:rPr>
        <w:t xml:space="preserve"> šiuo metu rengiamoje ataskaitoje dėl tarpvyriausybinio susitarimo galimų elementų turi būti aiškiai nurodyta, kad </w:t>
      </w:r>
      <w:r w:rsidR="00C32423">
        <w:rPr>
          <w:rFonts w:cs="Times New Roman"/>
          <w:szCs w:val="24"/>
        </w:rPr>
        <w:t>VN</w:t>
      </w:r>
      <w:r w:rsidR="00567F26" w:rsidRPr="00590BEC">
        <w:rPr>
          <w:rFonts w:cs="Times New Roman"/>
          <w:szCs w:val="24"/>
        </w:rPr>
        <w:t xml:space="preserve"> dalyvavimas jame yra savanoriškas.</w:t>
      </w:r>
    </w:p>
    <w:p w:rsidR="00FD2A1D" w:rsidRPr="00FD2A1D" w:rsidRDefault="00FD2A1D" w:rsidP="00C32423">
      <w:pPr>
        <w:spacing w:after="0" w:line="240" w:lineRule="auto"/>
        <w:jc w:val="both"/>
        <w:rPr>
          <w:rFonts w:cs="Times New Roman"/>
          <w:szCs w:val="24"/>
          <w:lang w:eastAsia="lt-LT" w:bidi="lt-LT"/>
        </w:rPr>
      </w:pPr>
    </w:p>
    <w:sectPr w:rsidR="00FD2A1D" w:rsidRPr="00FD2A1D"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3948F6">
          <w:rPr>
            <w:noProof/>
          </w:rPr>
          <w:t>2</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380"/>
    <w:multiLevelType w:val="hybridMultilevel"/>
    <w:tmpl w:val="9E501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2">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D14BE"/>
    <w:multiLevelType w:val="hybridMultilevel"/>
    <w:tmpl w:val="B2D4E3B4"/>
    <w:lvl w:ilvl="0" w:tplc="04270001">
      <w:start w:val="1"/>
      <w:numFmt w:val="bullet"/>
      <w:lvlText w:val=""/>
      <w:lvlJc w:val="left"/>
      <w:pPr>
        <w:ind w:left="1348" w:hanging="360"/>
      </w:pPr>
      <w:rPr>
        <w:rFonts w:ascii="Symbol" w:hAnsi="Symbol"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4">
    <w:nsid w:val="1C506C05"/>
    <w:multiLevelType w:val="hybridMultilevel"/>
    <w:tmpl w:val="9AD44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8">
    <w:nsid w:val="2B627934"/>
    <w:multiLevelType w:val="hybridMultilevel"/>
    <w:tmpl w:val="517EB500"/>
    <w:lvl w:ilvl="0" w:tplc="D0EA1CD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DA678C9"/>
    <w:multiLevelType w:val="hybridMultilevel"/>
    <w:tmpl w:val="613CA340"/>
    <w:lvl w:ilvl="0" w:tplc="FA427EDC">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nsid w:val="313203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FBC582B"/>
    <w:multiLevelType w:val="hybridMultilevel"/>
    <w:tmpl w:val="6150BF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7C45967"/>
    <w:multiLevelType w:val="hybridMultilevel"/>
    <w:tmpl w:val="3606E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abstractNum w:abstractNumId="22">
    <w:nsid w:val="7AD5018E"/>
    <w:multiLevelType w:val="hybridMultilevel"/>
    <w:tmpl w:val="9A12516A"/>
    <w:lvl w:ilvl="0" w:tplc="C6D8E60A">
      <w:start w:val="1"/>
      <w:numFmt w:val="bullet"/>
      <w:lvlText w:val="-"/>
      <w:lvlJc w:val="left"/>
      <w:pPr>
        <w:ind w:left="218" w:hanging="360"/>
      </w:pPr>
      <w:rPr>
        <w:rFonts w:ascii="Times New Roman" w:eastAsiaTheme="minorHAnsi" w:hAnsi="Times New Roman"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num w:numId="1">
    <w:abstractNumId w:val="6"/>
  </w:num>
  <w:num w:numId="2">
    <w:abstractNumId w:val="21"/>
  </w:num>
  <w:num w:numId="3">
    <w:abstractNumId w:val="1"/>
  </w:num>
  <w:num w:numId="4">
    <w:abstractNumId w:val="15"/>
  </w:num>
  <w:num w:numId="5">
    <w:abstractNumId w:val="18"/>
  </w:num>
  <w:num w:numId="6">
    <w:abstractNumId w:val="7"/>
  </w:num>
  <w:num w:numId="7">
    <w:abstractNumId w:val="12"/>
  </w:num>
  <w:num w:numId="8">
    <w:abstractNumId w:val="14"/>
  </w:num>
  <w:num w:numId="9">
    <w:abstractNumId w:val="19"/>
  </w:num>
  <w:num w:numId="10">
    <w:abstractNumId w:val="5"/>
  </w:num>
  <w:num w:numId="11">
    <w:abstractNumId w:val="9"/>
  </w:num>
  <w:num w:numId="12">
    <w:abstractNumId w:val="0"/>
  </w:num>
  <w:num w:numId="13">
    <w:abstractNumId w:val="13"/>
  </w:num>
  <w:num w:numId="14">
    <w:abstractNumId w:val="2"/>
  </w:num>
  <w:num w:numId="15">
    <w:abstractNumId w:val="16"/>
  </w:num>
  <w:num w:numId="16">
    <w:abstractNumId w:val="4"/>
  </w:num>
  <w:num w:numId="17">
    <w:abstractNumId w:val="10"/>
  </w:num>
  <w:num w:numId="18">
    <w:abstractNumId w:val="11"/>
  </w:num>
  <w:num w:numId="19">
    <w:abstractNumId w:val="17"/>
  </w:num>
  <w:num w:numId="20">
    <w:abstractNumId w:val="20"/>
  </w:num>
  <w:num w:numId="21">
    <w:abstractNumId w:val="8"/>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424F9"/>
    <w:rsid w:val="000463FC"/>
    <w:rsid w:val="000568E5"/>
    <w:rsid w:val="00063D6F"/>
    <w:rsid w:val="0008168D"/>
    <w:rsid w:val="000922B3"/>
    <w:rsid w:val="000A6246"/>
    <w:rsid w:val="000D2193"/>
    <w:rsid w:val="000E0FF2"/>
    <w:rsid w:val="000F4E61"/>
    <w:rsid w:val="0010259B"/>
    <w:rsid w:val="00111005"/>
    <w:rsid w:val="00112FEC"/>
    <w:rsid w:val="00114A4B"/>
    <w:rsid w:val="001205F2"/>
    <w:rsid w:val="00120D14"/>
    <w:rsid w:val="001517F4"/>
    <w:rsid w:val="001658BC"/>
    <w:rsid w:val="00166524"/>
    <w:rsid w:val="00173C4E"/>
    <w:rsid w:val="00174CBD"/>
    <w:rsid w:val="00182EC2"/>
    <w:rsid w:val="00196D2C"/>
    <w:rsid w:val="001B180A"/>
    <w:rsid w:val="002404FC"/>
    <w:rsid w:val="0024632F"/>
    <w:rsid w:val="00251724"/>
    <w:rsid w:val="00254E26"/>
    <w:rsid w:val="002572F3"/>
    <w:rsid w:val="00267738"/>
    <w:rsid w:val="00283951"/>
    <w:rsid w:val="002879EE"/>
    <w:rsid w:val="002907CC"/>
    <w:rsid w:val="0029554C"/>
    <w:rsid w:val="00297D77"/>
    <w:rsid w:val="002F5336"/>
    <w:rsid w:val="002F602E"/>
    <w:rsid w:val="00315CA2"/>
    <w:rsid w:val="00323F70"/>
    <w:rsid w:val="003316EF"/>
    <w:rsid w:val="00341355"/>
    <w:rsid w:val="00343558"/>
    <w:rsid w:val="00351711"/>
    <w:rsid w:val="00357088"/>
    <w:rsid w:val="00364BD5"/>
    <w:rsid w:val="00375E81"/>
    <w:rsid w:val="00380CB2"/>
    <w:rsid w:val="00382E88"/>
    <w:rsid w:val="003948F6"/>
    <w:rsid w:val="003A4523"/>
    <w:rsid w:val="003B0320"/>
    <w:rsid w:val="003B7DA9"/>
    <w:rsid w:val="003C76C8"/>
    <w:rsid w:val="003F5087"/>
    <w:rsid w:val="00400088"/>
    <w:rsid w:val="00420E11"/>
    <w:rsid w:val="00421F54"/>
    <w:rsid w:val="004952B0"/>
    <w:rsid w:val="004E56FE"/>
    <w:rsid w:val="004F0024"/>
    <w:rsid w:val="005234AB"/>
    <w:rsid w:val="00523C46"/>
    <w:rsid w:val="00546EBA"/>
    <w:rsid w:val="00561308"/>
    <w:rsid w:val="00563C6C"/>
    <w:rsid w:val="00567F26"/>
    <w:rsid w:val="00590243"/>
    <w:rsid w:val="005B21D3"/>
    <w:rsid w:val="005B54DC"/>
    <w:rsid w:val="005C1381"/>
    <w:rsid w:val="005C3976"/>
    <w:rsid w:val="005C44E5"/>
    <w:rsid w:val="005C6384"/>
    <w:rsid w:val="005D6A77"/>
    <w:rsid w:val="005F6ADD"/>
    <w:rsid w:val="00613C5B"/>
    <w:rsid w:val="00634DF1"/>
    <w:rsid w:val="00646CDD"/>
    <w:rsid w:val="0064710E"/>
    <w:rsid w:val="006662BC"/>
    <w:rsid w:val="00676CED"/>
    <w:rsid w:val="00687257"/>
    <w:rsid w:val="00696329"/>
    <w:rsid w:val="006A5604"/>
    <w:rsid w:val="006B0A30"/>
    <w:rsid w:val="006D0DD1"/>
    <w:rsid w:val="007061A3"/>
    <w:rsid w:val="007168A7"/>
    <w:rsid w:val="00725FE5"/>
    <w:rsid w:val="007424A4"/>
    <w:rsid w:val="00744CC1"/>
    <w:rsid w:val="007652C2"/>
    <w:rsid w:val="007668C2"/>
    <w:rsid w:val="00785520"/>
    <w:rsid w:val="00792C64"/>
    <w:rsid w:val="007B5B45"/>
    <w:rsid w:val="007B5FE5"/>
    <w:rsid w:val="007C034B"/>
    <w:rsid w:val="007D319A"/>
    <w:rsid w:val="007D405D"/>
    <w:rsid w:val="007E1F06"/>
    <w:rsid w:val="00815894"/>
    <w:rsid w:val="00827E85"/>
    <w:rsid w:val="00841E83"/>
    <w:rsid w:val="0084520E"/>
    <w:rsid w:val="008618AA"/>
    <w:rsid w:val="00861D50"/>
    <w:rsid w:val="00863C8A"/>
    <w:rsid w:val="00886F69"/>
    <w:rsid w:val="008C3792"/>
    <w:rsid w:val="008F18CC"/>
    <w:rsid w:val="008F7763"/>
    <w:rsid w:val="009038E8"/>
    <w:rsid w:val="0093518F"/>
    <w:rsid w:val="00960522"/>
    <w:rsid w:val="00967F62"/>
    <w:rsid w:val="00976406"/>
    <w:rsid w:val="0099647D"/>
    <w:rsid w:val="009B65E9"/>
    <w:rsid w:val="009C7F6C"/>
    <w:rsid w:val="009D4DFA"/>
    <w:rsid w:val="00A442E5"/>
    <w:rsid w:val="00A47A9A"/>
    <w:rsid w:val="00A51160"/>
    <w:rsid w:val="00A7013E"/>
    <w:rsid w:val="00A75D59"/>
    <w:rsid w:val="00A819D2"/>
    <w:rsid w:val="00A95557"/>
    <w:rsid w:val="00AF438B"/>
    <w:rsid w:val="00B163C2"/>
    <w:rsid w:val="00B249C7"/>
    <w:rsid w:val="00B431FD"/>
    <w:rsid w:val="00B57322"/>
    <w:rsid w:val="00B577B4"/>
    <w:rsid w:val="00B720FA"/>
    <w:rsid w:val="00B77813"/>
    <w:rsid w:val="00B87ADC"/>
    <w:rsid w:val="00BD76AA"/>
    <w:rsid w:val="00BE0F68"/>
    <w:rsid w:val="00BE2E6B"/>
    <w:rsid w:val="00BF0B01"/>
    <w:rsid w:val="00C01740"/>
    <w:rsid w:val="00C05BBA"/>
    <w:rsid w:val="00C21322"/>
    <w:rsid w:val="00C317EA"/>
    <w:rsid w:val="00C32423"/>
    <w:rsid w:val="00C55B38"/>
    <w:rsid w:val="00C57A83"/>
    <w:rsid w:val="00C8168C"/>
    <w:rsid w:val="00C81C48"/>
    <w:rsid w:val="00CA70EF"/>
    <w:rsid w:val="00CC76C0"/>
    <w:rsid w:val="00CD1D3B"/>
    <w:rsid w:val="00CD3C8A"/>
    <w:rsid w:val="00CE1BB0"/>
    <w:rsid w:val="00CE2FE8"/>
    <w:rsid w:val="00D041A2"/>
    <w:rsid w:val="00D05CC5"/>
    <w:rsid w:val="00D108B2"/>
    <w:rsid w:val="00D609E6"/>
    <w:rsid w:val="00D63FE8"/>
    <w:rsid w:val="00D876C0"/>
    <w:rsid w:val="00D93099"/>
    <w:rsid w:val="00DA485E"/>
    <w:rsid w:val="00DA5388"/>
    <w:rsid w:val="00DA765A"/>
    <w:rsid w:val="00DB08A9"/>
    <w:rsid w:val="00DB34D7"/>
    <w:rsid w:val="00DC573C"/>
    <w:rsid w:val="00DD0818"/>
    <w:rsid w:val="00DD0A51"/>
    <w:rsid w:val="00DD1D02"/>
    <w:rsid w:val="00DD2365"/>
    <w:rsid w:val="00DD26BC"/>
    <w:rsid w:val="00DD2CB1"/>
    <w:rsid w:val="00DE03D9"/>
    <w:rsid w:val="00E2576D"/>
    <w:rsid w:val="00E40A00"/>
    <w:rsid w:val="00E43571"/>
    <w:rsid w:val="00E45973"/>
    <w:rsid w:val="00E84CA5"/>
    <w:rsid w:val="00EB073D"/>
    <w:rsid w:val="00EB5451"/>
    <w:rsid w:val="00EE7170"/>
    <w:rsid w:val="00F1175E"/>
    <w:rsid w:val="00F125D8"/>
    <w:rsid w:val="00F14480"/>
    <w:rsid w:val="00F25802"/>
    <w:rsid w:val="00F725F9"/>
    <w:rsid w:val="00F80FD8"/>
    <w:rsid w:val="00F90228"/>
    <w:rsid w:val="00F92876"/>
    <w:rsid w:val="00F96563"/>
    <w:rsid w:val="00FB6F2E"/>
    <w:rsid w:val="00FD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uiPriority w:val="59"/>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uiPriority w:val="59"/>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4484">
      <w:bodyDiv w:val="1"/>
      <w:marLeft w:val="0"/>
      <w:marRight w:val="0"/>
      <w:marTop w:val="0"/>
      <w:marBottom w:val="0"/>
      <w:divBdr>
        <w:top w:val="none" w:sz="0" w:space="0" w:color="auto"/>
        <w:left w:val="none" w:sz="0" w:space="0" w:color="auto"/>
        <w:bottom w:val="none" w:sz="0" w:space="0" w:color="auto"/>
        <w:right w:val="none" w:sz="0" w:space="0" w:color="auto"/>
      </w:divBdr>
    </w:div>
    <w:div w:id="301034277">
      <w:bodyDiv w:val="1"/>
      <w:marLeft w:val="0"/>
      <w:marRight w:val="0"/>
      <w:marTop w:val="0"/>
      <w:marBottom w:val="0"/>
      <w:divBdr>
        <w:top w:val="none" w:sz="0" w:space="0" w:color="auto"/>
        <w:left w:val="none" w:sz="0" w:space="0" w:color="auto"/>
        <w:bottom w:val="none" w:sz="0" w:space="0" w:color="auto"/>
        <w:right w:val="none" w:sz="0" w:space="0" w:color="auto"/>
      </w:divBdr>
    </w:div>
    <w:div w:id="399597877">
      <w:bodyDiv w:val="1"/>
      <w:marLeft w:val="0"/>
      <w:marRight w:val="0"/>
      <w:marTop w:val="0"/>
      <w:marBottom w:val="0"/>
      <w:divBdr>
        <w:top w:val="none" w:sz="0" w:space="0" w:color="auto"/>
        <w:left w:val="none" w:sz="0" w:space="0" w:color="auto"/>
        <w:bottom w:val="none" w:sz="0" w:space="0" w:color="auto"/>
        <w:right w:val="none" w:sz="0" w:space="0" w:color="auto"/>
      </w:divBdr>
    </w:div>
    <w:div w:id="444808073">
      <w:bodyDiv w:val="1"/>
      <w:marLeft w:val="0"/>
      <w:marRight w:val="0"/>
      <w:marTop w:val="0"/>
      <w:marBottom w:val="0"/>
      <w:divBdr>
        <w:top w:val="none" w:sz="0" w:space="0" w:color="auto"/>
        <w:left w:val="none" w:sz="0" w:space="0" w:color="auto"/>
        <w:bottom w:val="none" w:sz="0" w:space="0" w:color="auto"/>
        <w:right w:val="none" w:sz="0" w:space="0" w:color="auto"/>
      </w:divBdr>
      <w:divsChild>
        <w:div w:id="869299129">
          <w:marLeft w:val="0"/>
          <w:marRight w:val="0"/>
          <w:marTop w:val="0"/>
          <w:marBottom w:val="0"/>
          <w:divBdr>
            <w:top w:val="none" w:sz="0" w:space="0" w:color="auto"/>
            <w:left w:val="none" w:sz="0" w:space="0" w:color="auto"/>
            <w:bottom w:val="none" w:sz="0" w:space="0" w:color="auto"/>
            <w:right w:val="none" w:sz="0" w:space="0" w:color="auto"/>
          </w:divBdr>
        </w:div>
      </w:divsChild>
    </w:div>
    <w:div w:id="702249576">
      <w:bodyDiv w:val="1"/>
      <w:marLeft w:val="0"/>
      <w:marRight w:val="0"/>
      <w:marTop w:val="0"/>
      <w:marBottom w:val="0"/>
      <w:divBdr>
        <w:top w:val="none" w:sz="0" w:space="0" w:color="auto"/>
        <w:left w:val="none" w:sz="0" w:space="0" w:color="auto"/>
        <w:bottom w:val="none" w:sz="0" w:space="0" w:color="auto"/>
        <w:right w:val="none" w:sz="0" w:space="0" w:color="auto"/>
      </w:divBdr>
    </w:div>
    <w:div w:id="892279979">
      <w:bodyDiv w:val="1"/>
      <w:marLeft w:val="0"/>
      <w:marRight w:val="0"/>
      <w:marTop w:val="0"/>
      <w:marBottom w:val="0"/>
      <w:divBdr>
        <w:top w:val="none" w:sz="0" w:space="0" w:color="auto"/>
        <w:left w:val="none" w:sz="0" w:space="0" w:color="auto"/>
        <w:bottom w:val="none" w:sz="0" w:space="0" w:color="auto"/>
        <w:right w:val="none" w:sz="0" w:space="0" w:color="auto"/>
      </w:divBdr>
    </w:div>
    <w:div w:id="1055620308">
      <w:bodyDiv w:val="1"/>
      <w:marLeft w:val="0"/>
      <w:marRight w:val="0"/>
      <w:marTop w:val="0"/>
      <w:marBottom w:val="0"/>
      <w:divBdr>
        <w:top w:val="none" w:sz="0" w:space="0" w:color="auto"/>
        <w:left w:val="none" w:sz="0" w:space="0" w:color="auto"/>
        <w:bottom w:val="none" w:sz="0" w:space="0" w:color="auto"/>
        <w:right w:val="none" w:sz="0" w:space="0" w:color="auto"/>
      </w:divBdr>
      <w:divsChild>
        <w:div w:id="1619337630">
          <w:marLeft w:val="0"/>
          <w:marRight w:val="0"/>
          <w:marTop w:val="0"/>
          <w:marBottom w:val="0"/>
          <w:divBdr>
            <w:top w:val="none" w:sz="0" w:space="0" w:color="auto"/>
            <w:left w:val="none" w:sz="0" w:space="0" w:color="auto"/>
            <w:bottom w:val="none" w:sz="0" w:space="0" w:color="auto"/>
            <w:right w:val="none" w:sz="0" w:space="0" w:color="auto"/>
          </w:divBdr>
        </w:div>
      </w:divsChild>
    </w:div>
    <w:div w:id="1068307162">
      <w:bodyDiv w:val="1"/>
      <w:marLeft w:val="0"/>
      <w:marRight w:val="0"/>
      <w:marTop w:val="0"/>
      <w:marBottom w:val="0"/>
      <w:divBdr>
        <w:top w:val="none" w:sz="0" w:space="0" w:color="auto"/>
        <w:left w:val="none" w:sz="0" w:space="0" w:color="auto"/>
        <w:bottom w:val="none" w:sz="0" w:space="0" w:color="auto"/>
        <w:right w:val="none" w:sz="0" w:space="0" w:color="auto"/>
      </w:divBdr>
    </w:div>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164323958">
      <w:bodyDiv w:val="1"/>
      <w:marLeft w:val="0"/>
      <w:marRight w:val="0"/>
      <w:marTop w:val="0"/>
      <w:marBottom w:val="0"/>
      <w:divBdr>
        <w:top w:val="none" w:sz="0" w:space="0" w:color="auto"/>
        <w:left w:val="none" w:sz="0" w:space="0" w:color="auto"/>
        <w:bottom w:val="none" w:sz="0" w:space="0" w:color="auto"/>
        <w:right w:val="none" w:sz="0" w:space="0" w:color="auto"/>
      </w:divBdr>
    </w:div>
    <w:div w:id="1266814076">
      <w:bodyDiv w:val="1"/>
      <w:marLeft w:val="0"/>
      <w:marRight w:val="0"/>
      <w:marTop w:val="0"/>
      <w:marBottom w:val="0"/>
      <w:divBdr>
        <w:top w:val="none" w:sz="0" w:space="0" w:color="auto"/>
        <w:left w:val="none" w:sz="0" w:space="0" w:color="auto"/>
        <w:bottom w:val="none" w:sz="0" w:space="0" w:color="auto"/>
        <w:right w:val="none" w:sz="0" w:space="0" w:color="auto"/>
      </w:divBdr>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1303004431">
      <w:bodyDiv w:val="1"/>
      <w:marLeft w:val="0"/>
      <w:marRight w:val="0"/>
      <w:marTop w:val="0"/>
      <w:marBottom w:val="0"/>
      <w:divBdr>
        <w:top w:val="none" w:sz="0" w:space="0" w:color="auto"/>
        <w:left w:val="none" w:sz="0" w:space="0" w:color="auto"/>
        <w:bottom w:val="none" w:sz="0" w:space="0" w:color="auto"/>
        <w:right w:val="none" w:sz="0" w:space="0" w:color="auto"/>
      </w:divBdr>
    </w:div>
    <w:div w:id="1338389856">
      <w:bodyDiv w:val="1"/>
      <w:marLeft w:val="0"/>
      <w:marRight w:val="0"/>
      <w:marTop w:val="0"/>
      <w:marBottom w:val="0"/>
      <w:divBdr>
        <w:top w:val="none" w:sz="0" w:space="0" w:color="auto"/>
        <w:left w:val="none" w:sz="0" w:space="0" w:color="auto"/>
        <w:bottom w:val="none" w:sz="0" w:space="0" w:color="auto"/>
        <w:right w:val="none" w:sz="0" w:space="0" w:color="auto"/>
      </w:divBdr>
    </w:div>
    <w:div w:id="2059280091">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5105F-27A3-4546-895D-DDF5A946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12</Pages>
  <Words>30128</Words>
  <Characters>17174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59</cp:revision>
  <cp:lastPrinted>2019-10-31T09:19:00Z</cp:lastPrinted>
  <dcterms:created xsi:type="dcterms:W3CDTF">2019-02-04T05:14:00Z</dcterms:created>
  <dcterms:modified xsi:type="dcterms:W3CDTF">2019-11-04T09:48:00Z</dcterms:modified>
</cp:coreProperties>
</file>