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2d2584fe8574f739b742c3687da642b"/>
        <w:lock w:val="sdtLocked"/>
        <w:richText/>
      </w:sdtPr>
      <w:sdtContent>
        <w:p>
          <w:pPr>
            <w:jc w:val="right"/>
            <w:rPr>
              <w:lang w:eastAsia="lt-LT"/>
            </w:rPr>
          </w:pPr>
          <w:r>
            <w:rPr>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statybos įstatymo Nr. I-1240 27 straipsnio pakeitimo įstatymo projekto Nr. XIIIP-4848</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4cc7bb14ec6d4868a18ec05b648f9d79"/>
            <w:lock w:val="sdtLocked"/>
            <w:richText/>
          </w:sdtPr>
          <w:sdtContent>
            <w:p>
              <w:pPr>
                <w:spacing w:line="23" w:lineRule="atLeast"/>
                <w:ind w:firstLine="567"/>
                <w:jc w:val="both"/>
                <w:rPr>
                  <w:szCs w:val="24"/>
                  <w:lang w:eastAsia="lt-LT"/>
                </w:rPr>
              </w:pPr>
              <w:r>
                <w:rPr>
                  <w:szCs w:val="24"/>
                  <w:lang w:eastAsia="lt-LT"/>
                </w:rPr>
                <w:t>Vadovaudamasi L</w:t>
              </w:r>
              <w:r>
                <w:rPr>
                  <w:lang w:eastAsia="lt-LT"/>
                </w:rPr>
                <w:t xml:space="preserve">ietuvos Respublikos Seimo statuto 138 straipsnio 3 dalimi ir </w:t>
              </w:r>
              <w:r>
                <w:rPr>
                  <w:color w:val="000000"/>
                  <w:lang w:eastAsia="lt-LT"/>
                </w:rPr>
                <w:t xml:space="preserve">atsižvelgdama į Lietuvos Respublikos Seimo valdybos 2020 m. gegužės 28 d. sprendimo Nr. SV-S-1636 </w:t>
              </w:r>
              <w:r>
                <w:rPr>
                  <w:color w:val="000000"/>
                  <w:shd w:val="clear" w:color="auto" w:fill="FFFFFF"/>
                  <w:lang w:eastAsia="lt-LT"/>
                </w:rPr>
                <w:t>„</w:t>
              </w:r>
              <w:r>
                <w:rPr>
                  <w:color w:val="000000"/>
                  <w:lang w:eastAsia="lt-LT"/>
                </w:rPr>
                <w:t>Dėl įstatymų projektų išvadų“ 1.4 papunktį,</w:t>
              </w:r>
              <w:r>
                <w:rPr>
                  <w:szCs w:val="24"/>
                  <w:lang w:eastAsia="lt-LT"/>
                </w:rPr>
                <w:t xml:space="preserve"> Lietuvos Respublikos Vyriausybė</w:t>
              </w:r>
              <w:r>
                <w:rPr>
                  <w:spacing w:val="100"/>
                  <w:szCs w:val="24"/>
                  <w:lang w:eastAsia="lt-LT"/>
                </w:rPr>
                <w:t xml:space="preserve"> nutari</w:t>
              </w:r>
              <w:r>
                <w:rPr>
                  <w:szCs w:val="24"/>
                  <w:lang w:eastAsia="lt-LT"/>
                </w:rPr>
                <w:t>a:</w:t>
              </w:r>
            </w:p>
          </w:sdtContent>
        </w:sdt>
        <w:sdt>
          <w:sdtPr>
            <w:alias w:val="pastraipa"/>
            <w:tag w:val="part_d4c6c4df79214eaea7a1c003115a97d1"/>
            <w:lock w:val="sdtLocked"/>
            <w:richText/>
          </w:sdtPr>
          <w:sdtContent>
            <w:p>
              <w:pPr>
                <w:spacing w:line="23" w:lineRule="atLeast"/>
                <w:ind w:firstLine="567"/>
                <w:jc w:val="both"/>
                <w:rPr>
                  <w:lang w:eastAsia="lt-LT"/>
                </w:rPr>
              </w:pPr>
              <w:r>
                <w:rPr>
                  <w:lang w:eastAsia="lt-LT"/>
                </w:rPr>
                <w:t>Iš esmės pritarti Lietuvos Respublikos statybos įstatymo Nr. I-1240 27 straipsnio pakeitimo įstatymo projektui Nr. XIIIP-4848</w:t>
              </w:r>
              <w:r>
                <w:rPr>
                  <w:color w:val="000000"/>
                  <w:lang w:eastAsia="lt-LT"/>
                </w:rPr>
                <w:t xml:space="preserve"> (toliau – Įstatymo projektas),</w:t>
              </w:r>
              <w:r>
                <w:rPr>
                  <w:color w:val="000000"/>
                  <w:shd w:val="clear" w:color="auto" w:fill="FFFFFF"/>
                  <w:lang w:eastAsia="lt-LT"/>
                </w:rPr>
                <w:t xml:space="preserve"> bet pasiūlyti Lietuvos Respublikos Seimui Įstatymo projektą tobulinti</w:t>
              </w:r>
              <w:r>
                <w:rPr>
                  <w:lang w:eastAsia="lt-LT"/>
                </w:rPr>
                <w:t>atsižvelgiant į šias pastabas:</w:t>
              </w:r>
            </w:p>
          </w:sdtContent>
        </w:sdt>
        <w:sdt>
          <w:sdtPr>
            <w:alias w:val="1 p."/>
            <w:tag w:val="part_e085c77ed62a40e496fd5418d0b5f98f"/>
            <w:lock w:val="sdtLocked"/>
            <w:richText/>
          </w:sdtPr>
          <w:sdtContent>
            <w:p>
              <w:pPr>
                <w:ind w:firstLine="567"/>
                <w:jc w:val="both"/>
                <w:rPr>
                  <w:color w:val="000000"/>
                  <w:shd w:val="clear" w:color="auto" w:fill="FFFFFF"/>
                  <w:lang w:eastAsia="lt-LT"/>
                </w:rPr>
              </w:pPr>
              <w:sdt>
                <w:sdtPr>
                  <w:alias w:val="Numeris"/>
                  <w:tag w:val="nr_e085c77ed62a40e496fd5418d0b5f98f"/>
                  <w:lock w:val="sdtLocked"/>
                  <w:richText/>
                </w:sdtPr>
                <w:sdtContent>
                  <w:r>
                    <w:rPr>
                      <w:szCs w:val="24"/>
                      <w:lang w:eastAsia="lt-LT"/>
                    </w:rPr>
                    <w:t>1</w:t>
                  </w:r>
                </w:sdtContent>
              </w:sdt>
              <w:r>
                <w:rPr>
                  <w:szCs w:val="24"/>
                  <w:lang w:eastAsia="lt-LT"/>
                </w:rPr>
                <w:t xml:space="preserve">. Siūlomu Įstatymo projektu siekiama nustatyti, kad Kultūros paveldo departamentui prie Kultūros ministerijos neliktų funkcijos tikrinti statinio projektų sprendinių atitiktį nustatytiems reikalavimams, kai statybos darbai projektuojami statiniuose, kuriuos savivaldybė paskelbia saugomais kultūros paveldo objektais, ar jų teritorijose, jų teritorijoje esančiuose statiniuose, jų vietovėse ar jų apsaugos zonose. Tačiau Įstatymo projekte nenurodoma, koks subjektas šią funkciją turėtų vykdyti. Pagal Lietuvos Respublikos nekilnojamojo kultūros paveldo apsaugos įstatymo 6 straipsnio </w:t>
              </w:r>
              <w:r>
                <w:rPr>
                  <w:color w:val="000000"/>
                  <w:szCs w:val="24"/>
                  <w:lang w:eastAsia="lt-LT"/>
                </w:rPr>
                <w:t>4 dalį s</w:t>
              </w:r>
              <w:r>
                <w:rPr>
                  <w:color w:val="000000"/>
                  <w:szCs w:val="24"/>
                  <w:lang w:eastAsia="en-GB"/>
                </w:rPr>
                <w:t xml:space="preserve">avivaldybės tarybos paskelbtų saugomais objektų atžvilgiu </w:t>
              </w:r>
              <w:r>
                <w:rPr>
                  <w:szCs w:val="24"/>
                  <w:lang w:eastAsia="lt-LT"/>
                </w:rPr>
                <w:t xml:space="preserve">šioje dalyje </w:t>
              </w:r>
              <w:r>
                <w:rPr>
                  <w:color w:val="000000"/>
                  <w:szCs w:val="24"/>
                  <w:shd w:val="clear" w:color="auto" w:fill="FFFFFF"/>
                  <w:lang w:eastAsia="lt-LT"/>
                </w:rPr>
                <w:t>nurodytas</w:t>
              </w:r>
              <w:r>
                <w:rPr>
                  <w:color w:val="000000"/>
                  <w:szCs w:val="24"/>
                  <w:lang w:eastAsia="en-GB"/>
                </w:rPr>
                <w:t xml:space="preserve"> </w:t>
              </w:r>
              <w:r>
                <w:rPr>
                  <w:color w:val="000000"/>
                  <w:szCs w:val="24"/>
                  <w:shd w:val="clear" w:color="auto" w:fill="FFFFFF"/>
                  <w:lang w:eastAsia="lt-LT"/>
                </w:rPr>
                <w:t xml:space="preserve">funkcijas </w:t>
              </w:r>
              <w:r>
                <w:rPr>
                  <w:color w:val="000000"/>
                  <w:szCs w:val="24"/>
                  <w:lang w:eastAsia="en-GB"/>
                </w:rPr>
                <w:t xml:space="preserve">atlieka savivaldybių paveldosaugos padaliniai, </w:t>
              </w:r>
              <w:r>
                <w:rPr>
                  <w:szCs w:val="24"/>
                  <w:lang w:eastAsia="en-GB"/>
                </w:rPr>
                <w:t>nors jų</w:t>
              </w:r>
              <w:r>
                <w:rPr>
                  <w:lang w:eastAsia="lt-LT"/>
                </w:rPr>
                <w:t xml:space="preserve"> funkcijos, susijusios su statinio projektų sprendinių atitikties nustatytiems reikalavimams vertinimu, įstatyme nenustatytos.</w:t>
              </w:r>
              <w:r>
                <w:rPr>
                  <w:szCs w:val="24"/>
                  <w:lang w:eastAsia="en-GB"/>
                </w:rPr>
                <w:t xml:space="preserve"> </w:t>
              </w:r>
              <w:r>
                <w:rPr>
                  <w:szCs w:val="24"/>
                  <w:lang w:eastAsia="lt-LT"/>
                </w:rPr>
                <w:t xml:space="preserve">Statybos įstatyme savivaldybių paveldosaugos padaliniams funkcijos taip pat nenumatytos, nors Nekilnojamojo kultūros paveldo apsaugos įstatymo 14 straipsnio 3 dalies 4 </w:t>
              </w:r>
              <w:r>
                <w:rPr>
                  <w:color w:val="000000"/>
                  <w:shd w:val="clear" w:color="auto" w:fill="FFFFFF"/>
                  <w:lang w:eastAsia="lt-LT"/>
                </w:rPr>
                <w:t xml:space="preserve">punkte įtvirtinta valdytojo pareiga </w:t>
              </w:r>
              <w:r>
                <w:rPr>
                  <w:rFonts w:ascii="&amp;quot" w:hAnsi="&amp;quot"/>
                  <w:color w:val="000000"/>
                  <w:lang w:eastAsia="lt-LT"/>
                </w:rPr>
                <w:t xml:space="preserve">savivaldybės paveldosaugos padaliniui pateikti </w:t>
              </w:r>
              <w:r>
                <w:rPr>
                  <w:rFonts w:ascii="&amp;quot" w:hAnsi="&amp;quot"/>
                  <w:i/>
                  <w:iCs/>
                  <w:color w:val="000000"/>
                  <w:lang w:eastAsia="lt-LT"/>
                </w:rPr>
                <w:t>saugomo objekto ar objekto, kuriam pradėta paskelbimo saugomu procedūra,</w:t>
              </w:r>
              <w:r>
                <w:rPr>
                  <w:rFonts w:ascii="&amp;quot" w:hAnsi="&amp;quot"/>
                  <w:color w:val="000000"/>
                  <w:lang w:eastAsia="lt-LT"/>
                </w:rPr>
                <w:t xml:space="preserve"> tvarkybos projektus ir visus projektus, kurių įgyvendinimas paveiktų tokio objekto aplinką.</w:t>
              </w:r>
              <w:r>
                <w:rPr>
                  <w:szCs w:val="24"/>
                  <w:lang w:eastAsia="lt-LT"/>
                </w:rPr>
                <w:t xml:space="preserve"> </w:t>
              </w:r>
              <w:r>
                <w:rPr>
                  <w:color w:val="000000"/>
                  <w:szCs w:val="24"/>
                  <w:lang w:eastAsia="lt-LT"/>
                </w:rPr>
                <w:t>Siekiant minėtų įstatymų nuostatų suderinamumo ir teisinio aiškumo, Įstatymo projekto 1 straipsnyje turėtų būti nurodyta, kad statinio projektų sprendinių atitiktį nustatytiems reikalavimams</w:t>
              </w:r>
              <w:r>
                <w:rPr>
                  <w:bCs/>
                  <w:lang w:eastAsia="lt-LT"/>
                </w:rPr>
                <w:t xml:space="preserve"> savivaldybės tarybos paskelbtuose saugomais kultūros paveldo objektuose </w:t>
              </w:r>
              <w:r>
                <w:rPr>
                  <w:color w:val="000000"/>
                  <w:szCs w:val="24"/>
                  <w:lang w:eastAsia="lt-LT"/>
                </w:rPr>
                <w:t xml:space="preserve">ar jų teritorijose ir apsaugos zonose, jų teritorijoje esančiuose statiniuose, kultūros paveldo vietovėse ar jų apsaugos zonose tikrina </w:t>
              </w:r>
              <w:r>
                <w:rPr>
                  <w:color w:val="000000"/>
                  <w:szCs w:val="24"/>
                  <w:lang w:eastAsia="en-GB"/>
                </w:rPr>
                <w:t>savivaldybių paveldosaugos padaliniai</w:t>
              </w:r>
              <w:r>
                <w:rPr>
                  <w:color w:val="000000"/>
                  <w:szCs w:val="24"/>
                  <w:lang w:eastAsia="lt-LT"/>
                </w:rPr>
                <w:t>. T</w:t>
              </w:r>
              <w:r>
                <w:rPr>
                  <w:color w:val="000000"/>
                  <w:shd w:val="clear" w:color="auto" w:fill="FFFFFF"/>
                  <w:lang w:eastAsia="lt-LT"/>
                </w:rPr>
                <w:t>urėtų būti kartu keičiami ir Nekilnojamojo kultūros paveldo apsaugos įstatymo 6 straipsnio 4 dalis, 14 straipsnio 3 dalies 4 punktas, 23 straipsnio 8 dalis, suderinant šias nuostatas su Įstatymo projekto nuostatomis – nurodant vienodus objektus, kurių atžvilgiu savivaldybių paveldosaugos padaliniai vykdytų Įstatymo projekto 1 straipsnyje nurodytas funkcijas.</w:t>
              </w:r>
            </w:p>
            <w:p>
              <w:pPr>
                <w:ind w:firstLine="567"/>
                <w:jc w:val="both"/>
                <w:rPr>
                  <w:color w:val="000000"/>
                  <w:shd w:val="clear" w:color="auto" w:fill="FFFFFF"/>
                  <w:lang w:eastAsia="lt-LT"/>
                </w:rPr>
              </w:pPr>
              <w:r>
                <w:rPr>
                  <w:lang w:eastAsia="lt-LT"/>
                </w:rPr>
                <w:t>Tikslintina Įstatymo projekto 1 straipsnio formuluotė „</w:t>
              </w:r>
              <w:r>
                <w:rPr>
                  <w:color w:val="000000"/>
                  <w:lang w:eastAsia="lt-LT"/>
                </w:rPr>
                <w:t xml:space="preserve">(šis reikalavimas netaikomas savivaldybės saugomais paskelbtiems kultūros paveldo objektams ar jų teritorijoms, jų teritorijoje esantiems statiniams, jų vietovėms </w:t>
              </w:r>
              <w:r>
                <w:rPr>
                  <w:i/>
                  <w:color w:val="000000"/>
                  <w:lang w:eastAsia="lt-LT"/>
                </w:rPr>
                <w:t>ar jų apsaugos zonoms</w:t>
              </w:r>
              <w:r>
                <w:rPr>
                  <w:color w:val="000000"/>
                  <w:lang w:eastAsia="lt-LT"/>
                </w:rPr>
                <w:t>)“, nes nuostatą „</w:t>
              </w:r>
              <w:r>
                <w:rPr>
                  <w:i/>
                  <w:color w:val="000000"/>
                  <w:lang w:eastAsia="lt-LT"/>
                </w:rPr>
                <w:t>ar jų apsaugos zonoms</w:t>
              </w:r>
              <w:r>
                <w:rPr>
                  <w:color w:val="000000"/>
                  <w:lang w:eastAsia="lt-LT"/>
                </w:rPr>
                <w:t xml:space="preserve">“ galima suprasti skirtingai, t. y. kad ji siejama tik su kultūros paveldo objektų apsaugos zonomis;  ji siejama tik su kultūros paveldo  vietovių apsaugos zonomis arba ji siejama ir su kultūros paveldo objekto apsaugos zonomis, ir su kultūros paveldo vietovių apsaugos zonomis. Pažymėtina, kad vadovaujantis N</w:t>
              </w:r>
              <w:r>
                <w:rPr>
                  <w:lang w:eastAsia="lt-LT"/>
                </w:rPr>
                <w:t>ekilnojamojo kultūros paveldo apsaugos įstatymo</w:t>
              </w:r>
              <w:r>
                <w:rPr>
                  <w:color w:val="000000"/>
                  <w:lang w:eastAsia="lt-LT"/>
                </w:rPr>
                <w:t xml:space="preserve"> 11 straipsnio 6 dalies nuostata, s</w:t>
              </w:r>
              <w:r>
                <w:rPr>
                  <w:lang w:eastAsia="lt-LT"/>
                </w:rPr>
                <w:t xml:space="preserve">augomam objektui </w:t>
              </w:r>
              <w:r>
                <w:rPr>
                  <w:iCs/>
                  <w:lang w:eastAsia="lt-LT"/>
                </w:rPr>
                <w:t>ar vietovei</w:t>
              </w:r>
              <w:r>
                <w:rPr>
                  <w:lang w:eastAsia="lt-LT"/>
                </w:rPr>
                <w:t xml:space="preserve"> nustatoma žmogaus veiklos neigiamą poveikį švelninanti tarpinė </w:t>
              </w:r>
              <w:r>
                <w:rPr>
                  <w:i/>
                  <w:lang w:eastAsia="lt-LT"/>
                </w:rPr>
                <w:t>apsaugos zona</w:t>
              </w:r>
              <w:r>
                <w:rPr>
                  <w:color w:val="000000"/>
                  <w:lang w:eastAsia="lt-LT"/>
                </w:rPr>
                <w:t>.</w:t>
              </w:r>
            </w:p>
          </w:sdtContent>
        </w:sdt>
        <w:sdt>
          <w:sdtPr>
            <w:alias w:val="2 p."/>
            <w:tag w:val="part_d9ebd5031f714a0fa6faf8fb4c99063f"/>
            <w:lock w:val="sdtLocked"/>
            <w:richText/>
          </w:sdtPr>
          <w:sdtContent>
            <w:p>
              <w:pPr>
                <w:spacing w:line="23" w:lineRule="atLeast"/>
                <w:ind w:firstLine="567"/>
                <w:jc w:val="both"/>
                <w:rPr>
                  <w:szCs w:val="24"/>
                  <w:lang w:eastAsia="lt-LT"/>
                </w:rPr>
              </w:pPr>
              <w:sdt>
                <w:sdtPr>
                  <w:alias w:val="Numeris"/>
                  <w:tag w:val="nr_d9ebd5031f714a0fa6faf8fb4c99063f"/>
                  <w:lock w:val="sdtLocked"/>
                  <w:richText/>
                </w:sdtPr>
                <w:sdtContent>
                  <w:r>
                    <w:rPr>
                      <w:lang w:eastAsia="lt-LT"/>
                    </w:rPr>
                    <w:t>2</w:t>
                  </w:r>
                </w:sdtContent>
              </w:sdt>
              <w:r>
                <w:rPr>
                  <w:lang w:eastAsia="lt-LT"/>
                </w:rPr>
                <w:t xml:space="preserve">. Įstatymo projektu keičiama formuluotė „šilumos tiekimo inžinieriniai tinklai“, kuri vartojama  Statybos įstatymo 28 straipsnio 1 dalyje, todėl atitinkamai reikėtų keisti ir Statybos įstatymo 28 straipsnio 1 dalį.</w:t>
              </w:r>
            </w:p>
            <w:p>
              <w:pPr>
                <w:jc w:val="both"/>
                <w:rPr>
                  <w:lang w:eastAsia="lt-LT"/>
                </w:rPr>
              </w:pPr>
            </w:p>
            <w:p>
              <w:pPr>
                <w:jc w:val="both"/>
                <w:rPr>
                  <w:lang w:eastAsia="lt-LT"/>
                </w:rPr>
              </w:pPr>
            </w:p>
          </w:sdtContent>
        </w:sdt>
        <w:sdt>
          <w:sdtPr>
            <w:alias w:val="signatura"/>
            <w:tag w:val="part_f27e9cc70c2b44019e5ca9c025108648"/>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Aplinkos ministras</w:t>
                <w:tab/>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1134"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val="en-GB" w:eastAsia="en-GB"/>
      </w:rPr>
    </w:pPr>
    <w:r>
      <w:rPr>
        <w:lang w:val="en-GB" w:eastAsia="en-GB"/>
      </w:rPr>
      <w:fldChar w:fldCharType="begin"/>
    </w:r>
    <w:r>
      <w:rPr>
        <w:lang w:val="en-GB" w:eastAsia="en-GB"/>
      </w:rPr>
      <w:instrText xml:space="preserve">PAGE  </w:instrText>
    </w:r>
    <w:r>
      <w:rPr>
        <w:lang w:val="en-GB" w:eastAsia="en-GB"/>
      </w:rPr>
      <w:fldChar w:fldCharType="end"/>
    </w:r>
  </w:p>
  <w:p>
    <w:pPr>
      <w:tabs>
        <w:tab w:val="center" w:pos="4153"/>
        <w:tab w:val="right" w:pos="8306"/>
      </w:tabs>
      <w:spacing w:after="200" w:line="276" w:lineRule="auto"/>
      <w:rPr>
        <w:lang w:val="en-GB" w:eastAsia="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val="en-GB" w:eastAsia="en-GB"/>
      </w:rPr>
    </w:pPr>
    <w:r>
      <w:rPr>
        <w:lang w:val="en-GB" w:eastAsia="en-GB"/>
      </w:rPr>
      <w:fldChar w:fldCharType="begin"/>
    </w:r>
    <w:r>
      <w:rPr>
        <w:lang w:val="en-GB" w:eastAsia="en-GB"/>
      </w:rPr>
      <w:instrText xml:space="preserve">PAGE  </w:instrText>
    </w:r>
    <w:r>
      <w:rPr>
        <w:lang w:val="en-GB" w:eastAsia="en-GB"/>
      </w:rPr>
      <w:fldChar w:fldCharType="separate"/>
    </w:r>
    <w:r>
      <w:rPr>
        <w:lang w:val="en-GB" w:eastAsia="en-GB"/>
      </w:rPr>
      <w:t>2</w:t>
    </w:r>
    <w:r>
      <w:rPr>
        <w:lang w:val="en-GB" w:eastAsia="en-GB"/>
      </w:rPr>
      <w:fldChar w:fldCharType="end"/>
    </w:r>
  </w:p>
  <w:p>
    <w:pPr>
      <w:tabs>
        <w:tab w:val="center" w:pos="4153"/>
        <w:tab w:val="right" w:pos="8306"/>
      </w:tabs>
      <w:spacing w:after="200" w:line="276" w:lineRule="auto"/>
      <w:rPr>
        <w:lang w:val="en-GB" w:eastAsia="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200" w:line="276" w:lineRule="auto"/>
      <w:rPr>
        <w:lang w:val="en-GB" w:eastAsia="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Alvydas Geigalas</DisplayName>
        <AccountId>58</AccountId>
        <AccountType/>
      </UserInfo>
    </SharedWithUsers>
  </documentManagement>
</p:properties>
</file>

<file path=customXml/item4.xml><?xml version="1.0" encoding="utf-8"?>
<Parts xmlns="http://lrs.lt/TAIS/DocParts">
  <Part Type="pagrindine" DocPartId="62839f40f34c468a8dc8bff3489b79ec" PartId="62d2584fe8574f739b742c3687da642b">
    <Part Type="preambule" DocPartId="9ed8cfdb62eb4d3da21c91d205462a55" PartId="4cc7bb14ec6d4868a18ec05b648f9d79"/>
    <Part Type="pastraipa" DocPartId="f3e71203770a4638ac8284022f6e016e" PartId="d4c6c4df79214eaea7a1c003115a97d1"/>
    <Part Type="punktas" Nr="1" Abbr="1 p." DocPartId="f7f45165ae9a4891aa94e89b70d231eb" PartId="e085c77ed62a40e496fd5418d0b5f98f"/>
    <Part Type="punktas" Nr="2" Abbr="2 p." DocPartId="802ebb79e7ab4234b1f568ebb51d0734" PartId="d9ebd5031f714a0fa6faf8fb4c99063f"/>
    <Part Type="signatura" DocPartId="4d0a276b4414444cbeac28cabfdccbd2" PartId="f27e9cc70c2b44019e5ca9c025108648"/>
  </Part>
</Parts>
</file>

<file path=customXml/itemProps1.xml><?xml version="1.0" encoding="utf-8"?>
<ds:datastoreItem xmlns:ds="http://schemas.openxmlformats.org/officeDocument/2006/customXml" ds:itemID="{4A69C8CC-3CE9-4449-893F-CE500E3D3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DC5FC-7642-4768-BA0A-A83A2CF8AD4C}">
  <ds:schemaRefs>
    <ds:schemaRef ds:uri="http://schemas.microsoft.com/sharepoint/v3/contenttype/forms"/>
  </ds:schemaRefs>
</ds:datastoreItem>
</file>

<file path=customXml/itemProps3.xml><?xml version="1.0" encoding="utf-8"?>
<ds:datastoreItem xmlns:ds="http://schemas.openxmlformats.org/officeDocument/2006/customXml" ds:itemID="{F85FCC11-036D-4AF9-9286-738665006FCA}">
  <ds:schemaRef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F7A868B-7A2D-435C-ADB3-31BEA3C9DEC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3358</Characters>
  <Application>Microsoft Office Word</Application>
  <DocSecurity>4</DocSecurity>
  <Lines>57</Lines>
  <Paragraphs>11</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3810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2020-09-04T06:56:00Z</dcterms:created>
  <dc:creator>Alvydas Geigalas</dc:creator>
  <cp:lastModifiedBy>Asseco</cp:lastModifiedBy>
  <cp:lastPrinted>2017-12-22T09:00:00Z</cp:lastPrinted>
  <dcterms:modified xsi:type="dcterms:W3CDTF">2020-09-04T06:56:00Z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