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0A3F18" w:rsidRDefault="00523C46" w:rsidP="00650E80">
      <w:pPr>
        <w:spacing w:after="0" w:line="240" w:lineRule="auto"/>
        <w:jc w:val="center"/>
        <w:rPr>
          <w:rFonts w:eastAsia="Calibri" w:cs="Times New Roman"/>
          <w:b/>
          <w:szCs w:val="24"/>
        </w:rPr>
      </w:pPr>
      <w:r w:rsidRPr="000A3F18">
        <w:rPr>
          <w:rFonts w:eastAsia="Calibri" w:cs="Times New Roman"/>
          <w:b/>
          <w:szCs w:val="24"/>
        </w:rPr>
        <w:t>PAŽYMA</w:t>
      </w:r>
    </w:p>
    <w:p w:rsidR="00523C46" w:rsidRPr="000A3F18" w:rsidRDefault="00523C46" w:rsidP="00650E80">
      <w:pPr>
        <w:spacing w:after="0" w:line="240" w:lineRule="auto"/>
        <w:jc w:val="center"/>
        <w:rPr>
          <w:rFonts w:eastAsia="Calibri" w:cs="Times New Roman"/>
          <w:b/>
          <w:szCs w:val="24"/>
        </w:rPr>
      </w:pPr>
      <w:r w:rsidRPr="000A3F18">
        <w:rPr>
          <w:rFonts w:eastAsia="Calibri" w:cs="Times New Roman"/>
          <w:b/>
          <w:szCs w:val="24"/>
        </w:rPr>
        <w:t xml:space="preserve">Dėl š. m. </w:t>
      </w:r>
      <w:r w:rsidR="00A3381D" w:rsidRPr="000A3F18">
        <w:rPr>
          <w:rFonts w:eastAsia="Calibri" w:cs="Times New Roman"/>
          <w:b/>
          <w:szCs w:val="24"/>
        </w:rPr>
        <w:t>sausio 21</w:t>
      </w:r>
      <w:r w:rsidRPr="000A3F18">
        <w:rPr>
          <w:rFonts w:eastAsia="Calibri" w:cs="Times New Roman"/>
          <w:b/>
          <w:szCs w:val="24"/>
        </w:rPr>
        <w:t xml:space="preserve"> d. Ekonomikos ir finansų reikalų (ECOFIN) taryboje svarstomų klausimų</w:t>
      </w:r>
    </w:p>
    <w:p w:rsidR="00DD2365" w:rsidRPr="000A3F18" w:rsidRDefault="00DD2365" w:rsidP="00650E80">
      <w:pPr>
        <w:spacing w:after="0" w:line="240" w:lineRule="auto"/>
        <w:jc w:val="both"/>
        <w:rPr>
          <w:rFonts w:eastAsia="Calibri" w:cs="Times New Roman"/>
          <w:szCs w:val="24"/>
        </w:rPr>
      </w:pPr>
    </w:p>
    <w:p w:rsidR="008022D7" w:rsidRPr="000A3F18" w:rsidRDefault="008022D7" w:rsidP="00650E80">
      <w:pPr>
        <w:spacing w:after="0" w:line="240" w:lineRule="auto"/>
        <w:jc w:val="both"/>
        <w:rPr>
          <w:rFonts w:eastAsia="Calibri" w:cs="Times New Roman"/>
          <w:szCs w:val="24"/>
        </w:rPr>
      </w:pPr>
    </w:p>
    <w:p w:rsidR="0009586B" w:rsidRPr="000A3F18" w:rsidRDefault="0009586B" w:rsidP="0009586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0A3F18">
        <w:rPr>
          <w:rFonts w:cs="Times New Roman"/>
          <w:b/>
          <w:szCs w:val="24"/>
        </w:rPr>
        <w:t xml:space="preserve">Kroatijos pirmininkavimo programa </w:t>
      </w:r>
      <w:r w:rsidRPr="000A3F18">
        <w:rPr>
          <w:rFonts w:cs="Times New Roman"/>
          <w:i/>
          <w:szCs w:val="24"/>
        </w:rPr>
        <w:t>(Pirmininkaujančios šalies informacija)</w:t>
      </w:r>
    </w:p>
    <w:p w:rsidR="00D876C0" w:rsidRPr="000A3F18" w:rsidRDefault="00D876C0" w:rsidP="00650E80">
      <w:pPr>
        <w:spacing w:after="0" w:line="240" w:lineRule="auto"/>
        <w:jc w:val="both"/>
        <w:rPr>
          <w:rFonts w:cs="Times New Roman"/>
          <w:b/>
          <w:szCs w:val="24"/>
        </w:rPr>
      </w:pPr>
    </w:p>
    <w:p w:rsidR="0009586B" w:rsidRPr="000A3F18" w:rsidRDefault="0009586B" w:rsidP="0009586B">
      <w:pPr>
        <w:spacing w:after="0" w:line="240" w:lineRule="auto"/>
        <w:jc w:val="both"/>
        <w:rPr>
          <w:rFonts w:eastAsia="Calibri" w:cs="Times New Roman"/>
          <w:noProof/>
          <w:szCs w:val="24"/>
          <w:lang w:bidi="lt-LT"/>
        </w:rPr>
      </w:pPr>
      <w:r w:rsidRPr="000A3F18">
        <w:rPr>
          <w:rFonts w:cs="Times New Roman"/>
          <w:b/>
          <w:szCs w:val="24"/>
          <w:u w:val="single"/>
          <w:lang w:bidi="lt-LT"/>
        </w:rPr>
        <w:t>Klausimo esmė.</w:t>
      </w:r>
      <w:r w:rsidRPr="000A3F18">
        <w:rPr>
          <w:rFonts w:cs="Times New Roman"/>
          <w:szCs w:val="24"/>
        </w:rPr>
        <w:t xml:space="preserve"> </w:t>
      </w:r>
      <w:r w:rsidRPr="000A3F18">
        <w:rPr>
          <w:rFonts w:eastAsia="Calibri" w:cs="Times New Roman"/>
          <w:noProof/>
          <w:szCs w:val="24"/>
          <w:lang w:bidi="lt-LT"/>
        </w:rPr>
        <w:t xml:space="preserve">Kroatijos horizontalūs pirmininkavimo prioritetai: </w:t>
      </w:r>
    </w:p>
    <w:p w:rsidR="0009586B" w:rsidRPr="000A3F18" w:rsidRDefault="0009586B" w:rsidP="0009586B">
      <w:pPr>
        <w:spacing w:after="0" w:line="240" w:lineRule="auto"/>
        <w:jc w:val="both"/>
        <w:rPr>
          <w:rFonts w:cs="Times New Roman"/>
          <w:szCs w:val="24"/>
        </w:rPr>
      </w:pPr>
      <w:r w:rsidRPr="000A3F18">
        <w:rPr>
          <w:rFonts w:cs="Times New Roman"/>
          <w:color w:val="212121"/>
          <w:szCs w:val="24"/>
          <w:shd w:val="clear" w:color="auto" w:fill="FFFFFF"/>
        </w:rPr>
        <w:t xml:space="preserve">1) </w:t>
      </w:r>
      <w:r w:rsidRPr="000A3F18">
        <w:rPr>
          <w:rFonts w:cs="Times New Roman"/>
          <w:b/>
          <w:szCs w:val="24"/>
        </w:rPr>
        <w:t>Europa, kuri vystosi (</w:t>
      </w:r>
      <w:r w:rsidRPr="000A3F18">
        <w:rPr>
          <w:rFonts w:cs="Times New Roman"/>
          <w:b/>
          <w:i/>
          <w:szCs w:val="24"/>
        </w:rPr>
        <w:t xml:space="preserve">a </w:t>
      </w:r>
      <w:proofErr w:type="spellStart"/>
      <w:r w:rsidRPr="000A3F18">
        <w:rPr>
          <w:rFonts w:cs="Times New Roman"/>
          <w:b/>
          <w:i/>
          <w:szCs w:val="24"/>
        </w:rPr>
        <w:t>Europe</w:t>
      </w:r>
      <w:proofErr w:type="spellEnd"/>
      <w:r w:rsidRPr="000A3F18">
        <w:rPr>
          <w:rFonts w:cs="Times New Roman"/>
          <w:b/>
          <w:i/>
          <w:szCs w:val="24"/>
        </w:rPr>
        <w:t xml:space="preserve"> </w:t>
      </w:r>
      <w:proofErr w:type="spellStart"/>
      <w:r w:rsidRPr="000A3F18">
        <w:rPr>
          <w:rFonts w:cs="Times New Roman"/>
          <w:b/>
          <w:i/>
          <w:szCs w:val="24"/>
        </w:rPr>
        <w:t>that</w:t>
      </w:r>
      <w:proofErr w:type="spellEnd"/>
      <w:r w:rsidRPr="000A3F18">
        <w:rPr>
          <w:rFonts w:cs="Times New Roman"/>
          <w:b/>
          <w:i/>
          <w:szCs w:val="24"/>
        </w:rPr>
        <w:t xml:space="preserve"> </w:t>
      </w:r>
      <w:proofErr w:type="spellStart"/>
      <w:r w:rsidRPr="000A3F18">
        <w:rPr>
          <w:rFonts w:cs="Times New Roman"/>
          <w:b/>
          <w:i/>
          <w:szCs w:val="24"/>
        </w:rPr>
        <w:t>develops</w:t>
      </w:r>
      <w:proofErr w:type="spellEnd"/>
      <w:r w:rsidRPr="000A3F18">
        <w:rPr>
          <w:rFonts w:cs="Times New Roman"/>
          <w:b/>
          <w:szCs w:val="24"/>
        </w:rPr>
        <w:t>).</w:t>
      </w:r>
      <w:r w:rsidRPr="000A3F18">
        <w:rPr>
          <w:rFonts w:cs="Times New Roman"/>
          <w:szCs w:val="24"/>
        </w:rPr>
        <w:t xml:space="preserve"> Tolesnis vieningos rinkos stiprinimas, </w:t>
      </w:r>
      <w:proofErr w:type="spellStart"/>
      <w:r w:rsidRPr="000A3F18">
        <w:rPr>
          <w:rFonts w:cs="Times New Roman"/>
          <w:szCs w:val="24"/>
        </w:rPr>
        <w:t>skaitmenizavimo</w:t>
      </w:r>
      <w:proofErr w:type="spellEnd"/>
      <w:r w:rsidRPr="000A3F18">
        <w:rPr>
          <w:rFonts w:cs="Times New Roman"/>
          <w:szCs w:val="24"/>
        </w:rPr>
        <w:t xml:space="preserve"> plėtra, investicijos į mokslinius tyrimus ir inovacijas, geresnė prieiga prie aukštos kokybės mokymosi visą gyvenimą atliepiant ateities darbo vietų poreikį yra būtina sąlyga ES konkurencingumui užtikrinti. Kroatijos pirmininkavimas rems subalansuotą, darnią ir įtraukią ES plėtrą, atsižvelgiančią į visų VN, jų regionų ir piliečių poreikius.</w:t>
      </w:r>
    </w:p>
    <w:p w:rsidR="0009586B" w:rsidRPr="000A3F18" w:rsidRDefault="0009586B" w:rsidP="0009586B">
      <w:pPr>
        <w:pStyle w:val="Sraopastraipa"/>
        <w:spacing w:after="0" w:line="240" w:lineRule="auto"/>
        <w:ind w:left="0"/>
        <w:jc w:val="both"/>
        <w:rPr>
          <w:rFonts w:ascii="Times New Roman" w:hAnsi="Times New Roman" w:cs="Times New Roman"/>
          <w:sz w:val="24"/>
          <w:szCs w:val="24"/>
        </w:rPr>
      </w:pPr>
      <w:r w:rsidRPr="000A3F18">
        <w:rPr>
          <w:rFonts w:ascii="Times New Roman" w:hAnsi="Times New Roman" w:cs="Times New Roman"/>
          <w:color w:val="212121"/>
          <w:sz w:val="24"/>
          <w:szCs w:val="24"/>
          <w:shd w:val="clear" w:color="auto" w:fill="FFFFFF"/>
        </w:rPr>
        <w:t xml:space="preserve">2) </w:t>
      </w:r>
      <w:r w:rsidRPr="000A3F18">
        <w:rPr>
          <w:rFonts w:ascii="Times New Roman" w:hAnsi="Times New Roman" w:cs="Times New Roman"/>
          <w:b/>
          <w:sz w:val="24"/>
          <w:szCs w:val="24"/>
        </w:rPr>
        <w:t>Europa, kuri jungia (</w:t>
      </w:r>
      <w:r w:rsidRPr="000A3F18">
        <w:rPr>
          <w:rFonts w:ascii="Times New Roman" w:hAnsi="Times New Roman" w:cs="Times New Roman"/>
          <w:b/>
          <w:i/>
          <w:sz w:val="24"/>
          <w:szCs w:val="24"/>
        </w:rPr>
        <w:t xml:space="preserve">a </w:t>
      </w:r>
      <w:proofErr w:type="spellStart"/>
      <w:r w:rsidRPr="000A3F18">
        <w:rPr>
          <w:rFonts w:ascii="Times New Roman" w:hAnsi="Times New Roman" w:cs="Times New Roman"/>
          <w:b/>
          <w:i/>
          <w:sz w:val="24"/>
          <w:szCs w:val="24"/>
        </w:rPr>
        <w:t>Europe</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that</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connects</w:t>
      </w:r>
      <w:proofErr w:type="spellEnd"/>
      <w:r w:rsidRPr="000A3F18">
        <w:rPr>
          <w:rFonts w:ascii="Times New Roman" w:hAnsi="Times New Roman" w:cs="Times New Roman"/>
          <w:b/>
          <w:sz w:val="24"/>
          <w:szCs w:val="24"/>
        </w:rPr>
        <w:t>).</w:t>
      </w:r>
      <w:r w:rsidRPr="000A3F18">
        <w:rPr>
          <w:rFonts w:ascii="Times New Roman" w:hAnsi="Times New Roman" w:cs="Times New Roman"/>
          <w:sz w:val="24"/>
          <w:szCs w:val="24"/>
        </w:rPr>
        <w:t xml:space="preserve"> ES pažanga priklauso nuo sąveikaujančios ekonomikos ir pilno jos infrastruktūros ir žmogiškojo potencialo panaudojimo. Tam, kad būtų pasiekta pilna socialinė, ekonominė ir teritorinė sanglauda, transportas, energetika, skaitmeninė infrastruktūra ir jungtys turi būti toliau plėtojami. </w:t>
      </w:r>
    </w:p>
    <w:p w:rsidR="0009586B" w:rsidRPr="000A3F18" w:rsidRDefault="0009586B" w:rsidP="0009586B">
      <w:pPr>
        <w:pStyle w:val="Sraopastraipa"/>
        <w:spacing w:after="0" w:line="240" w:lineRule="auto"/>
        <w:ind w:left="0"/>
        <w:jc w:val="both"/>
        <w:rPr>
          <w:rFonts w:ascii="Times New Roman" w:hAnsi="Times New Roman" w:cs="Times New Roman"/>
          <w:sz w:val="24"/>
          <w:szCs w:val="24"/>
        </w:rPr>
      </w:pPr>
      <w:r w:rsidRPr="000A3F18">
        <w:rPr>
          <w:rFonts w:ascii="Times New Roman" w:hAnsi="Times New Roman" w:cs="Times New Roman"/>
          <w:color w:val="212121"/>
          <w:sz w:val="24"/>
          <w:szCs w:val="24"/>
          <w:shd w:val="clear" w:color="auto" w:fill="FFFFFF"/>
        </w:rPr>
        <w:t xml:space="preserve">3) </w:t>
      </w:r>
      <w:r w:rsidRPr="000A3F18">
        <w:rPr>
          <w:rFonts w:ascii="Times New Roman" w:hAnsi="Times New Roman" w:cs="Times New Roman"/>
          <w:b/>
          <w:sz w:val="24"/>
          <w:szCs w:val="24"/>
        </w:rPr>
        <w:t>Europa, kuri apsaugo (</w:t>
      </w:r>
      <w:r w:rsidRPr="000A3F18">
        <w:rPr>
          <w:rFonts w:ascii="Times New Roman" w:hAnsi="Times New Roman" w:cs="Times New Roman"/>
          <w:b/>
          <w:i/>
          <w:sz w:val="24"/>
          <w:szCs w:val="24"/>
        </w:rPr>
        <w:t xml:space="preserve">a </w:t>
      </w:r>
      <w:proofErr w:type="spellStart"/>
      <w:r w:rsidRPr="000A3F18">
        <w:rPr>
          <w:rFonts w:ascii="Times New Roman" w:hAnsi="Times New Roman" w:cs="Times New Roman"/>
          <w:b/>
          <w:i/>
          <w:sz w:val="24"/>
          <w:szCs w:val="24"/>
        </w:rPr>
        <w:t>Europe</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that</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protects</w:t>
      </w:r>
      <w:proofErr w:type="spellEnd"/>
      <w:r w:rsidRPr="000A3F18">
        <w:rPr>
          <w:rFonts w:ascii="Times New Roman" w:hAnsi="Times New Roman" w:cs="Times New Roman"/>
          <w:b/>
          <w:sz w:val="24"/>
          <w:szCs w:val="24"/>
        </w:rPr>
        <w:t>).</w:t>
      </w:r>
      <w:r w:rsidRPr="000A3F18">
        <w:rPr>
          <w:rFonts w:ascii="Times New Roman" w:hAnsi="Times New Roman" w:cs="Times New Roman"/>
          <w:sz w:val="24"/>
          <w:szCs w:val="24"/>
        </w:rPr>
        <w:t xml:space="preserve"> Bus stiprinamas vidaus saugumas (tame tarpe ir VN bendradarbiavimas kovojant su organizuotu nusikalstamumu, pinigų plovimu ir terorizmo finansavimu), vykdoma efektyvesnė išorinių sienų kontrolė, užtikrinama IT sistemų sąveika ir stiprinamas atsparumas išorinėms grėsmėms. </w:t>
      </w:r>
    </w:p>
    <w:p w:rsidR="0009586B" w:rsidRPr="000A3F18" w:rsidRDefault="0009586B" w:rsidP="0009586B">
      <w:pPr>
        <w:pStyle w:val="Sraopastraipa"/>
        <w:autoSpaceDE w:val="0"/>
        <w:autoSpaceDN w:val="0"/>
        <w:adjustRightInd w:val="0"/>
        <w:spacing w:after="0" w:line="240" w:lineRule="auto"/>
        <w:ind w:left="0"/>
        <w:jc w:val="both"/>
        <w:rPr>
          <w:rFonts w:ascii="Times New Roman" w:hAnsi="Times New Roman" w:cs="Times New Roman"/>
          <w:sz w:val="24"/>
          <w:szCs w:val="24"/>
        </w:rPr>
      </w:pPr>
      <w:r w:rsidRPr="000A3F18">
        <w:rPr>
          <w:rFonts w:ascii="Times New Roman" w:hAnsi="Times New Roman" w:cs="Times New Roman"/>
          <w:color w:val="212121"/>
          <w:sz w:val="24"/>
          <w:szCs w:val="24"/>
          <w:shd w:val="clear" w:color="auto" w:fill="FFFFFF"/>
        </w:rPr>
        <w:t xml:space="preserve">4) </w:t>
      </w:r>
      <w:r w:rsidRPr="000A3F18">
        <w:rPr>
          <w:rFonts w:ascii="Times New Roman" w:hAnsi="Times New Roman" w:cs="Times New Roman"/>
          <w:b/>
          <w:sz w:val="24"/>
          <w:szCs w:val="24"/>
        </w:rPr>
        <w:t>Įtakojanti Europa (</w:t>
      </w:r>
      <w:proofErr w:type="spellStart"/>
      <w:r w:rsidRPr="000A3F18">
        <w:rPr>
          <w:rFonts w:ascii="Times New Roman" w:hAnsi="Times New Roman" w:cs="Times New Roman"/>
          <w:b/>
          <w:i/>
          <w:sz w:val="24"/>
          <w:szCs w:val="24"/>
        </w:rPr>
        <w:t>an</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influential</w:t>
      </w:r>
      <w:proofErr w:type="spellEnd"/>
      <w:r w:rsidRPr="000A3F18">
        <w:rPr>
          <w:rFonts w:ascii="Times New Roman" w:hAnsi="Times New Roman" w:cs="Times New Roman"/>
          <w:b/>
          <w:i/>
          <w:sz w:val="24"/>
          <w:szCs w:val="24"/>
        </w:rPr>
        <w:t xml:space="preserve"> </w:t>
      </w:r>
      <w:proofErr w:type="spellStart"/>
      <w:r w:rsidRPr="000A3F18">
        <w:rPr>
          <w:rFonts w:ascii="Times New Roman" w:hAnsi="Times New Roman" w:cs="Times New Roman"/>
          <w:b/>
          <w:i/>
          <w:sz w:val="24"/>
          <w:szCs w:val="24"/>
        </w:rPr>
        <w:t>Europe</w:t>
      </w:r>
      <w:proofErr w:type="spellEnd"/>
      <w:r w:rsidRPr="000A3F18">
        <w:rPr>
          <w:rFonts w:ascii="Times New Roman" w:hAnsi="Times New Roman" w:cs="Times New Roman"/>
          <w:b/>
          <w:sz w:val="24"/>
          <w:szCs w:val="24"/>
        </w:rPr>
        <w:t>).</w:t>
      </w:r>
      <w:r w:rsidRPr="000A3F18">
        <w:rPr>
          <w:rFonts w:ascii="Times New Roman" w:hAnsi="Times New Roman" w:cs="Times New Roman"/>
          <w:sz w:val="24"/>
          <w:szCs w:val="24"/>
        </w:rPr>
        <w:t xml:space="preserve"> </w:t>
      </w:r>
      <w:proofErr w:type="spellStart"/>
      <w:r w:rsidRPr="000A3F18">
        <w:rPr>
          <w:rFonts w:ascii="Times New Roman" w:hAnsi="Times New Roman" w:cs="Times New Roman"/>
          <w:sz w:val="24"/>
          <w:szCs w:val="24"/>
        </w:rPr>
        <w:t>Daugiašališkumo</w:t>
      </w:r>
      <w:proofErr w:type="spellEnd"/>
      <w:r w:rsidRPr="000A3F18">
        <w:rPr>
          <w:rFonts w:ascii="Times New Roman" w:hAnsi="Times New Roman" w:cs="Times New Roman"/>
          <w:sz w:val="24"/>
          <w:szCs w:val="24"/>
        </w:rPr>
        <w:t xml:space="preserve"> stiprinimas, JT Darnaus vystymosi darbotvarkės 2030 tikslų įgyvendinimas ir Europos vertybių bei interesų skatinimas yra pagrindiniai ES išorinės veiklos aspektai. Pirmininkaudama Kroatija sieks tęstinės patikimos ir efektyvios plėtros (</w:t>
      </w:r>
      <w:proofErr w:type="spellStart"/>
      <w:r w:rsidRPr="000A3F18">
        <w:rPr>
          <w:rFonts w:ascii="Times New Roman" w:hAnsi="Times New Roman" w:cs="Times New Roman"/>
          <w:sz w:val="24"/>
          <w:szCs w:val="24"/>
        </w:rPr>
        <w:t>enlargement</w:t>
      </w:r>
      <w:proofErr w:type="spellEnd"/>
      <w:r w:rsidRPr="000A3F18">
        <w:rPr>
          <w:rFonts w:ascii="Times New Roman" w:hAnsi="Times New Roman" w:cs="Times New Roman"/>
          <w:sz w:val="24"/>
          <w:szCs w:val="24"/>
        </w:rPr>
        <w:t>) politikos.</w:t>
      </w:r>
    </w:p>
    <w:p w:rsidR="0009586B" w:rsidRPr="000A3F18" w:rsidRDefault="0009586B" w:rsidP="0009586B">
      <w:pPr>
        <w:spacing w:after="0" w:line="240" w:lineRule="auto"/>
        <w:jc w:val="both"/>
        <w:rPr>
          <w:rFonts w:cs="Times New Roman"/>
          <w:b/>
          <w:szCs w:val="24"/>
        </w:rPr>
      </w:pPr>
      <w:r w:rsidRPr="000A3F18">
        <w:rPr>
          <w:rFonts w:cs="Times New Roman"/>
          <w:szCs w:val="24"/>
        </w:rPr>
        <w:t>Kroatija pasisako už ambicingą, subalansuotą ir darnią 2021-2027 m. ES Daugiametę finansinę programą ES tikslams pasiekti.</w:t>
      </w:r>
    </w:p>
    <w:p w:rsidR="0009586B" w:rsidRPr="000A3F18" w:rsidRDefault="0009586B" w:rsidP="0009586B">
      <w:pPr>
        <w:spacing w:after="0" w:line="240" w:lineRule="auto"/>
        <w:jc w:val="both"/>
        <w:rPr>
          <w:rFonts w:eastAsia="Calibri"/>
          <w:noProof/>
          <w:szCs w:val="24"/>
          <w:lang w:bidi="lt-LT"/>
        </w:rPr>
      </w:pPr>
      <w:r w:rsidRPr="000A3F18">
        <w:rPr>
          <w:rFonts w:cs="Times New Roman"/>
          <w:b/>
          <w:szCs w:val="24"/>
          <w:u w:val="single"/>
        </w:rPr>
        <w:t>Lietuvos pozicija</w:t>
      </w:r>
      <w:r w:rsidRPr="000A3F18">
        <w:rPr>
          <w:rFonts w:cs="Times New Roman"/>
          <w:b/>
          <w:szCs w:val="24"/>
        </w:rPr>
        <w:t xml:space="preserve">. </w:t>
      </w:r>
      <w:r w:rsidRPr="000A3F18">
        <w:rPr>
          <w:rFonts w:eastAsia="Calibri"/>
          <w:noProof/>
          <w:szCs w:val="24"/>
          <w:lang w:bidi="lt-LT"/>
        </w:rPr>
        <w:t>Sveikiname Kroatiją pirmą kartą pirmininkaujant ES Tarybai. Tikimės, kad užsibrėžti tikslai bus sėkmingai įgyvendinti užtikrinant stabilumą, saugumą ir tolesnę ekonominę plėtrą Europoje.</w:t>
      </w:r>
    </w:p>
    <w:p w:rsidR="0009586B" w:rsidRPr="000A3F18" w:rsidRDefault="0009586B" w:rsidP="0009586B">
      <w:pPr>
        <w:spacing w:after="0" w:line="240" w:lineRule="auto"/>
        <w:jc w:val="both"/>
        <w:rPr>
          <w:rFonts w:cs="Times New Roman"/>
          <w:b/>
          <w:szCs w:val="24"/>
        </w:rPr>
      </w:pPr>
    </w:p>
    <w:p w:rsidR="0009586B" w:rsidRPr="000A3F18" w:rsidRDefault="0009586B" w:rsidP="0009586B">
      <w:pPr>
        <w:spacing w:after="0" w:line="240" w:lineRule="auto"/>
        <w:jc w:val="both"/>
        <w:rPr>
          <w:rFonts w:cs="Times New Roman"/>
          <w:b/>
          <w:szCs w:val="24"/>
        </w:rPr>
      </w:pPr>
    </w:p>
    <w:p w:rsidR="000922B3" w:rsidRPr="000A3F18" w:rsidRDefault="00A3381D" w:rsidP="00650E8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0A3F18">
        <w:rPr>
          <w:rFonts w:cs="Times New Roman"/>
          <w:b/>
          <w:szCs w:val="24"/>
        </w:rPr>
        <w:t>Europos semestras 2020: Metinė tvaraus augimo strategija, Įspėjimo mechanizmo ataskaita, Rekomendacijos euro zonai</w:t>
      </w:r>
      <w:r w:rsidR="000922B3" w:rsidRPr="000A3F18">
        <w:rPr>
          <w:rFonts w:cs="Times New Roman"/>
          <w:b/>
          <w:szCs w:val="24"/>
        </w:rPr>
        <w:t xml:space="preserve"> </w:t>
      </w:r>
      <w:r w:rsidR="008818DE" w:rsidRPr="000A3F18">
        <w:rPr>
          <w:rFonts w:cs="Times New Roman"/>
          <w:i/>
          <w:szCs w:val="24"/>
        </w:rPr>
        <w:t>(Apsikeitimas nuomonėmis</w:t>
      </w:r>
      <w:r w:rsidR="000922B3" w:rsidRPr="000A3F18">
        <w:rPr>
          <w:rFonts w:cs="Times New Roman"/>
          <w:i/>
          <w:szCs w:val="24"/>
        </w:rPr>
        <w:t>)</w:t>
      </w:r>
    </w:p>
    <w:p w:rsidR="000922B3" w:rsidRPr="000A3F18" w:rsidRDefault="000922B3" w:rsidP="00650E80">
      <w:pPr>
        <w:spacing w:after="0" w:line="240" w:lineRule="auto"/>
        <w:jc w:val="both"/>
        <w:rPr>
          <w:rFonts w:cs="Times New Roman"/>
          <w:b/>
          <w:szCs w:val="24"/>
        </w:rPr>
      </w:pPr>
    </w:p>
    <w:p w:rsidR="00650E80" w:rsidRPr="000A3F18" w:rsidRDefault="000922B3" w:rsidP="00A3381D">
      <w:pPr>
        <w:spacing w:after="0" w:line="240" w:lineRule="auto"/>
        <w:jc w:val="both"/>
        <w:rPr>
          <w:rFonts w:eastAsia="Calibri" w:cs="Times New Roman"/>
          <w:noProof/>
          <w:szCs w:val="24"/>
          <w:lang w:bidi="lt-LT"/>
        </w:rPr>
      </w:pPr>
      <w:r w:rsidRPr="000A3F18">
        <w:rPr>
          <w:rFonts w:cs="Times New Roman"/>
          <w:b/>
          <w:szCs w:val="24"/>
          <w:u w:val="single"/>
          <w:lang w:bidi="lt-LT"/>
        </w:rPr>
        <w:t>Klausimo esmė.</w:t>
      </w:r>
      <w:r w:rsidR="00DC573C" w:rsidRPr="000A3F18">
        <w:rPr>
          <w:rFonts w:cs="Times New Roman"/>
          <w:szCs w:val="24"/>
        </w:rPr>
        <w:t xml:space="preserve"> </w:t>
      </w:r>
      <w:r w:rsidR="008818DE" w:rsidRPr="000A3F18">
        <w:rPr>
          <w:rFonts w:cs="Times New Roman"/>
          <w:szCs w:val="24"/>
        </w:rPr>
        <w:t xml:space="preserve">Komisija pristatys 2020 m. Europos semestro prioritetus bei įvardins VN, kurioms bus atliekamos nuodugnios apžvalgos dėl galimų makroekonominių </w:t>
      </w:r>
      <w:proofErr w:type="spellStart"/>
      <w:r w:rsidR="008818DE" w:rsidRPr="000A3F18">
        <w:rPr>
          <w:rFonts w:cs="Times New Roman"/>
          <w:szCs w:val="24"/>
        </w:rPr>
        <w:t>disbalansų</w:t>
      </w:r>
      <w:proofErr w:type="spellEnd"/>
      <w:r w:rsidR="008818DE" w:rsidRPr="000A3F18">
        <w:rPr>
          <w:rFonts w:cs="Times New Roman"/>
          <w:szCs w:val="24"/>
        </w:rPr>
        <w:t xml:space="preserve">. </w:t>
      </w:r>
    </w:p>
    <w:p w:rsidR="008818DE" w:rsidRPr="000A3F18" w:rsidRDefault="00841E12" w:rsidP="008818DE">
      <w:pPr>
        <w:spacing w:after="0" w:line="240" w:lineRule="auto"/>
        <w:jc w:val="both"/>
        <w:rPr>
          <w:rFonts w:eastAsia="Calibri" w:cs="Times New Roman"/>
          <w:b/>
          <w:noProof/>
          <w:szCs w:val="24"/>
          <w:lang w:bidi="lt-LT"/>
        </w:rPr>
      </w:pPr>
      <w:r>
        <w:rPr>
          <w:rFonts w:eastAsia="Calibri" w:cs="Times New Roman"/>
          <w:b/>
          <w:noProof/>
          <w:szCs w:val="24"/>
          <w:lang w:bidi="lt-LT"/>
        </w:rPr>
        <w:t>Rekomendacijų euro zonai projektas</w:t>
      </w:r>
      <w:r w:rsidR="008818DE" w:rsidRPr="000A3F18">
        <w:rPr>
          <w:rFonts w:eastAsia="Calibri" w:cs="Times New Roman"/>
          <w:b/>
          <w:noProof/>
          <w:szCs w:val="24"/>
          <w:lang w:bidi="lt-LT"/>
        </w:rPr>
        <w:t xml:space="preserve"> (</w:t>
      </w:r>
      <w:r w:rsidR="00E358C8" w:rsidRPr="000A3F18">
        <w:rPr>
          <w:rFonts w:eastAsia="Calibri" w:cs="Times New Roman"/>
          <w:b/>
          <w:noProof/>
          <w:szCs w:val="24"/>
          <w:lang w:bidi="lt-LT"/>
        </w:rPr>
        <w:t>S</w:t>
      </w:r>
      <w:r>
        <w:rPr>
          <w:rFonts w:eastAsia="Calibri" w:cs="Times New Roman"/>
          <w:b/>
          <w:noProof/>
          <w:szCs w:val="24"/>
          <w:lang w:bidi="lt-LT"/>
        </w:rPr>
        <w:t>utrumpinta</w:t>
      </w:r>
      <w:r w:rsidR="008818DE" w:rsidRPr="000A3F18">
        <w:rPr>
          <w:rFonts w:eastAsia="Calibri" w:cs="Times New Roman"/>
          <w:b/>
          <w:noProof/>
          <w:szCs w:val="24"/>
          <w:lang w:bidi="lt-LT"/>
        </w:rPr>
        <w:t>s)</w:t>
      </w:r>
    </w:p>
    <w:p w:rsidR="008818DE" w:rsidRPr="000A3F18" w:rsidRDefault="008818DE" w:rsidP="00E64534">
      <w:pPr>
        <w:numPr>
          <w:ilvl w:val="0"/>
          <w:numId w:val="1"/>
        </w:numPr>
        <w:spacing w:after="0" w:line="240" w:lineRule="auto"/>
        <w:jc w:val="both"/>
        <w:rPr>
          <w:rFonts w:eastAsia="Calibri" w:cs="Times New Roman"/>
          <w:noProof/>
          <w:szCs w:val="24"/>
          <w:lang w:bidi="lt-LT"/>
        </w:rPr>
      </w:pPr>
      <w:r w:rsidRPr="000A3F18">
        <w:rPr>
          <w:rFonts w:eastAsia="Calibri" w:cs="Times New Roman"/>
          <w:noProof/>
          <w:szCs w:val="24"/>
          <w:lang w:bidi="lt-LT"/>
        </w:rPr>
        <w:t>Euro zonos VN turinčioms einamosios sąskaitos deficitus arba aukštas išorines skolas rekomenduojama imtis reformų keliančių konkurencingumą ir mažinančių skolą. VN esančioms priešingoje situacijoje rekomenduojama stiprinti atlyginimų bei investicijų augimą. Remti sąžiningą ir įtraukų perėjimą prie konkurencingos žalios skaitmeninės ekonomikos remiant atitinkamas investicijas.</w:t>
      </w:r>
    </w:p>
    <w:p w:rsidR="008818DE" w:rsidRPr="000A3F18" w:rsidRDefault="008818DE" w:rsidP="00E64534">
      <w:pPr>
        <w:numPr>
          <w:ilvl w:val="0"/>
          <w:numId w:val="1"/>
        </w:numPr>
        <w:spacing w:after="0" w:line="240" w:lineRule="auto"/>
        <w:jc w:val="both"/>
        <w:rPr>
          <w:rFonts w:eastAsia="Calibri" w:cs="Times New Roman"/>
          <w:noProof/>
          <w:szCs w:val="24"/>
          <w:lang w:bidi="lt-LT"/>
        </w:rPr>
      </w:pPr>
      <w:r w:rsidRPr="000A3F18">
        <w:rPr>
          <w:rFonts w:eastAsia="Calibri" w:cs="Times New Roman"/>
          <w:noProof/>
          <w:szCs w:val="24"/>
          <w:lang w:bidi="lt-LT"/>
        </w:rPr>
        <w:t>VN turinčioms aukštas viešąsias skolas rekomenduojama tvariai jas mažinti, VN turinčios palankią fiskalinę poziciją turėtų kelti aukštos kokybės investicijas. Jeigu ekonominė situacija prastės naudoti skatinamąją fiskalinę politiką bendruoju lygmeniu, koordinuojant ją Euro grupėje. Remti ES veiksmus skirtus kovai su agresyviu mokesčiu planavimu, spręsti lenktynių iki dugno problemą pelno apmokestinime.</w:t>
      </w:r>
    </w:p>
    <w:p w:rsidR="008818DE" w:rsidRPr="000A3F18" w:rsidRDefault="008818DE" w:rsidP="00E64534">
      <w:pPr>
        <w:numPr>
          <w:ilvl w:val="0"/>
          <w:numId w:val="1"/>
        </w:numPr>
        <w:spacing w:after="0" w:line="240" w:lineRule="auto"/>
        <w:jc w:val="both"/>
        <w:rPr>
          <w:rFonts w:eastAsia="Calibri" w:cs="Times New Roman"/>
          <w:noProof/>
          <w:szCs w:val="24"/>
          <w:lang w:bidi="lt-LT"/>
        </w:rPr>
      </w:pPr>
      <w:r w:rsidRPr="000A3F18">
        <w:rPr>
          <w:rFonts w:eastAsia="Calibri" w:cs="Times New Roman"/>
          <w:noProof/>
          <w:szCs w:val="24"/>
          <w:lang w:bidi="lt-LT"/>
        </w:rPr>
        <w:t>Sustiprinti švietimo ir mokymo sistemas bei investicijas į įgūdžius. Pakelti aktyvios darbo rinkos politikos efektyvumą. Remti dalyvavimą darbo rinkoje bei perkelti mokestinę naštą nuo samdomo darbo. Vystyti kokybiškų darbo vietų kūrimą ir spręsti darbo rinkos susiskaldymą. Tobulinti prieigą prie adekvačių ir tvarių socialinių apsaugos sistemų. Sustiprinti socialinį dialogą bei skatinti kolektyvines derybas.</w:t>
      </w:r>
    </w:p>
    <w:p w:rsidR="008818DE" w:rsidRPr="000A3F18" w:rsidRDefault="008818DE" w:rsidP="00E64534">
      <w:pPr>
        <w:numPr>
          <w:ilvl w:val="0"/>
          <w:numId w:val="1"/>
        </w:numPr>
        <w:spacing w:after="0" w:line="240" w:lineRule="auto"/>
        <w:jc w:val="both"/>
        <w:rPr>
          <w:rFonts w:eastAsia="Calibri" w:cs="Times New Roman"/>
          <w:noProof/>
          <w:szCs w:val="24"/>
          <w:lang w:bidi="lt-LT"/>
        </w:rPr>
      </w:pPr>
      <w:r w:rsidRPr="000A3F18">
        <w:rPr>
          <w:rFonts w:eastAsia="Calibri" w:cs="Times New Roman"/>
          <w:noProof/>
          <w:szCs w:val="24"/>
          <w:lang w:bidi="lt-LT"/>
        </w:rPr>
        <w:t>Užbaigti Bankų sąjungą pradedant derybas dėl Europos indė</w:t>
      </w:r>
      <w:r w:rsidR="00FA0A4E" w:rsidRPr="000A3F18">
        <w:rPr>
          <w:rFonts w:eastAsia="Calibri" w:cs="Times New Roman"/>
          <w:noProof/>
          <w:szCs w:val="24"/>
          <w:lang w:bidi="lt-LT"/>
        </w:rPr>
        <w:t xml:space="preserve">lių garantijų sistemos, užtikrinant </w:t>
      </w:r>
      <w:r w:rsidRPr="000A3F18">
        <w:rPr>
          <w:rFonts w:eastAsia="Calibri" w:cs="Times New Roman"/>
          <w:noProof/>
          <w:szCs w:val="24"/>
          <w:lang w:bidi="lt-LT"/>
        </w:rPr>
        <w:t>nuostatų dėl finansinio stabilumo priemonės Bendram pertvarkymo fondui veikimą. Atnaujinti pastangas užbaigti Kapitalo rinkų sąjungą.</w:t>
      </w:r>
    </w:p>
    <w:p w:rsidR="008818DE" w:rsidRPr="000A3F18" w:rsidRDefault="00FA0A4E" w:rsidP="00E64534">
      <w:pPr>
        <w:numPr>
          <w:ilvl w:val="0"/>
          <w:numId w:val="1"/>
        </w:numPr>
        <w:spacing w:after="0" w:line="240" w:lineRule="auto"/>
        <w:jc w:val="both"/>
        <w:rPr>
          <w:rFonts w:eastAsia="Calibri" w:cs="Times New Roman"/>
          <w:noProof/>
          <w:szCs w:val="24"/>
          <w:lang w:bidi="lt-LT"/>
        </w:rPr>
      </w:pPr>
      <w:r w:rsidRPr="000A3F18">
        <w:rPr>
          <w:rFonts w:eastAsia="Calibri" w:cs="Times New Roman"/>
          <w:noProof/>
          <w:szCs w:val="24"/>
          <w:lang w:bidi="lt-LT"/>
        </w:rPr>
        <w:lastRenderedPageBreak/>
        <w:t>U</w:t>
      </w:r>
      <w:r w:rsidR="008818DE" w:rsidRPr="000A3F18">
        <w:rPr>
          <w:rFonts w:eastAsia="Calibri" w:cs="Times New Roman"/>
          <w:noProof/>
          <w:szCs w:val="24"/>
          <w:lang w:bidi="lt-LT"/>
        </w:rPr>
        <w:t>žtikrinti ambicingą pažangą gilinant Ekonominę ir pinigų sąjungą (EPS) greitai įgyvendinant veiksmus identifikuotus 2019 m. gruodžio mėn. Euro zonos aukščiausio lygio susitikimo pareiškime. Stiprinti EPS demokratinę atskaitomybę.</w:t>
      </w:r>
    </w:p>
    <w:p w:rsidR="008818DE" w:rsidRPr="000A3F18" w:rsidRDefault="008818DE" w:rsidP="008818DE">
      <w:pPr>
        <w:spacing w:after="0" w:line="240" w:lineRule="auto"/>
        <w:jc w:val="both"/>
        <w:rPr>
          <w:rFonts w:eastAsia="Calibri" w:cs="Times New Roman"/>
          <w:noProof/>
          <w:szCs w:val="24"/>
          <w:lang w:bidi="lt-LT"/>
        </w:rPr>
      </w:pPr>
      <w:r w:rsidRPr="000A3F18">
        <w:rPr>
          <w:rFonts w:eastAsia="Calibri" w:cs="Times New Roman"/>
          <w:noProof/>
          <w:szCs w:val="24"/>
          <w:lang w:bidi="lt-LT"/>
        </w:rPr>
        <w:t>Preambulėje taip pat minimos lenktynės iki dugno pelno apmokestinime ir kova su agresyviu mokesčių planavimu, o kaip sprendimo būdas pateikiama Bendra konsoliduota pelno mokesčio bazė (CCCTB).</w:t>
      </w:r>
    </w:p>
    <w:p w:rsidR="00FA0A4E" w:rsidRPr="000A3F18" w:rsidRDefault="00FA0A4E" w:rsidP="00FA0A4E">
      <w:pPr>
        <w:spacing w:after="0" w:line="240" w:lineRule="auto"/>
        <w:jc w:val="both"/>
        <w:rPr>
          <w:rFonts w:eastAsia="Calibri" w:cs="Times New Roman"/>
          <w:b/>
          <w:noProof/>
          <w:szCs w:val="24"/>
          <w:lang w:bidi="lt-LT"/>
        </w:rPr>
      </w:pPr>
      <w:r w:rsidRPr="000A3F18">
        <w:rPr>
          <w:rFonts w:eastAsia="Calibri" w:cs="Times New Roman"/>
          <w:b/>
          <w:noProof/>
          <w:szCs w:val="24"/>
          <w:lang w:bidi="lt-LT"/>
        </w:rPr>
        <w:t>Metinė tvaraus augimo strategija</w:t>
      </w:r>
    </w:p>
    <w:p w:rsidR="00FA0A4E" w:rsidRPr="000A3F18" w:rsidRDefault="00FA0A4E" w:rsidP="00FA0A4E">
      <w:pPr>
        <w:spacing w:after="0" w:line="240" w:lineRule="auto"/>
        <w:jc w:val="both"/>
        <w:rPr>
          <w:rFonts w:eastAsia="Calibri" w:cs="Times New Roman"/>
          <w:noProof/>
          <w:szCs w:val="24"/>
          <w:lang w:bidi="lt-LT"/>
        </w:rPr>
      </w:pPr>
      <w:r w:rsidRPr="000A3F18">
        <w:rPr>
          <w:rFonts w:eastAsia="Calibri" w:cs="Times New Roman"/>
          <w:noProof/>
          <w:szCs w:val="24"/>
          <w:lang w:bidi="lt-LT"/>
        </w:rPr>
        <w:t>Metine tvaraus augimo strategija įgyvendinama vizija, išdėstyta Komisijos Pirmininkės </w:t>
      </w:r>
      <w:r w:rsidRPr="000A3F18">
        <w:rPr>
          <w:rFonts w:eastAsia="Calibri" w:cs="Times New Roman"/>
          <w:bCs/>
          <w:noProof/>
          <w:szCs w:val="24"/>
          <w:lang w:bidi="lt-LT"/>
        </w:rPr>
        <w:t>U. von der Leyen</w:t>
      </w:r>
      <w:r w:rsidRPr="000A3F18">
        <w:rPr>
          <w:rFonts w:eastAsia="Calibri" w:cs="Times New Roman"/>
          <w:noProof/>
          <w:szCs w:val="24"/>
          <w:lang w:bidi="lt-LT"/>
        </w:rPr>
        <w:t> politinėse gairėse. Jose išdėstyta ES ekonominės ir užimtumo politikos strategija, pagal kurią, atsižvelg</w:t>
      </w:r>
      <w:r w:rsidR="00E358C8" w:rsidRPr="000A3F18">
        <w:rPr>
          <w:rFonts w:eastAsia="Calibri" w:cs="Times New Roman"/>
          <w:noProof/>
          <w:szCs w:val="24"/>
          <w:lang w:bidi="lt-LT"/>
        </w:rPr>
        <w:t xml:space="preserve">iant į Europos žaliajame kurse  </w:t>
      </w:r>
      <w:r w:rsidRPr="000A3F18">
        <w:rPr>
          <w:rFonts w:eastAsia="Calibri" w:cs="Times New Roman"/>
          <w:noProof/>
          <w:szCs w:val="24"/>
          <w:lang w:bidi="lt-LT"/>
        </w:rPr>
        <w:t>įtvirtintus prioritetus, tvarumas ir socialinė įtrauktis yra ES ekonominės politikos formavimo pagrindas.</w:t>
      </w:r>
    </w:p>
    <w:p w:rsidR="00FA0A4E" w:rsidRPr="000A3F18" w:rsidRDefault="00FA0A4E" w:rsidP="00FA0A4E">
      <w:pPr>
        <w:spacing w:after="0" w:line="240" w:lineRule="auto"/>
        <w:jc w:val="both"/>
        <w:rPr>
          <w:rFonts w:eastAsia="Calibri" w:cs="Times New Roman"/>
          <w:noProof/>
          <w:szCs w:val="24"/>
          <w:lang w:bidi="lt-LT"/>
        </w:rPr>
      </w:pPr>
      <w:r w:rsidRPr="000A3F18">
        <w:rPr>
          <w:rFonts w:eastAsia="Calibri" w:cs="Times New Roman"/>
          <w:noProof/>
          <w:szCs w:val="24"/>
          <w:lang w:bidi="lt-LT"/>
        </w:rPr>
        <w:t>Metinė tvaraus augimo strategija apima keturis tarpusavyje susijusius ir vienas kitą papildančius aspektus:</w:t>
      </w:r>
    </w:p>
    <w:p w:rsidR="00FA0A4E" w:rsidRPr="000A3F18" w:rsidRDefault="00FA0A4E" w:rsidP="00E64534">
      <w:pPr>
        <w:numPr>
          <w:ilvl w:val="0"/>
          <w:numId w:val="2"/>
        </w:numPr>
        <w:spacing w:after="0" w:line="240" w:lineRule="auto"/>
        <w:jc w:val="both"/>
        <w:rPr>
          <w:rFonts w:eastAsia="Calibri" w:cs="Times New Roman"/>
          <w:noProof/>
          <w:szCs w:val="24"/>
          <w:lang w:bidi="lt-LT"/>
        </w:rPr>
      </w:pPr>
      <w:r w:rsidRPr="000A3F18">
        <w:rPr>
          <w:rFonts w:eastAsia="Calibri" w:cs="Times New Roman"/>
          <w:noProof/>
          <w:szCs w:val="24"/>
          <w:lang w:bidi="lt-LT"/>
        </w:rPr>
        <w:t>aplinkos tvarumas,</w:t>
      </w:r>
    </w:p>
    <w:p w:rsidR="00FA0A4E" w:rsidRPr="000A3F18" w:rsidRDefault="00FA0A4E" w:rsidP="00E64534">
      <w:pPr>
        <w:numPr>
          <w:ilvl w:val="0"/>
          <w:numId w:val="2"/>
        </w:numPr>
        <w:spacing w:after="0" w:line="240" w:lineRule="auto"/>
        <w:jc w:val="both"/>
        <w:rPr>
          <w:rFonts w:eastAsia="Calibri" w:cs="Times New Roman"/>
          <w:noProof/>
          <w:szCs w:val="24"/>
          <w:lang w:bidi="lt-LT"/>
        </w:rPr>
      </w:pPr>
      <w:r w:rsidRPr="000A3F18">
        <w:rPr>
          <w:rFonts w:eastAsia="Calibri" w:cs="Times New Roman"/>
          <w:noProof/>
          <w:szCs w:val="24"/>
          <w:lang w:bidi="lt-LT"/>
        </w:rPr>
        <w:t>našumo didinimas,</w:t>
      </w:r>
    </w:p>
    <w:p w:rsidR="00FA0A4E" w:rsidRPr="000A3F18" w:rsidRDefault="00FA0A4E" w:rsidP="00E64534">
      <w:pPr>
        <w:numPr>
          <w:ilvl w:val="0"/>
          <w:numId w:val="2"/>
        </w:numPr>
        <w:spacing w:after="0" w:line="240" w:lineRule="auto"/>
        <w:jc w:val="both"/>
        <w:rPr>
          <w:rFonts w:eastAsia="Calibri" w:cs="Times New Roman"/>
          <w:noProof/>
          <w:szCs w:val="24"/>
          <w:lang w:bidi="lt-LT"/>
        </w:rPr>
      </w:pPr>
      <w:r w:rsidRPr="000A3F18">
        <w:rPr>
          <w:rFonts w:eastAsia="Calibri" w:cs="Times New Roman"/>
          <w:noProof/>
          <w:szCs w:val="24"/>
          <w:lang w:bidi="lt-LT"/>
        </w:rPr>
        <w:t>sąžiningumas,</w:t>
      </w:r>
    </w:p>
    <w:p w:rsidR="00FA0A4E" w:rsidRPr="000A3F18" w:rsidRDefault="00FA0A4E" w:rsidP="00E64534">
      <w:pPr>
        <w:numPr>
          <w:ilvl w:val="0"/>
          <w:numId w:val="2"/>
        </w:numPr>
        <w:spacing w:after="0" w:line="240" w:lineRule="auto"/>
        <w:jc w:val="both"/>
        <w:rPr>
          <w:rFonts w:eastAsia="Calibri" w:cs="Times New Roman"/>
          <w:noProof/>
          <w:szCs w:val="24"/>
          <w:lang w:bidi="lt-LT"/>
        </w:rPr>
      </w:pPr>
      <w:r w:rsidRPr="000A3F18">
        <w:rPr>
          <w:rFonts w:eastAsia="Calibri" w:cs="Times New Roman"/>
          <w:noProof/>
          <w:szCs w:val="24"/>
          <w:lang w:bidi="lt-LT"/>
        </w:rPr>
        <w:t>makroekonominis stabilumas.</w:t>
      </w:r>
    </w:p>
    <w:p w:rsidR="00FA0A4E" w:rsidRPr="000A3F18" w:rsidRDefault="00FA0A4E" w:rsidP="008818DE">
      <w:pPr>
        <w:spacing w:after="0" w:line="240" w:lineRule="auto"/>
        <w:jc w:val="both"/>
        <w:rPr>
          <w:rFonts w:eastAsia="Calibri" w:cs="Times New Roman"/>
          <w:noProof/>
          <w:szCs w:val="24"/>
          <w:lang w:bidi="lt-LT"/>
        </w:rPr>
      </w:pPr>
      <w:r w:rsidRPr="000A3F18">
        <w:rPr>
          <w:rFonts w:eastAsia="Calibri" w:cs="Times New Roman"/>
          <w:noProof/>
          <w:szCs w:val="24"/>
          <w:lang w:bidi="lt-LT"/>
        </w:rPr>
        <w:t>Pirmą kartą į Europos semestrą buvo įtraukti Jungtinių tautų darnaus vystymosi tikslai.</w:t>
      </w:r>
    </w:p>
    <w:p w:rsidR="00FA0A4E" w:rsidRPr="000A3F18" w:rsidRDefault="00FA0A4E" w:rsidP="00FA0A4E">
      <w:pPr>
        <w:spacing w:after="0" w:line="240" w:lineRule="auto"/>
        <w:jc w:val="both"/>
        <w:rPr>
          <w:rFonts w:eastAsia="Calibri" w:cs="Times New Roman"/>
          <w:b/>
          <w:noProof/>
          <w:szCs w:val="24"/>
          <w:lang w:bidi="lt-LT"/>
        </w:rPr>
      </w:pPr>
      <w:r w:rsidRPr="000A3F18">
        <w:rPr>
          <w:rFonts w:eastAsia="Calibri" w:cs="Times New Roman"/>
          <w:b/>
          <w:noProof/>
          <w:szCs w:val="24"/>
          <w:lang w:bidi="lt-LT"/>
        </w:rPr>
        <w:t>Įspėjimo mechanizmo ataskaita</w:t>
      </w:r>
    </w:p>
    <w:p w:rsidR="00FA0A4E" w:rsidRPr="000A3F18" w:rsidRDefault="00FA0A4E" w:rsidP="00FA0A4E">
      <w:pPr>
        <w:spacing w:after="0" w:line="240" w:lineRule="auto"/>
        <w:jc w:val="both"/>
        <w:rPr>
          <w:rFonts w:eastAsia="Calibri" w:cs="Times New Roman"/>
          <w:noProof/>
          <w:szCs w:val="24"/>
          <w:lang w:bidi="lt-LT"/>
        </w:rPr>
      </w:pPr>
      <w:r w:rsidRPr="000A3F18">
        <w:rPr>
          <w:rFonts w:eastAsia="Calibri" w:cs="Times New Roman"/>
          <w:noProof/>
          <w:szCs w:val="24"/>
          <w:lang w:bidi="lt-LT"/>
        </w:rPr>
        <w:t>Nuodugnios apžvalgos 2020 m. bus atliekamos 13 VN. Lyginant su 2019 m. Nuodugni apžvalga bus atliekama toms pačioms VN. Lietuvai nuodugni apžvalga nebus atliekama.</w:t>
      </w:r>
    </w:p>
    <w:p w:rsidR="00841E12" w:rsidRPr="00841E12" w:rsidRDefault="006B5E52" w:rsidP="00841E12">
      <w:pPr>
        <w:spacing w:after="0" w:line="240" w:lineRule="auto"/>
        <w:jc w:val="both"/>
        <w:rPr>
          <w:rFonts w:cs="Times New Roman"/>
          <w:szCs w:val="24"/>
        </w:rPr>
      </w:pPr>
      <w:r w:rsidRPr="000A3F18">
        <w:rPr>
          <w:rFonts w:cs="Times New Roman"/>
          <w:b/>
          <w:szCs w:val="24"/>
          <w:u w:val="single"/>
        </w:rPr>
        <w:t>Lietuvos pozicija.</w:t>
      </w:r>
      <w:r w:rsidR="00650E80" w:rsidRPr="000A3F18">
        <w:rPr>
          <w:rFonts w:cs="Times New Roman"/>
          <w:b/>
          <w:szCs w:val="24"/>
        </w:rPr>
        <w:t xml:space="preserve"> </w:t>
      </w:r>
      <w:r w:rsidR="008818DE" w:rsidRPr="000A3F18">
        <w:rPr>
          <w:rFonts w:cs="Times New Roman"/>
          <w:b/>
          <w:bCs/>
          <w:szCs w:val="24"/>
        </w:rPr>
        <w:t xml:space="preserve">Euro zonos rekomendacijos. </w:t>
      </w:r>
      <w:r w:rsidR="00841E12" w:rsidRPr="00841E12">
        <w:rPr>
          <w:rFonts w:cs="Times New Roman"/>
          <w:szCs w:val="24"/>
        </w:rPr>
        <w:t xml:space="preserve">Siūlome nenaudoti preambulės 9 pastraipoje ir 2 rekomendacijoje minimų terminų „perteklinė konkurencija mokesčiais“ ir „lenktynės iki dugno pelno apmokestinime“. Manome, kad reikėtų skirti sąžiningą ir nesąžiningą mokesčių konkurenciją. Sąžininga mokesčių konkurencija yra apibrėžta Elgesio kodekse (Verslo apmokestinime), žalingų mokestinių praktikų forume bei </w:t>
      </w:r>
      <w:proofErr w:type="spellStart"/>
      <w:r w:rsidR="00841E12" w:rsidRPr="00841E12">
        <w:rPr>
          <w:rFonts w:cs="Times New Roman"/>
          <w:szCs w:val="24"/>
        </w:rPr>
        <w:t>įtraukioje</w:t>
      </w:r>
      <w:proofErr w:type="spellEnd"/>
      <w:r w:rsidR="00841E12" w:rsidRPr="00841E12">
        <w:rPr>
          <w:rFonts w:cs="Times New Roman"/>
          <w:szCs w:val="24"/>
        </w:rPr>
        <w:t xml:space="preserve"> sistemoje dėl bazės erozijos ir pelno perkėlimo (BEPS). Todėl terminas „perteklinė“ konkurencija mokesčiais įneša neaiškumo ir neapibrėžtumo.</w:t>
      </w:r>
    </w:p>
    <w:p w:rsidR="008818DE" w:rsidRPr="000A3F18" w:rsidRDefault="00841E12" w:rsidP="00841E12">
      <w:pPr>
        <w:spacing w:after="0" w:line="240" w:lineRule="auto"/>
        <w:jc w:val="both"/>
        <w:rPr>
          <w:rFonts w:cs="Times New Roman"/>
          <w:szCs w:val="24"/>
        </w:rPr>
      </w:pPr>
      <w:r w:rsidRPr="00841E12">
        <w:rPr>
          <w:rFonts w:cs="Times New Roman"/>
          <w:szCs w:val="24"/>
        </w:rPr>
        <w:t>Taip pat, siūlome neminėti Bendros konsoliduotos pelno mokesčio bazės preambulėje (9 pastraipa), kadangi ES dar nėra sutarimo dėl šio instrumento.</w:t>
      </w:r>
    </w:p>
    <w:p w:rsidR="008818DE" w:rsidRPr="000A3F18" w:rsidRDefault="008818DE" w:rsidP="008818DE">
      <w:pPr>
        <w:spacing w:after="0" w:line="240" w:lineRule="auto"/>
        <w:jc w:val="both"/>
        <w:rPr>
          <w:rFonts w:cs="Times New Roman"/>
          <w:b/>
          <w:szCs w:val="24"/>
        </w:rPr>
      </w:pPr>
      <w:r w:rsidRPr="000A3F18">
        <w:rPr>
          <w:rFonts w:cs="Times New Roman"/>
          <w:b/>
          <w:bCs/>
          <w:szCs w:val="24"/>
        </w:rPr>
        <w:t>Metinė tvaraus augimo strategija</w:t>
      </w:r>
      <w:r w:rsidRPr="000A3F18">
        <w:rPr>
          <w:rFonts w:cs="Times New Roman"/>
          <w:b/>
          <w:szCs w:val="24"/>
        </w:rPr>
        <w:t xml:space="preserve">. </w:t>
      </w:r>
      <w:r w:rsidRPr="000A3F18">
        <w:rPr>
          <w:rFonts w:cs="Times New Roman"/>
          <w:szCs w:val="24"/>
        </w:rPr>
        <w:t>Pritariame Metinei tvaraus augimo strategijai.</w:t>
      </w:r>
    </w:p>
    <w:p w:rsidR="008818DE" w:rsidRPr="000A3F18" w:rsidRDefault="008818DE" w:rsidP="008818DE">
      <w:pPr>
        <w:spacing w:after="0" w:line="240" w:lineRule="auto"/>
        <w:jc w:val="both"/>
        <w:rPr>
          <w:rFonts w:cs="Times New Roman"/>
          <w:b/>
          <w:szCs w:val="24"/>
        </w:rPr>
      </w:pPr>
      <w:r w:rsidRPr="000A3F18">
        <w:rPr>
          <w:rFonts w:cs="Times New Roman"/>
          <w:b/>
          <w:bCs/>
          <w:szCs w:val="24"/>
        </w:rPr>
        <w:t>Įspėjimo mechanizmo ataskaita</w:t>
      </w:r>
      <w:r w:rsidRPr="000A3F18">
        <w:rPr>
          <w:rFonts w:cs="Times New Roman"/>
          <w:b/>
          <w:szCs w:val="24"/>
        </w:rPr>
        <w:t xml:space="preserve">. </w:t>
      </w:r>
      <w:r w:rsidRPr="000A3F18">
        <w:rPr>
          <w:rFonts w:cs="Times New Roman"/>
          <w:szCs w:val="24"/>
        </w:rPr>
        <w:t>Pritariame Įspėjimo mechanizmo ataskaitai.</w:t>
      </w:r>
    </w:p>
    <w:p w:rsidR="003C47D0" w:rsidRPr="00E64534" w:rsidRDefault="003C47D0" w:rsidP="00650E80">
      <w:pPr>
        <w:spacing w:after="0" w:line="240" w:lineRule="auto"/>
        <w:rPr>
          <w:rFonts w:eastAsia="Calibri" w:cs="Times New Roman"/>
          <w:szCs w:val="24"/>
        </w:rPr>
      </w:pPr>
    </w:p>
    <w:p w:rsidR="008022D7" w:rsidRPr="00E64534" w:rsidRDefault="008022D7" w:rsidP="00650E80">
      <w:pPr>
        <w:spacing w:after="0" w:line="240" w:lineRule="auto"/>
        <w:rPr>
          <w:rFonts w:eastAsia="Calibri" w:cs="Times New Roman"/>
          <w:szCs w:val="24"/>
        </w:rPr>
      </w:pPr>
    </w:p>
    <w:p w:rsidR="00E64534" w:rsidRPr="00E64534" w:rsidRDefault="00E64534" w:rsidP="00E6453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E64534">
        <w:rPr>
          <w:rFonts w:cs="Times New Roman"/>
          <w:b/>
          <w:szCs w:val="24"/>
        </w:rPr>
        <w:t xml:space="preserve">Dėl </w:t>
      </w:r>
      <w:proofErr w:type="spellStart"/>
      <w:r w:rsidRPr="00E64534">
        <w:rPr>
          <w:rFonts w:cs="Times New Roman"/>
          <w:b/>
          <w:szCs w:val="24"/>
        </w:rPr>
        <w:t>skaitmenėjančios</w:t>
      </w:r>
      <w:proofErr w:type="spellEnd"/>
      <w:r w:rsidRPr="00E64534">
        <w:rPr>
          <w:rFonts w:cs="Times New Roman"/>
          <w:b/>
          <w:szCs w:val="24"/>
        </w:rPr>
        <w:t xml:space="preserve"> ekonomikos apmokestinimo</w:t>
      </w:r>
      <w:r w:rsidRPr="00E64534">
        <w:rPr>
          <w:rFonts w:cs="Times New Roman"/>
          <w:i/>
          <w:szCs w:val="24"/>
        </w:rPr>
        <w:t xml:space="preserve"> (Nuomonių apsikeitimas)</w:t>
      </w:r>
    </w:p>
    <w:p w:rsidR="00E64534" w:rsidRPr="00E64534" w:rsidRDefault="00E64534" w:rsidP="00E64534">
      <w:pPr>
        <w:spacing w:after="0" w:line="240" w:lineRule="auto"/>
        <w:ind w:left="-142" w:firstLine="142"/>
        <w:jc w:val="center"/>
        <w:rPr>
          <w:rFonts w:cs="Times New Roman"/>
          <w:b/>
          <w:szCs w:val="24"/>
        </w:rPr>
      </w:pP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cs="Times New Roman"/>
          <w:b/>
          <w:szCs w:val="24"/>
          <w:u w:val="single"/>
        </w:rPr>
        <w:t>Klausimo esmė.</w:t>
      </w:r>
      <w:r w:rsidRPr="00E64534">
        <w:rPr>
          <w:rFonts w:cs="Times New Roman"/>
          <w:b/>
          <w:szCs w:val="24"/>
        </w:rPr>
        <w:t xml:space="preserve"> EBPO vykstančių diskusijų esmė:</w:t>
      </w:r>
      <w:r w:rsidRPr="00E64534">
        <w:rPr>
          <w:rFonts w:cs="Times New Roman"/>
          <w:szCs w:val="24"/>
        </w:rPr>
        <w:t xml:space="preserve"> </w:t>
      </w:r>
      <w:r w:rsidRPr="00E64534">
        <w:rPr>
          <w:rFonts w:eastAsia="Calibri" w:cs="Times New Roman"/>
          <w:szCs w:val="24"/>
          <w:lang w:eastAsia="fr-BE"/>
        </w:rPr>
        <w:t xml:space="preserve">Darbas EBPO iš esmės atliekamas 2019 m. gegužės mėnesį EBPO Fiskalinių reikalų komiteto išplėstinio formato, skirto kovai su mokesčių bazės erozija ir pelno perkėlimu (angl. </w:t>
      </w:r>
      <w:proofErr w:type="spellStart"/>
      <w:r w:rsidRPr="00E64534">
        <w:rPr>
          <w:rFonts w:eastAsia="Calibri" w:cs="Times New Roman"/>
          <w:i/>
          <w:szCs w:val="24"/>
          <w:lang w:eastAsia="fr-BE"/>
        </w:rPr>
        <w:t>Inclusive</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framework</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on</w:t>
      </w:r>
      <w:proofErr w:type="spellEnd"/>
      <w:r w:rsidRPr="00E64534">
        <w:rPr>
          <w:rFonts w:eastAsia="Calibri" w:cs="Times New Roman"/>
          <w:i/>
          <w:szCs w:val="24"/>
          <w:lang w:eastAsia="fr-BE"/>
        </w:rPr>
        <w:t xml:space="preserve"> BEPS</w:t>
      </w:r>
      <w:r w:rsidRPr="00E64534">
        <w:rPr>
          <w:rFonts w:eastAsia="Calibri" w:cs="Times New Roman"/>
          <w:szCs w:val="24"/>
          <w:lang w:eastAsia="fr-BE"/>
        </w:rPr>
        <w:t>), patvirtintos ir birželio mėn. G20 finansų ministrų paremtos darbų programos rėmuose, pagal kurią minėtas darbas pagrįstas šiais dvejais paraleliniais ramsčiais ir jų rėmuose svarstomų pasiūlymų ekonomine analize ir poveikio vertinimu:</w:t>
      </w:r>
    </w:p>
    <w:p w:rsidR="00E64534" w:rsidRPr="00E64534" w:rsidRDefault="00E64534" w:rsidP="00E64534">
      <w:pPr>
        <w:widowControl w:val="0"/>
        <w:tabs>
          <w:tab w:val="left" w:pos="993"/>
        </w:tabs>
        <w:spacing w:after="0" w:line="240" w:lineRule="auto"/>
        <w:jc w:val="both"/>
        <w:rPr>
          <w:rFonts w:eastAsia="Calibri" w:cs="Times New Roman"/>
          <w:szCs w:val="24"/>
          <w:lang w:eastAsia="fr-BE"/>
        </w:rPr>
      </w:pPr>
      <w:r w:rsidRPr="00E64534">
        <w:rPr>
          <w:rFonts w:eastAsia="Calibri" w:cs="Times New Roman"/>
          <w:szCs w:val="24"/>
          <w:lang w:eastAsia="fr-BE"/>
        </w:rPr>
        <w:t>I.</w:t>
      </w:r>
      <w:r>
        <w:rPr>
          <w:rFonts w:eastAsia="Calibri" w:cs="Times New Roman"/>
          <w:szCs w:val="24"/>
          <w:lang w:eastAsia="fr-BE"/>
        </w:rPr>
        <w:t xml:space="preserve"> </w:t>
      </w:r>
      <w:r w:rsidRPr="00E64534">
        <w:rPr>
          <w:rFonts w:eastAsia="Calibri" w:cs="Times New Roman"/>
          <w:szCs w:val="24"/>
          <w:lang w:eastAsia="fr-BE"/>
        </w:rPr>
        <w:t xml:space="preserve">Tarptautiniu mastu uždirbamo pelno apmokestinimo teisių pasidalijimo principų peržiūra, kuri apima naujų, </w:t>
      </w:r>
      <w:proofErr w:type="spellStart"/>
      <w:r w:rsidRPr="00E64534">
        <w:rPr>
          <w:rFonts w:eastAsia="Calibri" w:cs="Times New Roman"/>
          <w:szCs w:val="24"/>
          <w:lang w:eastAsia="fr-BE"/>
        </w:rPr>
        <w:t>skaitmenėjančią</w:t>
      </w:r>
      <w:proofErr w:type="spellEnd"/>
      <w:r w:rsidRPr="00E64534">
        <w:rPr>
          <w:rFonts w:eastAsia="Calibri" w:cs="Times New Roman"/>
          <w:szCs w:val="24"/>
          <w:lang w:eastAsia="fr-BE"/>
        </w:rPr>
        <w:t xml:space="preserve"> ekonomiką įvertinančių taisyklių sukūrimą nustatant verslo buvimo vietą, sąlygojančią mokestines pasekmes (angl. </w:t>
      </w:r>
      <w:proofErr w:type="spellStart"/>
      <w:r w:rsidRPr="00E64534">
        <w:rPr>
          <w:rFonts w:eastAsia="Calibri" w:cs="Times New Roman"/>
          <w:i/>
          <w:szCs w:val="24"/>
          <w:lang w:eastAsia="fr-BE"/>
        </w:rPr>
        <w:t>nexus</w:t>
      </w:r>
      <w:proofErr w:type="spellEnd"/>
      <w:r w:rsidRPr="00E64534">
        <w:rPr>
          <w:rFonts w:eastAsia="Calibri" w:cs="Times New Roman"/>
          <w:szCs w:val="24"/>
          <w:lang w:eastAsia="fr-BE"/>
        </w:rPr>
        <w:t>), ir priskiriant jai tenkantį ir todėl papildomai jurisdikcijoje galimą apmokestinti pelną;</w:t>
      </w:r>
    </w:p>
    <w:p w:rsidR="00E64534" w:rsidRPr="00E64534" w:rsidRDefault="00E64534" w:rsidP="00E64534">
      <w:pPr>
        <w:widowControl w:val="0"/>
        <w:tabs>
          <w:tab w:val="left" w:pos="993"/>
        </w:tabs>
        <w:spacing w:after="0" w:line="240" w:lineRule="auto"/>
        <w:jc w:val="both"/>
        <w:rPr>
          <w:rFonts w:eastAsia="Calibri" w:cs="Times New Roman"/>
          <w:szCs w:val="24"/>
          <w:lang w:eastAsia="fr-BE"/>
        </w:rPr>
      </w:pPr>
      <w:r>
        <w:rPr>
          <w:rFonts w:eastAsia="Calibri" w:cs="Times New Roman"/>
          <w:szCs w:val="24"/>
          <w:lang w:eastAsia="fr-BE"/>
        </w:rPr>
        <w:t xml:space="preserve">II. </w:t>
      </w:r>
      <w:r w:rsidRPr="00E64534">
        <w:rPr>
          <w:rFonts w:eastAsia="Calibri" w:cs="Times New Roman"/>
          <w:szCs w:val="24"/>
          <w:lang w:eastAsia="fr-BE"/>
        </w:rPr>
        <w:t xml:space="preserve">Užsienyje neapmokestinto ar mažai efektyviai apmokestinto pelno apmokestinimo teisių stiprinimu, </w:t>
      </w:r>
      <w:r w:rsidRPr="00E64534">
        <w:rPr>
          <w:rFonts w:eastAsia="Calibri" w:cs="Times New Roman"/>
          <w:color w:val="000000" w:themeColor="text1"/>
          <w:szCs w:val="24"/>
          <w:lang w:eastAsia="fr-BE"/>
        </w:rPr>
        <w:t>sprendžiant likusius neišspręstus BEPS klausimus (angl. k. dar vadinamas</w:t>
      </w:r>
      <w:r w:rsidRPr="00E64534">
        <w:rPr>
          <w:rFonts w:cs="Times New Roman"/>
          <w:color w:val="000000" w:themeColor="text1"/>
          <w:szCs w:val="24"/>
        </w:rPr>
        <w:t xml:space="preserve"> </w:t>
      </w:r>
      <w:r w:rsidRPr="00E64534">
        <w:rPr>
          <w:rFonts w:eastAsia="Calibri" w:cs="Times New Roman"/>
          <w:color w:val="000000" w:themeColor="text1"/>
          <w:szCs w:val="24"/>
          <w:lang w:eastAsia="fr-BE"/>
        </w:rPr>
        <w:t>„</w:t>
      </w:r>
      <w:proofErr w:type="spellStart"/>
      <w:r w:rsidRPr="00E64534">
        <w:rPr>
          <w:rFonts w:eastAsia="Calibri" w:cs="Times New Roman"/>
          <w:color w:val="000000" w:themeColor="text1"/>
          <w:szCs w:val="24"/>
          <w:lang w:eastAsia="fr-BE"/>
        </w:rPr>
        <w:t>Global</w:t>
      </w:r>
      <w:proofErr w:type="spellEnd"/>
      <w:r w:rsidRPr="00E64534">
        <w:rPr>
          <w:rFonts w:eastAsia="Calibri" w:cs="Times New Roman"/>
          <w:color w:val="000000" w:themeColor="text1"/>
          <w:szCs w:val="24"/>
          <w:lang w:eastAsia="fr-BE"/>
        </w:rPr>
        <w:t xml:space="preserve"> </w:t>
      </w:r>
      <w:proofErr w:type="spellStart"/>
      <w:r w:rsidRPr="00E64534">
        <w:rPr>
          <w:rFonts w:eastAsia="Calibri" w:cs="Times New Roman"/>
          <w:color w:val="000000" w:themeColor="text1"/>
          <w:szCs w:val="24"/>
          <w:lang w:eastAsia="fr-BE"/>
        </w:rPr>
        <w:t>Anti-Base</w:t>
      </w:r>
      <w:proofErr w:type="spellEnd"/>
      <w:r w:rsidRPr="00E64534">
        <w:rPr>
          <w:rFonts w:eastAsia="Calibri" w:cs="Times New Roman"/>
          <w:color w:val="000000" w:themeColor="text1"/>
          <w:szCs w:val="24"/>
          <w:lang w:eastAsia="fr-BE"/>
        </w:rPr>
        <w:t xml:space="preserve"> </w:t>
      </w:r>
      <w:proofErr w:type="spellStart"/>
      <w:r w:rsidRPr="00E64534">
        <w:rPr>
          <w:rFonts w:eastAsia="Calibri" w:cs="Times New Roman"/>
          <w:color w:val="000000" w:themeColor="text1"/>
          <w:szCs w:val="24"/>
          <w:lang w:eastAsia="fr-BE"/>
        </w:rPr>
        <w:t>Erosion</w:t>
      </w:r>
      <w:proofErr w:type="spellEnd"/>
      <w:r w:rsidRPr="00E64534">
        <w:rPr>
          <w:rFonts w:eastAsia="Calibri" w:cs="Times New Roman"/>
          <w:color w:val="000000" w:themeColor="text1"/>
          <w:szCs w:val="24"/>
          <w:lang w:eastAsia="fr-BE"/>
        </w:rPr>
        <w:t>“ arba „</w:t>
      </w:r>
      <w:proofErr w:type="spellStart"/>
      <w:r w:rsidRPr="00E64534">
        <w:rPr>
          <w:rFonts w:eastAsia="Calibri" w:cs="Times New Roman"/>
          <w:color w:val="000000" w:themeColor="text1"/>
          <w:szCs w:val="24"/>
          <w:lang w:eastAsia="fr-BE"/>
        </w:rPr>
        <w:t>GloBE</w:t>
      </w:r>
      <w:proofErr w:type="spellEnd"/>
      <w:r w:rsidRPr="00E64534">
        <w:rPr>
          <w:rFonts w:eastAsia="Calibri" w:cs="Times New Roman"/>
          <w:color w:val="000000" w:themeColor="text1"/>
          <w:szCs w:val="24"/>
          <w:lang w:eastAsia="fr-BE"/>
        </w:rPr>
        <w:t>“ pasiūlymu) – siekiama sukurti naujų taisyklių, padėsiančių spręsti tarptautinių įmonių grupių keliamą riziką dėl pelno perkėlimo į žemo efektyvaus apmokestinimo jurisdikcijas, rinkinį</w:t>
      </w:r>
      <w:r w:rsidRPr="00E64534">
        <w:rPr>
          <w:rFonts w:eastAsia="Calibri" w:cs="Times New Roman"/>
          <w:szCs w:val="24"/>
          <w:lang w:eastAsia="fr-BE"/>
        </w:rPr>
        <w:t>.</w:t>
      </w:r>
    </w:p>
    <w:p w:rsidR="00E64534" w:rsidRPr="00E64534" w:rsidRDefault="00E64534" w:rsidP="00E64534">
      <w:pPr>
        <w:keepLines/>
        <w:spacing w:after="0" w:line="240" w:lineRule="auto"/>
        <w:jc w:val="both"/>
        <w:rPr>
          <w:rFonts w:eastAsia="Calibri" w:cs="Times New Roman"/>
          <w:szCs w:val="24"/>
          <w:lang w:eastAsia="fr-BE"/>
        </w:rPr>
      </w:pPr>
      <w:r w:rsidRPr="00E64534">
        <w:rPr>
          <w:rFonts w:eastAsia="Calibri" w:cs="Times New Roman"/>
          <w:szCs w:val="24"/>
          <w:lang w:eastAsia="fr-BE"/>
        </w:rPr>
        <w:t xml:space="preserve">EBPO Sekretoriato pasiūlymas dėl I ramsčio (vadinamojo „Vieningo metodo“ (angl. </w:t>
      </w:r>
      <w:proofErr w:type="spellStart"/>
      <w:r w:rsidRPr="00E64534">
        <w:rPr>
          <w:rFonts w:eastAsia="Calibri" w:cs="Times New Roman"/>
          <w:i/>
          <w:szCs w:val="24"/>
          <w:lang w:eastAsia="fr-BE"/>
        </w:rPr>
        <w:t>Unified</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approach</w:t>
      </w:r>
      <w:proofErr w:type="spellEnd"/>
      <w:r w:rsidRPr="00E64534">
        <w:rPr>
          <w:rFonts w:eastAsia="Calibri" w:cs="Times New Roman"/>
          <w:szCs w:val="24"/>
          <w:lang w:eastAsia="fr-BE"/>
        </w:rPr>
        <w:t xml:space="preserve">) </w:t>
      </w:r>
      <w:r>
        <w:rPr>
          <w:rFonts w:eastAsia="Calibri" w:cs="Times New Roman"/>
          <w:szCs w:val="24"/>
          <w:lang w:eastAsia="fr-BE"/>
        </w:rPr>
        <w:t>2019 m.</w:t>
      </w:r>
      <w:r w:rsidRPr="00E64534">
        <w:rPr>
          <w:rFonts w:eastAsia="Calibri" w:cs="Times New Roman"/>
          <w:szCs w:val="24"/>
          <w:lang w:eastAsia="fr-BE"/>
        </w:rPr>
        <w:t xml:space="preserve"> spalio 9 d. buvo paskelbtas viešosioms konsultacijoms. Šiame pasiūlyme įvardintas trijų dalių pelno paskirstymo mechanizmas. A sumai būtų priskiriama pagal naują taisyklę į rinkos jurisdikcijas, nepriklausomai nuo faktinio buvimo, paskirstoma netipinio tarptautinių įmonių grupės pelno, apskaičiuoto pagal tam tikrą formulę, suma. Tuo tarpu B ir C sumų nustatymui būtų taikomos peržiūrėtų sandorių kainodaros taisyklių nuostatos. </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szCs w:val="24"/>
          <w:lang w:eastAsia="fr-BE"/>
        </w:rPr>
        <w:t xml:space="preserve">Viešųjų diskusijų metu buvo išsakyta, kad visumoje palaikomos vieningo metodo paieškos ir pagrindinės gairės dėl jo taikymo  spendžiant ekonomikos </w:t>
      </w:r>
      <w:proofErr w:type="spellStart"/>
      <w:r w:rsidRPr="00E64534">
        <w:rPr>
          <w:rFonts w:eastAsia="Calibri" w:cs="Times New Roman"/>
          <w:szCs w:val="24"/>
          <w:lang w:eastAsia="fr-BE"/>
        </w:rPr>
        <w:t>skaitmenizacijos</w:t>
      </w:r>
      <w:proofErr w:type="spellEnd"/>
      <w:r w:rsidRPr="00E64534">
        <w:rPr>
          <w:rFonts w:eastAsia="Calibri" w:cs="Times New Roman"/>
          <w:szCs w:val="24"/>
          <w:lang w:eastAsia="fr-BE"/>
        </w:rPr>
        <w:t xml:space="preserve"> iššūkius, tačiau kvestionuojama  </w:t>
      </w:r>
      <w:r w:rsidRPr="00E64534">
        <w:rPr>
          <w:rFonts w:eastAsia="Calibri" w:cs="Times New Roman"/>
          <w:szCs w:val="24"/>
          <w:lang w:eastAsia="fr-BE"/>
        </w:rPr>
        <w:lastRenderedPageBreak/>
        <w:t xml:space="preserve">formulėmis grįstos, ypač A sumos reikalingumas (nukrypstama nuo tradicinių sandorių kainodaros principų). Kartu akcentuota, kad </w:t>
      </w:r>
      <w:r w:rsidRPr="00E64534">
        <w:rPr>
          <w:rFonts w:cs="Times New Roman"/>
          <w:szCs w:val="24"/>
        </w:rPr>
        <w:t>su vieningo metodo patvirtinimu, turėtų būti atsisakoma vienašalių priemonių įvedimo.</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szCs w:val="24"/>
          <w:lang w:eastAsia="fr-BE"/>
        </w:rPr>
        <w:t xml:space="preserve">Po įvykusių viešųjų konsultacijų, atsižvelgiant į verslo atstovų ir valstybių išsakytas nuomones, buvo išplatintas dokumentas </w:t>
      </w:r>
      <w:proofErr w:type="spellStart"/>
      <w:r w:rsidRPr="00E64534">
        <w:rPr>
          <w:rFonts w:eastAsia="Calibri" w:cs="Times New Roman"/>
          <w:i/>
          <w:szCs w:val="24"/>
          <w:lang w:eastAsia="fr-BE"/>
        </w:rPr>
        <w:t>Outline</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of</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an</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Agreement</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on</w:t>
      </w:r>
      <w:proofErr w:type="spellEnd"/>
      <w:r w:rsidRPr="00E64534">
        <w:rPr>
          <w:rFonts w:eastAsia="Calibri" w:cs="Times New Roman"/>
          <w:i/>
          <w:szCs w:val="24"/>
          <w:lang w:eastAsia="fr-BE"/>
        </w:rPr>
        <w:t xml:space="preserve"> </w:t>
      </w:r>
      <w:proofErr w:type="spellStart"/>
      <w:r w:rsidRPr="00E64534">
        <w:rPr>
          <w:rFonts w:eastAsia="Calibri" w:cs="Times New Roman"/>
          <w:i/>
          <w:szCs w:val="24"/>
          <w:lang w:eastAsia="fr-BE"/>
        </w:rPr>
        <w:t>Pillar</w:t>
      </w:r>
      <w:proofErr w:type="spellEnd"/>
      <w:r w:rsidRPr="00E64534">
        <w:rPr>
          <w:rFonts w:eastAsia="Calibri" w:cs="Times New Roman"/>
          <w:i/>
          <w:szCs w:val="24"/>
          <w:lang w:eastAsia="fr-BE"/>
        </w:rPr>
        <w:t xml:space="preserve"> One </w:t>
      </w:r>
      <w:proofErr w:type="spellStart"/>
      <w:r w:rsidRPr="00E64534">
        <w:rPr>
          <w:rFonts w:eastAsia="Calibri" w:cs="Times New Roman"/>
          <w:i/>
          <w:szCs w:val="24"/>
          <w:lang w:eastAsia="fr-BE"/>
        </w:rPr>
        <w:t>Issues</w:t>
      </w:r>
      <w:proofErr w:type="spellEnd"/>
      <w:r w:rsidRPr="00E64534">
        <w:rPr>
          <w:rFonts w:eastAsia="Calibri" w:cs="Times New Roman"/>
          <w:i/>
          <w:szCs w:val="24"/>
          <w:lang w:eastAsia="fr-BE"/>
        </w:rPr>
        <w:t xml:space="preserve">, </w:t>
      </w:r>
      <w:r w:rsidRPr="00E64534">
        <w:rPr>
          <w:rFonts w:eastAsia="Calibri" w:cs="Times New Roman"/>
          <w:szCs w:val="24"/>
          <w:lang w:eastAsia="fr-BE"/>
        </w:rPr>
        <w:t xml:space="preserve">kurį tvirtins EBPO Fiskalinių reikalų komiteto išplėstinis formatas, skirtas kovai su mokesčių bazės erozija ir pelno perkėlimu š. m. sausio 29-30 d. Šiame dokumente daugiausiai dėmesio skiriama naujos pelno paskirstymo taisyklės (sumos A) nustatymui. Taip pat kaip vienas iš svarbiausių dar neišspręstų klausimų išskiriamas šios naujos pelno paskirstymo taisyklės taikymo apimties nustatymas. Kartu kaip toliau diskutuotini klausimai įvardijami </w:t>
      </w:r>
      <w:proofErr w:type="spellStart"/>
      <w:r w:rsidRPr="00E64534">
        <w:rPr>
          <w:rFonts w:eastAsia="Calibri" w:cs="Times New Roman"/>
          <w:i/>
          <w:szCs w:val="24"/>
          <w:lang w:eastAsia="fr-BE"/>
        </w:rPr>
        <w:t>nexus</w:t>
      </w:r>
      <w:proofErr w:type="spellEnd"/>
      <w:r w:rsidRPr="00E64534">
        <w:rPr>
          <w:rFonts w:eastAsia="Calibri" w:cs="Times New Roman"/>
          <w:i/>
          <w:szCs w:val="24"/>
          <w:lang w:eastAsia="fr-BE"/>
        </w:rPr>
        <w:t xml:space="preserve"> </w:t>
      </w:r>
      <w:r w:rsidRPr="00E64534">
        <w:rPr>
          <w:rFonts w:eastAsia="Calibri" w:cs="Times New Roman"/>
          <w:szCs w:val="24"/>
          <w:lang w:eastAsia="fr-BE"/>
        </w:rPr>
        <w:t xml:space="preserve">nustatymo kriterijai, sąveika tarp A, B ir C sumų, siekiant išvengti dvigubo apmokestinimo atvejų, ginčų prevencijos ir sprendimų mechanizmų nustatymas, vieningo metodo įgyvendinimo ir administravimo procedūrų nustatymas. </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szCs w:val="24"/>
          <w:lang w:eastAsia="fr-BE"/>
        </w:rPr>
        <w:t>Atkreiptinas dėmesys, kad 2019 m. gruodžio mėn. JAV laišku kreipėsi į EBPO Generalinį Sekretoriatą, kuriame išreiškė nepritarimą skaitmeninių paslaugų mokesčių įvedimui, kadangi, jų nuomone, pastarieji yra diskriminacinio pobūdžio JAV atžvilgiu ir prieštarauja šiuo metu galiojantiems tarptautinio apmokestinimo taisyklių nustatymo principams. Kartu išreiškė abejonę dėl galimo nukrypimo nuo sandorių kainodaros ištiestosios rankos principo ir apmokestinamojo ryšio nustatymo standartų, kuriais šiuo metu vadovaujasi JAV mokesčių mokėtojai. Tačiau JAV pilna apimtimi išreiškė pritarimą dėl siūlomo II ramsčio.</w:t>
      </w:r>
    </w:p>
    <w:p w:rsidR="00E64534" w:rsidRPr="00E64534" w:rsidRDefault="00E64534" w:rsidP="00E64534">
      <w:pPr>
        <w:widowControl w:val="0"/>
        <w:spacing w:after="0" w:line="240" w:lineRule="auto"/>
        <w:jc w:val="both"/>
        <w:rPr>
          <w:rFonts w:eastAsia="Calibri" w:cs="Times New Roman"/>
          <w:color w:val="000000" w:themeColor="text1"/>
          <w:szCs w:val="24"/>
          <w:lang w:eastAsia="fr-BE"/>
        </w:rPr>
      </w:pPr>
      <w:r w:rsidRPr="00E64534">
        <w:rPr>
          <w:rFonts w:eastAsia="Calibri" w:cs="Times New Roman"/>
          <w:szCs w:val="24"/>
          <w:lang w:eastAsia="fr-BE"/>
        </w:rPr>
        <w:t xml:space="preserve">II ramsčio viešųjų konsultacijų dokumentas </w:t>
      </w:r>
      <w:r>
        <w:rPr>
          <w:rFonts w:eastAsia="Calibri" w:cs="Times New Roman"/>
          <w:szCs w:val="24"/>
          <w:lang w:eastAsia="fr-BE"/>
        </w:rPr>
        <w:t>buvo paskelbtas 2019 m.</w:t>
      </w:r>
      <w:r w:rsidRPr="00E64534">
        <w:rPr>
          <w:rFonts w:eastAsia="Calibri" w:cs="Times New Roman"/>
          <w:szCs w:val="24"/>
          <w:lang w:eastAsia="fr-BE"/>
        </w:rPr>
        <w:t xml:space="preserve"> lapkričio 8 d. II ramsčio </w:t>
      </w:r>
      <w:r w:rsidRPr="00E64534">
        <w:rPr>
          <w:rFonts w:eastAsia="Calibri" w:cs="Times New Roman"/>
          <w:color w:val="000000" w:themeColor="text1"/>
          <w:szCs w:val="24"/>
          <w:lang w:eastAsia="fr-BE"/>
        </w:rPr>
        <w:t xml:space="preserve">pasiūlymų rinkinį sudaro 4 naujos tarptautinio apmokestinimo taisyklės – pajamų įtraukimo taisyklė (angl. </w:t>
      </w:r>
      <w:proofErr w:type="spellStart"/>
      <w:r w:rsidRPr="00E64534">
        <w:rPr>
          <w:rFonts w:eastAsia="Calibri" w:cs="Times New Roman"/>
          <w:i/>
          <w:color w:val="000000" w:themeColor="text1"/>
          <w:szCs w:val="24"/>
          <w:lang w:eastAsia="fr-BE"/>
        </w:rPr>
        <w:t>Income</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inclusion</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rule</w:t>
      </w:r>
      <w:proofErr w:type="spellEnd"/>
      <w:r w:rsidRPr="00E64534">
        <w:rPr>
          <w:rFonts w:eastAsia="Calibri" w:cs="Times New Roman"/>
          <w:color w:val="000000" w:themeColor="text1"/>
          <w:szCs w:val="24"/>
          <w:lang w:eastAsia="fr-BE"/>
        </w:rPr>
        <w:t xml:space="preserve">), per mažai apmokestintų mokėjimų taisyklė (angl. </w:t>
      </w:r>
      <w:proofErr w:type="spellStart"/>
      <w:r w:rsidRPr="00E64534">
        <w:rPr>
          <w:rFonts w:eastAsia="Calibri" w:cs="Times New Roman"/>
          <w:i/>
          <w:color w:val="000000" w:themeColor="text1"/>
          <w:szCs w:val="24"/>
          <w:lang w:eastAsia="fr-BE"/>
        </w:rPr>
        <w:t>Undertaxed</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payment</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rule</w:t>
      </w:r>
      <w:proofErr w:type="spellEnd"/>
      <w:r w:rsidRPr="00E64534">
        <w:rPr>
          <w:rFonts w:eastAsia="Calibri" w:cs="Times New Roman"/>
          <w:color w:val="000000" w:themeColor="text1"/>
          <w:szCs w:val="24"/>
          <w:lang w:eastAsia="fr-BE"/>
        </w:rPr>
        <w:t>), pakeitimo</w:t>
      </w:r>
      <w:r w:rsidRPr="00E64534">
        <w:rPr>
          <w:rFonts w:eastAsia="Calibri" w:cs="Times New Roman"/>
          <w:color w:val="000000" w:themeColor="text1"/>
          <w:szCs w:val="24"/>
          <w:lang w:val="en-US" w:eastAsia="fr-BE"/>
        </w:rPr>
        <w:t xml:space="preserve"> </w:t>
      </w:r>
      <w:r w:rsidRPr="00E64534">
        <w:rPr>
          <w:rFonts w:eastAsia="Calibri" w:cs="Times New Roman"/>
          <w:color w:val="000000" w:themeColor="text1"/>
          <w:szCs w:val="24"/>
          <w:lang w:eastAsia="fr-BE"/>
        </w:rPr>
        <w:t xml:space="preserve">taisyklė (angl. </w:t>
      </w:r>
      <w:proofErr w:type="spellStart"/>
      <w:r w:rsidRPr="00E64534">
        <w:rPr>
          <w:rFonts w:eastAsia="Calibri" w:cs="Times New Roman"/>
          <w:i/>
          <w:color w:val="000000" w:themeColor="text1"/>
          <w:szCs w:val="24"/>
          <w:lang w:eastAsia="fr-BE"/>
        </w:rPr>
        <w:t>Switch-over</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rule</w:t>
      </w:r>
      <w:proofErr w:type="spellEnd"/>
      <w:r w:rsidRPr="00E64534">
        <w:rPr>
          <w:rFonts w:eastAsia="Calibri" w:cs="Times New Roman"/>
          <w:color w:val="000000" w:themeColor="text1"/>
          <w:szCs w:val="24"/>
          <w:lang w:eastAsia="fr-BE"/>
        </w:rPr>
        <w:t xml:space="preserve">) ir apmokestinimo taisyklė (angl. </w:t>
      </w:r>
      <w:proofErr w:type="spellStart"/>
      <w:r w:rsidRPr="00E64534">
        <w:rPr>
          <w:rFonts w:eastAsia="Calibri" w:cs="Times New Roman"/>
          <w:i/>
          <w:color w:val="000000" w:themeColor="text1"/>
          <w:szCs w:val="24"/>
          <w:lang w:eastAsia="fr-BE"/>
        </w:rPr>
        <w:t>Subject</w:t>
      </w:r>
      <w:proofErr w:type="spellEnd"/>
      <w:r w:rsidRPr="00E64534">
        <w:rPr>
          <w:rFonts w:eastAsia="Calibri" w:cs="Times New Roman"/>
          <w:i/>
          <w:color w:val="000000" w:themeColor="text1"/>
          <w:szCs w:val="24"/>
          <w:lang w:eastAsia="fr-BE"/>
        </w:rPr>
        <w:t xml:space="preserve"> to </w:t>
      </w:r>
      <w:proofErr w:type="spellStart"/>
      <w:r w:rsidRPr="00E64534">
        <w:rPr>
          <w:rFonts w:eastAsia="Calibri" w:cs="Times New Roman"/>
          <w:i/>
          <w:color w:val="000000" w:themeColor="text1"/>
          <w:szCs w:val="24"/>
          <w:lang w:eastAsia="fr-BE"/>
        </w:rPr>
        <w:t>tax</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rule</w:t>
      </w:r>
      <w:proofErr w:type="spellEnd"/>
      <w:r w:rsidRPr="00E64534">
        <w:rPr>
          <w:rFonts w:eastAsia="Calibri" w:cs="Times New Roman"/>
          <w:i/>
          <w:color w:val="000000" w:themeColor="text1"/>
          <w:szCs w:val="24"/>
          <w:lang w:eastAsia="fr-BE"/>
        </w:rPr>
        <w:t>)</w:t>
      </w:r>
      <w:r w:rsidRPr="00E64534">
        <w:rPr>
          <w:rFonts w:eastAsia="Calibri" w:cs="Times New Roman"/>
          <w:color w:val="000000" w:themeColor="text1"/>
          <w:szCs w:val="24"/>
          <w:lang w:eastAsia="fr-BE"/>
        </w:rPr>
        <w:t xml:space="preserve">, kurios užtikrintų, kad tarptautinių įmonių grupių pelnas būtų efektyviai apmokestinamas ne mažesniu nei bus nustatyta minimalaus efektyvaus apmokestinimo lygiu (angl. MET – </w:t>
      </w:r>
      <w:proofErr w:type="spellStart"/>
      <w:r w:rsidRPr="00E64534">
        <w:rPr>
          <w:rFonts w:eastAsia="Calibri" w:cs="Times New Roman"/>
          <w:i/>
          <w:color w:val="000000" w:themeColor="text1"/>
          <w:szCs w:val="24"/>
          <w:lang w:eastAsia="fr-BE"/>
        </w:rPr>
        <w:t>Minimum</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Effective</w:t>
      </w:r>
      <w:proofErr w:type="spellEnd"/>
      <w:r w:rsidRPr="00E64534">
        <w:rPr>
          <w:rFonts w:eastAsia="Calibri" w:cs="Times New Roman"/>
          <w:i/>
          <w:color w:val="000000" w:themeColor="text1"/>
          <w:szCs w:val="24"/>
          <w:lang w:eastAsia="fr-BE"/>
        </w:rPr>
        <w:t xml:space="preserve"> </w:t>
      </w:r>
      <w:proofErr w:type="spellStart"/>
      <w:r w:rsidRPr="00E64534">
        <w:rPr>
          <w:rFonts w:eastAsia="Calibri" w:cs="Times New Roman"/>
          <w:i/>
          <w:color w:val="000000" w:themeColor="text1"/>
          <w:szCs w:val="24"/>
          <w:lang w:eastAsia="fr-BE"/>
        </w:rPr>
        <w:t>Taxation</w:t>
      </w:r>
      <w:proofErr w:type="spellEnd"/>
      <w:r w:rsidRPr="00E64534">
        <w:rPr>
          <w:rFonts w:eastAsia="Calibri" w:cs="Times New Roman"/>
          <w:color w:val="000000" w:themeColor="text1"/>
          <w:szCs w:val="24"/>
          <w:lang w:eastAsia="fr-BE"/>
        </w:rPr>
        <w:t>).</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color w:val="000000" w:themeColor="text1"/>
          <w:szCs w:val="24"/>
          <w:lang w:eastAsia="fr-BE"/>
        </w:rPr>
        <w:t xml:space="preserve">Viešosios konsultacijos metu verslo subjektų, akademikų ir EBPO sekretoriato nuomonės dėl daugelio II ramsčio pasiūlymų ir jų apimties išsiskyrė. </w:t>
      </w:r>
      <w:r w:rsidRPr="00E64534">
        <w:rPr>
          <w:rFonts w:eastAsia="Calibri" w:cs="Times New Roman"/>
          <w:szCs w:val="24"/>
          <w:lang w:eastAsia="fr-BE"/>
        </w:rPr>
        <w:t xml:space="preserve">2019 m. vykusių EBPO BEPS 11-osios darbo grupės dėl agresyvaus mokesčių planavimo reikšmingų kompromisų dėl esminių II ramsčio pasiūlymų ir jų apimties taip pat nepavyko pasiekti. Diskusijos dėl pasiūlytų priemonių apimties, pajamų maišymo (angl. </w:t>
      </w:r>
      <w:proofErr w:type="spellStart"/>
      <w:r w:rsidRPr="00E64534">
        <w:rPr>
          <w:rFonts w:eastAsia="Calibri" w:cs="Times New Roman"/>
          <w:i/>
          <w:szCs w:val="24"/>
          <w:lang w:eastAsia="fr-BE"/>
        </w:rPr>
        <w:t>blending</w:t>
      </w:r>
      <w:proofErr w:type="spellEnd"/>
      <w:r w:rsidRPr="00E64534">
        <w:rPr>
          <w:rFonts w:eastAsia="Calibri" w:cs="Times New Roman"/>
          <w:szCs w:val="24"/>
          <w:lang w:eastAsia="fr-BE"/>
        </w:rPr>
        <w:t>) metodų išimčių taikymo, taisyklių taikymo eiliškumo ir tvarkos, finansinių ataskaitų naudojimo mokesčio bazės nustatymui ir kt. bus tęsiamos 2020 m.</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szCs w:val="24"/>
          <w:lang w:eastAsia="fr-BE"/>
        </w:rPr>
        <w:t>EBPO tikslas – pateikti pasiūlymus dėl abiejų ramsčių įgyvendinimo struktūros 2020 m. sausio mėnesį susitinkančio EBPO Fiskalinio reikalų komiteto išplėstinio formato tvirtinimui. Galutinį sprendimą EBPO lygiu ketinama pristatyti iki 2020 m. pabaigos.</w:t>
      </w:r>
    </w:p>
    <w:p w:rsidR="00E64534" w:rsidRPr="00E64534" w:rsidRDefault="00E64534" w:rsidP="00E64534">
      <w:pPr>
        <w:widowControl w:val="0"/>
        <w:spacing w:after="0" w:line="240" w:lineRule="auto"/>
        <w:jc w:val="both"/>
        <w:rPr>
          <w:rFonts w:eastAsia="Calibri" w:cs="Times New Roman"/>
          <w:szCs w:val="24"/>
          <w:lang w:eastAsia="fr-BE"/>
        </w:rPr>
      </w:pPr>
      <w:r w:rsidRPr="00E64534">
        <w:rPr>
          <w:rFonts w:eastAsia="Calibri" w:cs="Times New Roman"/>
          <w:szCs w:val="24"/>
          <w:lang w:eastAsia="fr-BE"/>
        </w:rPr>
        <w:t>ES valstybės EBPO vykdomą darbą laiko svarbiausiu prioritetu, kartu dauguma ES valstybių palaiko parengiamąjį darbą ES lygiu.</w:t>
      </w:r>
    </w:p>
    <w:p w:rsidR="00E64534" w:rsidRPr="00E64534" w:rsidRDefault="00E64534" w:rsidP="00E64534">
      <w:pPr>
        <w:widowControl w:val="0"/>
        <w:spacing w:after="0" w:line="240" w:lineRule="auto"/>
        <w:rPr>
          <w:rFonts w:eastAsia="Calibri" w:cs="Times New Roman"/>
          <w:szCs w:val="24"/>
          <w:u w:val="single"/>
          <w:lang w:val="en-US" w:eastAsia="fr-BE"/>
        </w:rPr>
      </w:pPr>
      <w:r w:rsidRPr="00E64534">
        <w:rPr>
          <w:rFonts w:eastAsia="Calibri" w:cs="Times New Roman"/>
          <w:b/>
          <w:szCs w:val="24"/>
          <w:u w:val="single"/>
        </w:rPr>
        <w:t>Lietuvos pozicija.</w:t>
      </w:r>
    </w:p>
    <w:p w:rsidR="00E64534" w:rsidRPr="00E64534" w:rsidRDefault="00E64534" w:rsidP="00E64534">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64534">
        <w:rPr>
          <w:rFonts w:ascii="Times New Roman" w:eastAsia="Calibri" w:hAnsi="Times New Roman" w:cs="Times New Roman"/>
          <w:sz w:val="24"/>
          <w:szCs w:val="24"/>
        </w:rPr>
        <w:t xml:space="preserve">Dabartinis darbas dėl tarptautinių apmokestinimo taisyklių peržiūrėjimo bei šiuo metu pateiktų pasiūlymų nagrinėjimas, vykstantis </w:t>
      </w:r>
      <w:proofErr w:type="spellStart"/>
      <w:r w:rsidRPr="00E64534">
        <w:rPr>
          <w:rFonts w:ascii="Times New Roman" w:eastAsia="Calibri" w:hAnsi="Times New Roman" w:cs="Times New Roman"/>
          <w:sz w:val="24"/>
          <w:szCs w:val="24"/>
          <w:lang w:val="en-US"/>
        </w:rPr>
        <w:t>Išplėstiniame</w:t>
      </w:r>
      <w:proofErr w:type="spellEnd"/>
      <w:r w:rsidRPr="00E64534">
        <w:rPr>
          <w:rFonts w:ascii="Times New Roman" w:eastAsia="Calibri" w:hAnsi="Times New Roman" w:cs="Times New Roman"/>
          <w:sz w:val="24"/>
          <w:szCs w:val="24"/>
          <w:lang w:val="en-US"/>
        </w:rPr>
        <w:t xml:space="preserve"> </w:t>
      </w:r>
      <w:proofErr w:type="spellStart"/>
      <w:r w:rsidRPr="00E64534">
        <w:rPr>
          <w:rFonts w:ascii="Times New Roman" w:eastAsia="Calibri" w:hAnsi="Times New Roman" w:cs="Times New Roman"/>
          <w:sz w:val="24"/>
          <w:szCs w:val="24"/>
          <w:lang w:val="en-US"/>
        </w:rPr>
        <w:t>formate</w:t>
      </w:r>
      <w:proofErr w:type="spellEnd"/>
      <w:r w:rsidRPr="00E64534">
        <w:rPr>
          <w:rFonts w:ascii="Times New Roman" w:eastAsia="Calibri" w:hAnsi="Times New Roman" w:cs="Times New Roman"/>
          <w:sz w:val="24"/>
          <w:szCs w:val="24"/>
          <w:lang w:val="en-US"/>
        </w:rPr>
        <w:t xml:space="preserve"> </w:t>
      </w:r>
      <w:proofErr w:type="spellStart"/>
      <w:r w:rsidRPr="00E64534">
        <w:rPr>
          <w:rFonts w:ascii="Times New Roman" w:eastAsia="Calibri" w:hAnsi="Times New Roman" w:cs="Times New Roman"/>
          <w:sz w:val="24"/>
          <w:szCs w:val="24"/>
          <w:lang w:val="en-US"/>
        </w:rPr>
        <w:t>dėl</w:t>
      </w:r>
      <w:proofErr w:type="spellEnd"/>
      <w:r w:rsidRPr="00E64534">
        <w:rPr>
          <w:rFonts w:ascii="Times New Roman" w:eastAsia="Calibri" w:hAnsi="Times New Roman" w:cs="Times New Roman"/>
          <w:sz w:val="24"/>
          <w:szCs w:val="24"/>
          <w:lang w:val="en-US"/>
        </w:rPr>
        <w:t xml:space="preserve"> BEPS</w:t>
      </w:r>
      <w:r w:rsidRPr="00E64534">
        <w:rPr>
          <w:rFonts w:ascii="Times New Roman" w:eastAsia="Calibri" w:hAnsi="Times New Roman" w:cs="Times New Roman"/>
          <w:sz w:val="24"/>
          <w:szCs w:val="24"/>
        </w:rPr>
        <w:t xml:space="preserve">, siekiant globalaus sprendimo, yra labai svarbus. </w:t>
      </w:r>
    </w:p>
    <w:p w:rsidR="00E64534" w:rsidRPr="00E64534" w:rsidRDefault="00E64534" w:rsidP="00E64534">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64534">
        <w:rPr>
          <w:rFonts w:ascii="Times New Roman" w:eastAsia="Calibri" w:hAnsi="Times New Roman" w:cs="Times New Roman"/>
          <w:sz w:val="24"/>
          <w:szCs w:val="24"/>
          <w:lang w:bidi="lt-LT"/>
        </w:rPr>
        <w:t>Kalbant apie I-</w:t>
      </w:r>
      <w:proofErr w:type="spellStart"/>
      <w:r w:rsidRPr="00E64534">
        <w:rPr>
          <w:rFonts w:ascii="Times New Roman" w:eastAsia="Calibri" w:hAnsi="Times New Roman" w:cs="Times New Roman"/>
          <w:sz w:val="24"/>
          <w:szCs w:val="24"/>
          <w:lang w:bidi="lt-LT"/>
        </w:rPr>
        <w:t>ąjį</w:t>
      </w:r>
      <w:proofErr w:type="spellEnd"/>
      <w:r w:rsidRPr="00E64534">
        <w:rPr>
          <w:rFonts w:ascii="Times New Roman" w:eastAsia="Calibri" w:hAnsi="Times New Roman" w:cs="Times New Roman"/>
          <w:sz w:val="24"/>
          <w:szCs w:val="24"/>
          <w:lang w:bidi="lt-LT"/>
        </w:rPr>
        <w:t xml:space="preserve"> ramstį, mums ypač svarbu, kad naujojo </w:t>
      </w:r>
      <w:proofErr w:type="spellStart"/>
      <w:r w:rsidRPr="00E64534">
        <w:rPr>
          <w:rFonts w:ascii="Times New Roman" w:eastAsia="Calibri" w:hAnsi="Times New Roman" w:cs="Times New Roman"/>
          <w:i/>
          <w:sz w:val="24"/>
          <w:szCs w:val="24"/>
          <w:lang w:bidi="lt-LT"/>
        </w:rPr>
        <w:t>nexus</w:t>
      </w:r>
      <w:proofErr w:type="spellEnd"/>
      <w:r w:rsidRPr="00E64534">
        <w:rPr>
          <w:rFonts w:ascii="Times New Roman" w:eastAsia="Calibri" w:hAnsi="Times New Roman" w:cs="Times New Roman"/>
          <w:sz w:val="24"/>
          <w:szCs w:val="24"/>
          <w:lang w:bidi="lt-LT"/>
        </w:rPr>
        <w:t xml:space="preserve"> nustatymo kriterijai tinkamai atsektų vertės kūrimo grandinę. </w:t>
      </w:r>
    </w:p>
    <w:p w:rsidR="00E64534" w:rsidRPr="00E64534" w:rsidRDefault="00E64534" w:rsidP="00E64534">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64534">
        <w:rPr>
          <w:rFonts w:ascii="Times New Roman" w:eastAsia="Calibri" w:hAnsi="Times New Roman" w:cs="Times New Roman"/>
          <w:sz w:val="24"/>
          <w:szCs w:val="24"/>
          <w:lang w:bidi="lt-LT"/>
        </w:rPr>
        <w:t xml:space="preserve">Tuo tarpu II ramsčio priemonės turi būti proporcingos ir tikslingai nukreiptos likusioms BEPS </w:t>
      </w:r>
      <w:proofErr w:type="spellStart"/>
      <w:r w:rsidRPr="00E64534">
        <w:rPr>
          <w:rFonts w:ascii="Times New Roman" w:eastAsia="Calibri" w:hAnsi="Times New Roman" w:cs="Times New Roman"/>
          <w:sz w:val="24"/>
          <w:szCs w:val="24"/>
          <w:lang w:bidi="lt-LT"/>
        </w:rPr>
        <w:t>rizikoms</w:t>
      </w:r>
      <w:proofErr w:type="spellEnd"/>
      <w:r w:rsidRPr="00E64534">
        <w:rPr>
          <w:rFonts w:ascii="Times New Roman" w:eastAsia="Calibri" w:hAnsi="Times New Roman" w:cs="Times New Roman"/>
          <w:sz w:val="24"/>
          <w:szCs w:val="24"/>
          <w:lang w:bidi="lt-LT"/>
        </w:rPr>
        <w:t xml:space="preserve"> suvaldyti. Tolimesnėse diskusijose taip pat labai svarbu įvertinti ir siūlomų priemonių ekonominį poveikį, ypatingai mažoms valstybėms.</w:t>
      </w:r>
    </w:p>
    <w:p w:rsidR="00E64534" w:rsidRPr="00E64534" w:rsidRDefault="00E64534" w:rsidP="00E64534">
      <w:pPr>
        <w:spacing w:after="0" w:line="240" w:lineRule="auto"/>
        <w:rPr>
          <w:rFonts w:eastAsia="Calibri" w:cs="Times New Roman"/>
          <w:b/>
          <w:szCs w:val="24"/>
          <w:u w:val="single"/>
        </w:rPr>
      </w:pPr>
    </w:p>
    <w:p w:rsidR="0009586B" w:rsidRPr="000A3F18" w:rsidRDefault="0009586B" w:rsidP="00650E80">
      <w:pPr>
        <w:spacing w:after="0" w:line="240" w:lineRule="auto"/>
        <w:rPr>
          <w:rFonts w:eastAsia="Calibri" w:cs="Times New Roman"/>
          <w:szCs w:val="24"/>
        </w:rPr>
      </w:pPr>
    </w:p>
    <w:p w:rsidR="0009586B" w:rsidRPr="000A3F18" w:rsidRDefault="008022D7" w:rsidP="0009586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sidRPr="000A3F18">
        <w:rPr>
          <w:rFonts w:cs="Times New Roman"/>
          <w:b/>
          <w:szCs w:val="24"/>
        </w:rPr>
        <w:t>Europos žaliasis susitarimas</w:t>
      </w:r>
      <w:r w:rsidR="0009586B" w:rsidRPr="000A3F18">
        <w:rPr>
          <w:rFonts w:cs="Times New Roman"/>
          <w:b/>
          <w:szCs w:val="24"/>
        </w:rPr>
        <w:t xml:space="preserve"> </w:t>
      </w:r>
      <w:r w:rsidR="0009586B" w:rsidRPr="000A3F18">
        <w:rPr>
          <w:rFonts w:cs="Times New Roman"/>
          <w:i/>
          <w:szCs w:val="24"/>
        </w:rPr>
        <w:t>(Pirmininkaujančios šalies informacija)</w:t>
      </w:r>
    </w:p>
    <w:p w:rsidR="0009586B" w:rsidRPr="000A3F18" w:rsidRDefault="0009586B" w:rsidP="0009586B">
      <w:pPr>
        <w:spacing w:after="0" w:line="240" w:lineRule="auto"/>
        <w:jc w:val="both"/>
        <w:rPr>
          <w:rFonts w:cs="Times New Roman"/>
          <w:b/>
          <w:szCs w:val="24"/>
        </w:rPr>
      </w:pPr>
    </w:p>
    <w:p w:rsidR="0009586B" w:rsidRPr="000A3F18" w:rsidRDefault="000B19FB" w:rsidP="0009586B">
      <w:pPr>
        <w:spacing w:after="0" w:line="240" w:lineRule="auto"/>
        <w:contextualSpacing/>
        <w:jc w:val="both"/>
        <w:rPr>
          <w:szCs w:val="24"/>
        </w:rPr>
      </w:pPr>
      <w:r w:rsidRPr="000A3F18">
        <w:rPr>
          <w:rFonts w:cs="Times New Roman"/>
          <w:b/>
          <w:szCs w:val="24"/>
          <w:u w:val="single"/>
          <w:lang w:eastAsia="lt-LT" w:bidi="lt-LT"/>
        </w:rPr>
        <w:t>Klausimo esmė.</w:t>
      </w:r>
      <w:r w:rsidRPr="000A3F18">
        <w:rPr>
          <w:rFonts w:cs="Times New Roman"/>
          <w:szCs w:val="24"/>
          <w:lang w:eastAsia="lt-LT" w:bidi="lt-LT"/>
        </w:rPr>
        <w:t xml:space="preserve"> </w:t>
      </w:r>
      <w:bookmarkStart w:id="0" w:name="_GoBack"/>
      <w:bookmarkEnd w:id="0"/>
      <w:r w:rsidR="0009586B" w:rsidRPr="000A3F18">
        <w:rPr>
          <w:szCs w:val="24"/>
        </w:rPr>
        <w:t xml:space="preserve">2019 m. gruodžio 11 d. Komisija patvirtino Europos žaliąjį susitarimą (angl. </w:t>
      </w:r>
      <w:proofErr w:type="spellStart"/>
      <w:r w:rsidR="0009586B" w:rsidRPr="000A3F18">
        <w:rPr>
          <w:i/>
          <w:szCs w:val="24"/>
        </w:rPr>
        <w:t>European</w:t>
      </w:r>
      <w:proofErr w:type="spellEnd"/>
      <w:r w:rsidR="0009586B" w:rsidRPr="000A3F18">
        <w:rPr>
          <w:i/>
          <w:szCs w:val="24"/>
        </w:rPr>
        <w:t xml:space="preserve"> </w:t>
      </w:r>
      <w:proofErr w:type="spellStart"/>
      <w:r w:rsidR="0009586B" w:rsidRPr="000A3F18">
        <w:rPr>
          <w:i/>
          <w:szCs w:val="24"/>
        </w:rPr>
        <w:t>Green</w:t>
      </w:r>
      <w:proofErr w:type="spellEnd"/>
      <w:r w:rsidR="0009586B" w:rsidRPr="000A3F18">
        <w:rPr>
          <w:i/>
          <w:szCs w:val="24"/>
        </w:rPr>
        <w:t xml:space="preserve"> </w:t>
      </w:r>
      <w:proofErr w:type="spellStart"/>
      <w:r w:rsidR="0009586B" w:rsidRPr="000A3F18">
        <w:rPr>
          <w:i/>
          <w:szCs w:val="24"/>
        </w:rPr>
        <w:t>Deal</w:t>
      </w:r>
      <w:proofErr w:type="spellEnd"/>
      <w:r w:rsidR="0009586B" w:rsidRPr="000A3F18">
        <w:rPr>
          <w:szCs w:val="24"/>
        </w:rPr>
        <w:t>). Pagrindinės numatomos politikos kryptys: </w:t>
      </w:r>
    </w:p>
    <w:p w:rsidR="0009586B" w:rsidRPr="000A3F18" w:rsidRDefault="0009586B" w:rsidP="0009586B">
      <w:pPr>
        <w:spacing w:after="0" w:line="240" w:lineRule="auto"/>
        <w:contextualSpacing/>
        <w:jc w:val="both"/>
        <w:rPr>
          <w:szCs w:val="24"/>
        </w:rPr>
      </w:pPr>
      <w:r w:rsidRPr="000A3F18">
        <w:rPr>
          <w:b/>
          <w:szCs w:val="24"/>
        </w:rPr>
        <w:t>Siekis didinti ES klimato užmojus.</w:t>
      </w:r>
      <w:r w:rsidRPr="000A3F18">
        <w:rPr>
          <w:szCs w:val="24"/>
        </w:rPr>
        <w:t xml:space="preserve"> Komisija 2020 m. kovo mėn. planuoja pateikti pirmąjį Europos „klimato įstatymą“, kuris įtvirtins Europos tikslą tapti </w:t>
      </w:r>
      <w:r w:rsidRPr="000A3F18">
        <w:rPr>
          <w:color w:val="000000"/>
          <w:szCs w:val="24"/>
        </w:rPr>
        <w:t>neutralaus poveikio</w:t>
      </w:r>
      <w:r w:rsidRPr="000A3F18">
        <w:rPr>
          <w:szCs w:val="24"/>
        </w:rPr>
        <w:t xml:space="preserve"> klimatui žemynu iki 2050 m. </w:t>
      </w:r>
      <w:r w:rsidRPr="000A3F18">
        <w:rPr>
          <w:color w:val="000000"/>
          <w:szCs w:val="24"/>
        </w:rPr>
        <w:t xml:space="preserve">Planuojama šiltnamio efektą sukeliančių dujų mažinimo tikslą 2030 metams padidinti iki 50 proc., vėliau </w:t>
      </w:r>
      <w:r w:rsidRPr="000A3F18">
        <w:rPr>
          <w:color w:val="000000"/>
          <w:szCs w:val="24"/>
        </w:rPr>
        <w:lastRenderedPageBreak/>
        <w:t>– iki 55 proc.</w:t>
      </w:r>
      <w:r w:rsidRPr="000A3F18">
        <w:rPr>
          <w:szCs w:val="24"/>
        </w:rPr>
        <w:t xml:space="preserve"> Komisija, užtikrindama apmokestinimo atitiktį klimato tikslams, taip pat siūlys peržiūrėti Energetikos mokesčių direktyvą</w:t>
      </w:r>
      <w:r w:rsidRPr="000A3F18">
        <w:rPr>
          <w:rStyle w:val="Puslapioinaosnuoroda"/>
          <w:szCs w:val="24"/>
        </w:rPr>
        <w:footnoteReference w:id="1"/>
      </w:r>
      <w:r w:rsidRPr="000A3F18">
        <w:rPr>
          <w:color w:val="000000"/>
          <w:szCs w:val="24"/>
        </w:rPr>
        <w:t>.</w:t>
      </w:r>
    </w:p>
    <w:p w:rsidR="0009586B" w:rsidRPr="000A3F18" w:rsidRDefault="0009586B" w:rsidP="0009586B">
      <w:pPr>
        <w:spacing w:after="0" w:line="240" w:lineRule="auto"/>
        <w:contextualSpacing/>
        <w:jc w:val="both"/>
        <w:rPr>
          <w:szCs w:val="24"/>
        </w:rPr>
      </w:pPr>
      <w:r w:rsidRPr="000A3F18">
        <w:rPr>
          <w:b/>
          <w:szCs w:val="24"/>
        </w:rPr>
        <w:t>Švarios, prieinamos ir saugios energijos tiekimas.</w:t>
      </w:r>
      <w:r w:rsidRPr="000A3F18">
        <w:rPr>
          <w:szCs w:val="24"/>
        </w:rPr>
        <w:t xml:space="preserve"> Komisija skirs dėmesį atsinaujinantiems energijos šaltiniams, anglies iškastinio kuro atsisakymui ir 2020 m. pateiks kovos su energetiniu skurdu gaires, apimsiančias namų ūkių renovacijos finansavimo schemas, kurios prisidės prie energijos išlaidų ir poveikio aplinkai mažinimo. </w:t>
      </w:r>
    </w:p>
    <w:p w:rsidR="0009586B" w:rsidRPr="000A3F18" w:rsidRDefault="0009586B" w:rsidP="0009586B">
      <w:pPr>
        <w:spacing w:after="0" w:line="240" w:lineRule="auto"/>
        <w:contextualSpacing/>
        <w:jc w:val="both"/>
        <w:rPr>
          <w:szCs w:val="24"/>
        </w:rPr>
      </w:pPr>
      <w:r w:rsidRPr="000A3F18">
        <w:rPr>
          <w:b/>
          <w:szCs w:val="24"/>
        </w:rPr>
        <w:t>Pramonės mobilizavimas ir žiedinės ekonomikos skatinimas.</w:t>
      </w:r>
      <w:r w:rsidRPr="000A3F18">
        <w:rPr>
          <w:szCs w:val="24"/>
        </w:rPr>
        <w:t xml:space="preserve"> </w:t>
      </w:r>
      <w:r w:rsidRPr="000A3F18">
        <w:rPr>
          <w:color w:val="000000"/>
          <w:szCs w:val="24"/>
        </w:rPr>
        <w:t>2020 m. kovo mėn. Komisija priims ES pramonės strategiją ir naują žiedinės ekonomikos veiksmų planą</w:t>
      </w:r>
      <w:r w:rsidRPr="000A3F18">
        <w:rPr>
          <w:szCs w:val="24"/>
        </w:rPr>
        <w:t xml:space="preserve">, kuriame ypatingas dėmesys bus skiriamas daug išteklių naudojantiems tekstilės, statybų, elektronikos ir plastiko sektoriams. </w:t>
      </w:r>
    </w:p>
    <w:p w:rsidR="0009586B" w:rsidRPr="000A3F18" w:rsidRDefault="0009586B" w:rsidP="0009586B">
      <w:pPr>
        <w:spacing w:after="0" w:line="240" w:lineRule="auto"/>
        <w:contextualSpacing/>
        <w:jc w:val="both"/>
        <w:rPr>
          <w:szCs w:val="24"/>
        </w:rPr>
      </w:pPr>
      <w:r w:rsidRPr="000A3F18">
        <w:rPr>
          <w:b/>
          <w:szCs w:val="24"/>
        </w:rPr>
        <w:t>Statyba ir renovacija energiją ir išteklius taupančiu būdu.</w:t>
      </w:r>
      <w:r w:rsidRPr="000A3F18">
        <w:rPr>
          <w:szCs w:val="24"/>
        </w:rPr>
        <w:t xml:space="preserve"> Įgyvendinant energetikos efektyvumo ir prieinamumo iššūkius, dėmesys bus skiriamas viešųjų ir privačių pastatų renovacijai. Atvira platforma, suvienysianti statybų sektorių, architektus, inžinierius ir vietos valdžios institucijas, bus finansuojama pagal </w:t>
      </w:r>
      <w:proofErr w:type="spellStart"/>
      <w:r w:rsidRPr="000A3F18">
        <w:rPr>
          <w:szCs w:val="24"/>
        </w:rPr>
        <w:t>InvestEU</w:t>
      </w:r>
      <w:proofErr w:type="spellEnd"/>
      <w:r w:rsidRPr="000A3F18">
        <w:rPr>
          <w:szCs w:val="24"/>
        </w:rPr>
        <w:t xml:space="preserve"> finansavimo schemas.</w:t>
      </w:r>
    </w:p>
    <w:p w:rsidR="0009586B" w:rsidRPr="000A3F18" w:rsidRDefault="0009586B" w:rsidP="0009586B">
      <w:pPr>
        <w:spacing w:after="0" w:line="240" w:lineRule="auto"/>
        <w:contextualSpacing/>
        <w:jc w:val="both"/>
        <w:rPr>
          <w:szCs w:val="24"/>
        </w:rPr>
      </w:pPr>
      <w:r w:rsidRPr="000A3F18">
        <w:rPr>
          <w:b/>
          <w:szCs w:val="24"/>
        </w:rPr>
        <w:t xml:space="preserve">Perėjimo link darnaus ir išmanaus </w:t>
      </w:r>
      <w:proofErr w:type="spellStart"/>
      <w:r w:rsidRPr="000A3F18">
        <w:rPr>
          <w:b/>
          <w:szCs w:val="24"/>
        </w:rPr>
        <w:t>judumo</w:t>
      </w:r>
      <w:proofErr w:type="spellEnd"/>
      <w:r w:rsidRPr="000A3F18">
        <w:rPr>
          <w:b/>
          <w:szCs w:val="24"/>
        </w:rPr>
        <w:t xml:space="preserve"> spartinimas.</w:t>
      </w:r>
      <w:r w:rsidRPr="000A3F18">
        <w:rPr>
          <w:szCs w:val="24"/>
        </w:rPr>
        <w:t xml:space="preserve"> 2020 m. Komisija priims darnaus ir išmanaus </w:t>
      </w:r>
      <w:proofErr w:type="spellStart"/>
      <w:r w:rsidRPr="000A3F18">
        <w:rPr>
          <w:szCs w:val="24"/>
        </w:rPr>
        <w:t>judumo</w:t>
      </w:r>
      <w:proofErr w:type="spellEnd"/>
      <w:r w:rsidRPr="000A3F18">
        <w:rPr>
          <w:szCs w:val="24"/>
        </w:rPr>
        <w:t xml:space="preserve"> strategiją. Komisija peržiūrės dabar galiojančias mokesčių lengvatas, taikomas aviaciniam ir laivų kurui; pasiūlys į ES apyvartinių taršos leidimų prekybos sistemą įtraukti </w:t>
      </w:r>
      <w:r w:rsidRPr="000A3F18">
        <w:rPr>
          <w:color w:val="000000"/>
          <w:szCs w:val="24"/>
        </w:rPr>
        <w:t>jūrų transporto sektorių</w:t>
      </w:r>
      <w:r w:rsidRPr="000A3F18">
        <w:rPr>
          <w:szCs w:val="24"/>
        </w:rPr>
        <w:t>.</w:t>
      </w:r>
    </w:p>
    <w:p w:rsidR="0009586B" w:rsidRPr="000A3F18" w:rsidRDefault="0009586B" w:rsidP="0009586B">
      <w:pPr>
        <w:autoSpaceDE w:val="0"/>
        <w:autoSpaceDN w:val="0"/>
        <w:adjustRightInd w:val="0"/>
        <w:spacing w:after="0" w:line="240" w:lineRule="auto"/>
        <w:contextualSpacing/>
        <w:jc w:val="both"/>
        <w:rPr>
          <w:szCs w:val="24"/>
        </w:rPr>
      </w:pPr>
      <w:r w:rsidRPr="000A3F18">
        <w:rPr>
          <w:b/>
          <w:szCs w:val="24"/>
        </w:rPr>
        <w:t>Žaliųjų finansų ir investicijų siekis.</w:t>
      </w:r>
      <w:r w:rsidRPr="000A3F18">
        <w:rPr>
          <w:szCs w:val="24"/>
        </w:rPr>
        <w:t xml:space="preserve"> 2030 m. klimato tikslams pasiekti reikės papildomų kasmetinių 260 mlrd. </w:t>
      </w:r>
      <w:proofErr w:type="spellStart"/>
      <w:r w:rsidRPr="000A3F18">
        <w:rPr>
          <w:szCs w:val="24"/>
        </w:rPr>
        <w:t>Eur</w:t>
      </w:r>
      <w:proofErr w:type="spellEnd"/>
      <w:r w:rsidRPr="000A3F18">
        <w:rPr>
          <w:szCs w:val="24"/>
        </w:rPr>
        <w:t xml:space="preserve"> investicijų, </w:t>
      </w:r>
      <w:r w:rsidRPr="000A3F18">
        <w:rPr>
          <w:color w:val="000000"/>
          <w:szCs w:val="24"/>
        </w:rPr>
        <w:t>t. y. apie 1,5 proc. 2018 m. BVP</w:t>
      </w:r>
      <w:r w:rsidRPr="000A3F18">
        <w:rPr>
          <w:szCs w:val="24"/>
        </w:rPr>
        <w:t xml:space="preserve">. </w:t>
      </w:r>
      <w:r w:rsidRPr="000A3F18">
        <w:rPr>
          <w:color w:val="000000"/>
          <w:szCs w:val="24"/>
        </w:rPr>
        <w:t>Komisija pristatys Darnios Europos investicijų planą</w:t>
      </w:r>
      <w:r w:rsidRPr="000A3F18">
        <w:rPr>
          <w:szCs w:val="24"/>
        </w:rPr>
        <w:t xml:space="preserve"> (angl. </w:t>
      </w:r>
      <w:proofErr w:type="spellStart"/>
      <w:r w:rsidRPr="000A3F18">
        <w:rPr>
          <w:i/>
          <w:szCs w:val="24"/>
        </w:rPr>
        <w:t>Sustainable</w:t>
      </w:r>
      <w:proofErr w:type="spellEnd"/>
      <w:r w:rsidRPr="000A3F18">
        <w:rPr>
          <w:i/>
          <w:szCs w:val="24"/>
        </w:rPr>
        <w:t xml:space="preserve"> </w:t>
      </w:r>
      <w:proofErr w:type="spellStart"/>
      <w:r w:rsidRPr="000A3F18">
        <w:rPr>
          <w:i/>
          <w:szCs w:val="24"/>
        </w:rPr>
        <w:t>Europe</w:t>
      </w:r>
      <w:proofErr w:type="spellEnd"/>
      <w:r w:rsidRPr="000A3F18">
        <w:rPr>
          <w:i/>
          <w:szCs w:val="24"/>
        </w:rPr>
        <w:t xml:space="preserve"> </w:t>
      </w:r>
      <w:proofErr w:type="spellStart"/>
      <w:r w:rsidRPr="000A3F18">
        <w:rPr>
          <w:i/>
          <w:szCs w:val="24"/>
        </w:rPr>
        <w:t>Investment</w:t>
      </w:r>
      <w:proofErr w:type="spellEnd"/>
      <w:r w:rsidRPr="000A3F18">
        <w:rPr>
          <w:i/>
          <w:szCs w:val="24"/>
        </w:rPr>
        <w:t xml:space="preserve"> </w:t>
      </w:r>
      <w:proofErr w:type="spellStart"/>
      <w:r w:rsidRPr="000A3F18">
        <w:rPr>
          <w:i/>
          <w:szCs w:val="24"/>
        </w:rPr>
        <w:t>Plan</w:t>
      </w:r>
      <w:proofErr w:type="spellEnd"/>
      <w:r w:rsidRPr="000A3F18">
        <w:rPr>
          <w:szCs w:val="24"/>
        </w:rPr>
        <w:t xml:space="preserve">) ir pasiūlys 25 proc. tikslą klimato aspektų integravimui į visas ES programas. </w:t>
      </w:r>
      <w:r w:rsidRPr="000A3F18">
        <w:rPr>
          <w:color w:val="000000"/>
          <w:szCs w:val="24"/>
        </w:rPr>
        <w:t>EIB užsibrėžė iki 2025 m. padvigubinti klimato srities tikslą iki 50 proc. ir tokiu būdu tapo Europos klimato banku.</w:t>
      </w:r>
    </w:p>
    <w:p w:rsidR="0009586B" w:rsidRPr="000A3F18" w:rsidRDefault="0009586B" w:rsidP="0009586B">
      <w:pPr>
        <w:autoSpaceDE w:val="0"/>
        <w:autoSpaceDN w:val="0"/>
        <w:adjustRightInd w:val="0"/>
        <w:spacing w:after="0" w:line="240" w:lineRule="auto"/>
        <w:contextualSpacing/>
        <w:jc w:val="both"/>
        <w:rPr>
          <w:szCs w:val="24"/>
        </w:rPr>
      </w:pPr>
      <w:r w:rsidRPr="000A3F18">
        <w:rPr>
          <w:color w:val="000000"/>
          <w:szCs w:val="24"/>
        </w:rPr>
        <w:t>30 proc. „</w:t>
      </w:r>
      <w:proofErr w:type="spellStart"/>
      <w:r w:rsidRPr="000A3F18">
        <w:rPr>
          <w:color w:val="000000"/>
          <w:szCs w:val="24"/>
        </w:rPr>
        <w:t>InvestEU</w:t>
      </w:r>
      <w:proofErr w:type="spellEnd"/>
      <w:r w:rsidRPr="000A3F18">
        <w:rPr>
          <w:color w:val="000000"/>
          <w:szCs w:val="24"/>
        </w:rPr>
        <w:t>“ fondo lėšų bus skirta kovai su klimato kaita.</w:t>
      </w:r>
      <w:r w:rsidRPr="000A3F18">
        <w:rPr>
          <w:szCs w:val="24"/>
        </w:rPr>
        <w:t xml:space="preserve"> </w:t>
      </w:r>
    </w:p>
    <w:p w:rsidR="0009586B" w:rsidRPr="000A3F18" w:rsidRDefault="0009586B" w:rsidP="0009586B">
      <w:pPr>
        <w:autoSpaceDE w:val="0"/>
        <w:autoSpaceDN w:val="0"/>
        <w:adjustRightInd w:val="0"/>
        <w:spacing w:after="0" w:line="240" w:lineRule="auto"/>
        <w:contextualSpacing/>
        <w:jc w:val="both"/>
        <w:rPr>
          <w:szCs w:val="24"/>
        </w:rPr>
      </w:pPr>
      <w:r w:rsidRPr="000A3F18">
        <w:rPr>
          <w:szCs w:val="24"/>
        </w:rPr>
        <w:t xml:space="preserve">2020 m. sausio mėn. Komisija pateiks pasiūlymus dėl Teisingo perėjimo mechanizmo (angl. </w:t>
      </w:r>
      <w:r w:rsidRPr="000A3F18">
        <w:rPr>
          <w:i/>
          <w:szCs w:val="24"/>
        </w:rPr>
        <w:t xml:space="preserve">Just </w:t>
      </w:r>
      <w:proofErr w:type="spellStart"/>
      <w:r w:rsidRPr="000A3F18">
        <w:rPr>
          <w:i/>
          <w:szCs w:val="24"/>
        </w:rPr>
        <w:t>transition</w:t>
      </w:r>
      <w:proofErr w:type="spellEnd"/>
      <w:r w:rsidRPr="000A3F18">
        <w:rPr>
          <w:i/>
          <w:szCs w:val="24"/>
        </w:rPr>
        <w:t xml:space="preserve"> </w:t>
      </w:r>
      <w:proofErr w:type="spellStart"/>
      <w:r w:rsidRPr="000A3F18">
        <w:rPr>
          <w:i/>
          <w:szCs w:val="24"/>
        </w:rPr>
        <w:t>mechanism</w:t>
      </w:r>
      <w:proofErr w:type="spellEnd"/>
      <w:r w:rsidRPr="000A3F18">
        <w:rPr>
          <w:szCs w:val="24"/>
        </w:rPr>
        <w:t xml:space="preserve">) ir Teisingo perėjimo fondo (angl. </w:t>
      </w:r>
      <w:r w:rsidRPr="000A3F18">
        <w:rPr>
          <w:i/>
          <w:szCs w:val="24"/>
        </w:rPr>
        <w:t xml:space="preserve">Just </w:t>
      </w:r>
      <w:proofErr w:type="spellStart"/>
      <w:r w:rsidRPr="000A3F18">
        <w:rPr>
          <w:i/>
          <w:szCs w:val="24"/>
        </w:rPr>
        <w:t>Transition</w:t>
      </w:r>
      <w:proofErr w:type="spellEnd"/>
      <w:r w:rsidRPr="000A3F18">
        <w:rPr>
          <w:i/>
          <w:szCs w:val="24"/>
        </w:rPr>
        <w:t xml:space="preserve"> </w:t>
      </w:r>
      <w:proofErr w:type="spellStart"/>
      <w:r w:rsidRPr="000A3F18">
        <w:rPr>
          <w:i/>
          <w:szCs w:val="24"/>
        </w:rPr>
        <w:t>Fund</w:t>
      </w:r>
      <w:proofErr w:type="spellEnd"/>
      <w:r w:rsidRPr="000A3F18">
        <w:rPr>
          <w:szCs w:val="24"/>
        </w:rPr>
        <w:t>), kuris</w:t>
      </w:r>
      <w:r w:rsidRPr="000A3F18">
        <w:rPr>
          <w:color w:val="000000"/>
          <w:szCs w:val="24"/>
        </w:rPr>
        <w:t xml:space="preserve"> bus orientuotas į regionus ir sektorius, patirsiančius didžiausią pertvarkos poveikį dėl jų priklausomybės nuo iškastinio kuro ar nuo daug anglies dioksido išskiriančių procesų.</w:t>
      </w:r>
      <w:r w:rsidRPr="000A3F18">
        <w:rPr>
          <w:szCs w:val="24"/>
        </w:rPr>
        <w:t xml:space="preserve"> </w:t>
      </w:r>
    </w:p>
    <w:p w:rsidR="0009586B" w:rsidRPr="000A3F18" w:rsidRDefault="0009586B" w:rsidP="0009586B">
      <w:pPr>
        <w:autoSpaceDE w:val="0"/>
        <w:autoSpaceDN w:val="0"/>
        <w:adjustRightInd w:val="0"/>
        <w:spacing w:after="0" w:line="240" w:lineRule="auto"/>
        <w:contextualSpacing/>
        <w:jc w:val="both"/>
        <w:rPr>
          <w:szCs w:val="24"/>
        </w:rPr>
      </w:pPr>
      <w:r w:rsidRPr="000A3F18">
        <w:rPr>
          <w:szCs w:val="24"/>
        </w:rPr>
        <w:t xml:space="preserve">2020 m. </w:t>
      </w:r>
      <w:r w:rsidRPr="000A3F18">
        <w:rPr>
          <w:color w:val="000000"/>
          <w:szCs w:val="24"/>
        </w:rPr>
        <w:t xml:space="preserve">III </w:t>
      </w:r>
      <w:proofErr w:type="spellStart"/>
      <w:r w:rsidRPr="000A3F18">
        <w:rPr>
          <w:color w:val="000000"/>
          <w:szCs w:val="24"/>
        </w:rPr>
        <w:t>ketv</w:t>
      </w:r>
      <w:proofErr w:type="spellEnd"/>
      <w:r w:rsidRPr="000A3F18">
        <w:rPr>
          <w:color w:val="000000"/>
          <w:szCs w:val="24"/>
        </w:rPr>
        <w:t>.</w:t>
      </w:r>
      <w:r w:rsidRPr="000A3F18">
        <w:rPr>
          <w:szCs w:val="24"/>
        </w:rPr>
        <w:t xml:space="preserve"> Komisija pateiks Atnaujintą darnių finansų strategiją (angl. </w:t>
      </w:r>
      <w:proofErr w:type="spellStart"/>
      <w:r w:rsidRPr="000A3F18">
        <w:rPr>
          <w:i/>
          <w:szCs w:val="24"/>
        </w:rPr>
        <w:t>Renewed</w:t>
      </w:r>
      <w:proofErr w:type="spellEnd"/>
      <w:r w:rsidRPr="000A3F18">
        <w:rPr>
          <w:i/>
          <w:szCs w:val="24"/>
        </w:rPr>
        <w:t xml:space="preserve"> </w:t>
      </w:r>
      <w:proofErr w:type="spellStart"/>
      <w:r w:rsidRPr="000A3F18">
        <w:rPr>
          <w:i/>
          <w:szCs w:val="24"/>
        </w:rPr>
        <w:t>sustainable</w:t>
      </w:r>
      <w:proofErr w:type="spellEnd"/>
      <w:r w:rsidRPr="000A3F18">
        <w:rPr>
          <w:i/>
          <w:szCs w:val="24"/>
        </w:rPr>
        <w:t xml:space="preserve"> </w:t>
      </w:r>
      <w:proofErr w:type="spellStart"/>
      <w:r w:rsidRPr="000A3F18">
        <w:rPr>
          <w:i/>
          <w:szCs w:val="24"/>
        </w:rPr>
        <w:t>finance</w:t>
      </w:r>
      <w:proofErr w:type="spellEnd"/>
      <w:r w:rsidRPr="000A3F18">
        <w:rPr>
          <w:i/>
          <w:szCs w:val="24"/>
        </w:rPr>
        <w:t xml:space="preserve"> </w:t>
      </w:r>
      <w:proofErr w:type="spellStart"/>
      <w:r w:rsidRPr="000A3F18">
        <w:rPr>
          <w:i/>
          <w:szCs w:val="24"/>
        </w:rPr>
        <w:t>strategy</w:t>
      </w:r>
      <w:proofErr w:type="spellEnd"/>
      <w:r w:rsidRPr="000A3F18">
        <w:rPr>
          <w:szCs w:val="24"/>
        </w:rPr>
        <w:t>), kurioje pagrindinis dėmesys bus skiriamas darnių investicijų pagrindams (taksonomija darnioms veikloms klasifikuoti); investuotojams ir įmonėms bus lengviau nustatyti darnias investicijas (bus žymimi mažmeninio investavimo produktai ir patvirtintas ES žaliųjų obligacijų standartas), klimato ir aplinkosaugos rizika bus integruota į finansų sistemą.</w:t>
      </w:r>
    </w:p>
    <w:p w:rsidR="0009586B" w:rsidRPr="000A3F18" w:rsidRDefault="0009586B" w:rsidP="0009586B">
      <w:pPr>
        <w:spacing w:after="0" w:line="240" w:lineRule="auto"/>
        <w:contextualSpacing/>
        <w:jc w:val="both"/>
        <w:rPr>
          <w:szCs w:val="24"/>
        </w:rPr>
      </w:pPr>
      <w:r w:rsidRPr="000A3F18">
        <w:rPr>
          <w:b/>
          <w:szCs w:val="24"/>
        </w:rPr>
        <w:t>Nacionalinių biudžetų „žalinimas“.</w:t>
      </w:r>
      <w:r w:rsidRPr="000A3F18">
        <w:rPr>
          <w:szCs w:val="24"/>
        </w:rPr>
        <w:t xml:space="preserve"> Komisija dirbs įtvirtinant „žaliųjų“ biudžetų praktiką, kuri leis lengviau įvertinti kaip metiniuose biudžetuose ir vidutinio laikotarpio tiksluose atsižvelgiama į aplinkosaugos aspektus ir riziką. </w:t>
      </w:r>
      <w:r w:rsidRPr="000A3F18">
        <w:rPr>
          <w:color w:val="000000"/>
          <w:szCs w:val="24"/>
        </w:rPr>
        <w:t>Iki 2021 m. bus atlikta atitinkamų valstybės pagalbos gairių peržiūra.</w:t>
      </w:r>
    </w:p>
    <w:p w:rsidR="0009586B" w:rsidRPr="000A3F18" w:rsidRDefault="0009586B" w:rsidP="0009586B">
      <w:pPr>
        <w:autoSpaceDE w:val="0"/>
        <w:autoSpaceDN w:val="0"/>
        <w:adjustRightInd w:val="0"/>
        <w:spacing w:after="0" w:line="240" w:lineRule="auto"/>
        <w:contextualSpacing/>
        <w:jc w:val="both"/>
        <w:rPr>
          <w:szCs w:val="24"/>
        </w:rPr>
      </w:pPr>
      <w:r w:rsidRPr="000A3F18">
        <w:rPr>
          <w:b/>
          <w:szCs w:val="24"/>
        </w:rPr>
        <w:t>Moksliniai tyrimai ir inovacijos.</w:t>
      </w:r>
      <w:r w:rsidRPr="000A3F18">
        <w:rPr>
          <w:szCs w:val="24"/>
        </w:rPr>
        <w:t xml:space="preserve"> 35% mokslinių tyrimų ir inovacijų programos „</w:t>
      </w:r>
      <w:proofErr w:type="spellStart"/>
      <w:r w:rsidRPr="000A3F18">
        <w:rPr>
          <w:szCs w:val="24"/>
        </w:rPr>
        <w:t>Horizon</w:t>
      </w:r>
      <w:proofErr w:type="spellEnd"/>
      <w:r w:rsidRPr="000A3F18">
        <w:rPr>
          <w:szCs w:val="24"/>
        </w:rPr>
        <w:t xml:space="preserve"> </w:t>
      </w:r>
      <w:proofErr w:type="spellStart"/>
      <w:r w:rsidRPr="000A3F18">
        <w:rPr>
          <w:szCs w:val="24"/>
        </w:rPr>
        <w:t>Europe</w:t>
      </w:r>
      <w:proofErr w:type="spellEnd"/>
      <w:r w:rsidRPr="000A3F18">
        <w:rPr>
          <w:szCs w:val="24"/>
        </w:rPr>
        <w:t xml:space="preserve">“ biudžeto bus numatyta naujų klimato sprendimų finansavimui. </w:t>
      </w:r>
    </w:p>
    <w:p w:rsidR="0009586B" w:rsidRPr="000A3F18" w:rsidRDefault="0009586B" w:rsidP="0009586B">
      <w:pPr>
        <w:spacing w:after="0" w:line="240" w:lineRule="auto"/>
        <w:contextualSpacing/>
        <w:jc w:val="both"/>
        <w:rPr>
          <w:rFonts w:eastAsia="Times New Roman" w:cs="Times New Roman"/>
          <w:szCs w:val="24"/>
          <w:lang w:eastAsia="fr-BE"/>
        </w:rPr>
      </w:pPr>
      <w:r w:rsidRPr="000A3F18">
        <w:rPr>
          <w:b/>
          <w:color w:val="000000"/>
          <w:szCs w:val="24"/>
        </w:rPr>
        <w:t>ES – pasaulio lyderė</w:t>
      </w:r>
      <w:r w:rsidRPr="000A3F18">
        <w:rPr>
          <w:b/>
          <w:szCs w:val="24"/>
        </w:rPr>
        <w:t>.</w:t>
      </w:r>
      <w:r w:rsidRPr="000A3F18">
        <w:rPr>
          <w:szCs w:val="24"/>
        </w:rPr>
        <w:t xml:space="preserve"> </w:t>
      </w:r>
      <w:r w:rsidRPr="000A3F18">
        <w:rPr>
          <w:color w:val="000000"/>
          <w:szCs w:val="24"/>
        </w:rPr>
        <w:t xml:space="preserve">Tarptautinė darnių finansų platforma (angl. </w:t>
      </w:r>
      <w:proofErr w:type="spellStart"/>
      <w:r w:rsidRPr="000A3F18">
        <w:rPr>
          <w:i/>
          <w:color w:val="000000"/>
          <w:szCs w:val="24"/>
        </w:rPr>
        <w:t>International</w:t>
      </w:r>
      <w:proofErr w:type="spellEnd"/>
      <w:r w:rsidRPr="000A3F18">
        <w:rPr>
          <w:i/>
          <w:color w:val="000000"/>
          <w:szCs w:val="24"/>
        </w:rPr>
        <w:t xml:space="preserve"> </w:t>
      </w:r>
      <w:proofErr w:type="spellStart"/>
      <w:r w:rsidRPr="000A3F18">
        <w:rPr>
          <w:i/>
          <w:color w:val="000000"/>
          <w:szCs w:val="24"/>
        </w:rPr>
        <w:t>Platform</w:t>
      </w:r>
      <w:proofErr w:type="spellEnd"/>
      <w:r w:rsidRPr="000A3F18">
        <w:rPr>
          <w:i/>
          <w:color w:val="000000"/>
          <w:szCs w:val="24"/>
        </w:rPr>
        <w:t xml:space="preserve"> </w:t>
      </w:r>
      <w:proofErr w:type="spellStart"/>
      <w:r w:rsidRPr="000A3F18">
        <w:rPr>
          <w:i/>
          <w:color w:val="000000"/>
          <w:szCs w:val="24"/>
        </w:rPr>
        <w:t>on</w:t>
      </w:r>
      <w:proofErr w:type="spellEnd"/>
      <w:r w:rsidRPr="000A3F18">
        <w:rPr>
          <w:i/>
          <w:color w:val="000000"/>
          <w:szCs w:val="24"/>
        </w:rPr>
        <w:t xml:space="preserve"> </w:t>
      </w:r>
      <w:proofErr w:type="spellStart"/>
      <w:r w:rsidRPr="000A3F18">
        <w:rPr>
          <w:i/>
          <w:color w:val="000000"/>
          <w:szCs w:val="24"/>
        </w:rPr>
        <w:t>Sustainable</w:t>
      </w:r>
      <w:proofErr w:type="spellEnd"/>
      <w:r w:rsidRPr="000A3F18">
        <w:rPr>
          <w:i/>
          <w:color w:val="000000"/>
          <w:szCs w:val="24"/>
        </w:rPr>
        <w:t xml:space="preserve"> </w:t>
      </w:r>
      <w:proofErr w:type="spellStart"/>
      <w:r w:rsidRPr="000A3F18">
        <w:rPr>
          <w:i/>
          <w:color w:val="000000"/>
          <w:szCs w:val="24"/>
        </w:rPr>
        <w:t>Finance</w:t>
      </w:r>
      <w:proofErr w:type="spellEnd"/>
      <w:r w:rsidRPr="000A3F18">
        <w:rPr>
          <w:color w:val="000000"/>
          <w:szCs w:val="24"/>
        </w:rPr>
        <w:t xml:space="preserve">) koordinuos tokias darnių finansų iniciatyvas, kaip taksonomija, atskleidimas (angl. </w:t>
      </w:r>
      <w:proofErr w:type="spellStart"/>
      <w:r w:rsidRPr="000A3F18">
        <w:rPr>
          <w:i/>
          <w:color w:val="000000"/>
          <w:szCs w:val="24"/>
        </w:rPr>
        <w:t>Disclosures</w:t>
      </w:r>
      <w:proofErr w:type="spellEnd"/>
      <w:r w:rsidRPr="000A3F18">
        <w:rPr>
          <w:color w:val="000000"/>
          <w:szCs w:val="24"/>
        </w:rPr>
        <w:t>), standartai ir žymėjimai (</w:t>
      </w:r>
      <w:r w:rsidRPr="000A3F18">
        <w:rPr>
          <w:i/>
          <w:color w:val="000000"/>
          <w:szCs w:val="24"/>
        </w:rPr>
        <w:t xml:space="preserve">angl. </w:t>
      </w:r>
      <w:proofErr w:type="spellStart"/>
      <w:r w:rsidRPr="000A3F18">
        <w:rPr>
          <w:i/>
          <w:color w:val="000000"/>
          <w:szCs w:val="24"/>
        </w:rPr>
        <w:t>Labels</w:t>
      </w:r>
      <w:proofErr w:type="spellEnd"/>
      <w:r w:rsidRPr="000A3F18">
        <w:rPr>
          <w:color w:val="000000"/>
          <w:szCs w:val="24"/>
        </w:rPr>
        <w:t>).</w:t>
      </w:r>
    </w:p>
    <w:p w:rsidR="000A3F18" w:rsidRPr="00933C22" w:rsidRDefault="008022D7" w:rsidP="007A58DF">
      <w:pPr>
        <w:spacing w:after="0" w:line="240" w:lineRule="auto"/>
        <w:contextualSpacing/>
        <w:jc w:val="both"/>
        <w:rPr>
          <w:szCs w:val="24"/>
        </w:rPr>
      </w:pPr>
      <w:r w:rsidRPr="000A3F18">
        <w:rPr>
          <w:rFonts w:cs="Times New Roman"/>
          <w:b/>
          <w:szCs w:val="24"/>
          <w:u w:val="single"/>
          <w:lang w:eastAsia="lt-LT"/>
        </w:rPr>
        <w:t>Lietuvos pozicija.</w:t>
      </w:r>
      <w:r w:rsidR="006022CA" w:rsidRPr="000A3F18">
        <w:rPr>
          <w:rFonts w:cs="Times New Roman"/>
          <w:b/>
          <w:szCs w:val="24"/>
          <w:lang w:eastAsia="lt-LT"/>
        </w:rPr>
        <w:t xml:space="preserve"> </w:t>
      </w:r>
      <w:r w:rsidR="000A3F18" w:rsidRPr="000A3F18">
        <w:rPr>
          <w:szCs w:val="24"/>
        </w:rPr>
        <w:t xml:space="preserve">Lietuva iš esmės palaiko Europos žaliąjį kursą. </w:t>
      </w:r>
      <w:r w:rsidR="000A3F18" w:rsidRPr="00933C22">
        <w:rPr>
          <w:szCs w:val="24"/>
        </w:rPr>
        <w:t xml:space="preserve">Ypatingai svarbu, kad jį įgyvendinant būtų skiriamas pakankamas dėmesys aplinkosaugos ir klimato tikslų integravimui į kitas sektorines politikas, užtikrinamas įvairių lygių ir atskirų sektorių politikos suderinamumas ir jų konkurencingumo bei regionų tolygaus augimo </w:t>
      </w:r>
      <w:r w:rsidR="000A3F18" w:rsidRPr="00933C22">
        <w:rPr>
          <w:rStyle w:val="Emfaz"/>
          <w:szCs w:val="24"/>
        </w:rPr>
        <w:t>(„</w:t>
      </w:r>
      <w:proofErr w:type="spellStart"/>
      <w:r w:rsidR="000A3F18" w:rsidRPr="00933C22">
        <w:rPr>
          <w:rStyle w:val="Emfaz"/>
          <w:szCs w:val="24"/>
        </w:rPr>
        <w:t>inclusive</w:t>
      </w:r>
      <w:proofErr w:type="spellEnd"/>
      <w:r w:rsidR="000A3F18" w:rsidRPr="00933C22">
        <w:rPr>
          <w:rStyle w:val="Emfaz"/>
          <w:szCs w:val="24"/>
        </w:rPr>
        <w:t xml:space="preserve"> </w:t>
      </w:r>
      <w:proofErr w:type="spellStart"/>
      <w:r w:rsidR="000A3F18" w:rsidRPr="00933C22">
        <w:rPr>
          <w:rStyle w:val="Emfaz"/>
          <w:szCs w:val="24"/>
        </w:rPr>
        <w:t>growth</w:t>
      </w:r>
      <w:proofErr w:type="spellEnd"/>
      <w:r w:rsidR="000A3F18" w:rsidRPr="00933C22">
        <w:rPr>
          <w:rStyle w:val="Emfaz"/>
          <w:szCs w:val="24"/>
        </w:rPr>
        <w:t xml:space="preserve">“) </w:t>
      </w:r>
      <w:r w:rsidR="000A3F18" w:rsidRPr="00933C22">
        <w:rPr>
          <w:szCs w:val="24"/>
        </w:rPr>
        <w:t xml:space="preserve">išlaikymas. </w:t>
      </w:r>
    </w:p>
    <w:p w:rsidR="007A58DF" w:rsidRDefault="007A58DF" w:rsidP="007A58DF">
      <w:pPr>
        <w:spacing w:after="0" w:line="240" w:lineRule="auto"/>
        <w:contextualSpacing/>
        <w:jc w:val="both"/>
        <w:rPr>
          <w:rFonts w:cs="Times New Roman"/>
          <w:szCs w:val="24"/>
        </w:rPr>
      </w:pPr>
      <w:r w:rsidRPr="000A3F18">
        <w:rPr>
          <w:rFonts w:cs="Times New Roman"/>
          <w:szCs w:val="24"/>
        </w:rPr>
        <w:t xml:space="preserve">Pritariame iškeltiems tikslams, kartu pažymime, kad siekiant jų labai svarbu nepamiršti fiskalinio tvarumo ir laikytis Stabilumo ir augimo pakto. Iškelti tikslai neturi būti įgyvendinami fiskalinio tvarumo sąskaita. </w:t>
      </w:r>
    </w:p>
    <w:p w:rsidR="0037142C" w:rsidRPr="00023A5A" w:rsidRDefault="007A74C5" w:rsidP="0037142C">
      <w:pPr>
        <w:spacing w:after="0" w:line="240" w:lineRule="auto"/>
        <w:contextualSpacing/>
        <w:jc w:val="both"/>
        <w:rPr>
          <w:rFonts w:cs="Times New Roman"/>
          <w:szCs w:val="24"/>
        </w:rPr>
      </w:pPr>
      <w:r w:rsidRPr="00023A5A">
        <w:rPr>
          <w:rFonts w:cs="Times New Roman"/>
          <w:szCs w:val="24"/>
        </w:rPr>
        <w:t>Dėl Teisingos pertvarkos</w:t>
      </w:r>
      <w:r w:rsidR="0037142C" w:rsidRPr="00023A5A">
        <w:rPr>
          <w:rFonts w:cs="Times New Roman"/>
          <w:szCs w:val="24"/>
        </w:rPr>
        <w:t xml:space="preserve"> fondo. Jis neturėtų būti finansuojamas kitų Daugiametės finansinės programos instrumentų</w:t>
      </w:r>
      <w:r w:rsidR="00933C22" w:rsidRPr="00023A5A">
        <w:rPr>
          <w:rFonts w:cs="Times New Roman"/>
          <w:szCs w:val="24"/>
        </w:rPr>
        <w:t>, prisidedan</w:t>
      </w:r>
      <w:r w:rsidR="00E64534">
        <w:rPr>
          <w:rFonts w:cs="Times New Roman"/>
          <w:szCs w:val="24"/>
        </w:rPr>
        <w:t>čių prie kovos su klimato kaita</w:t>
      </w:r>
      <w:r w:rsidR="0037142C" w:rsidRPr="00023A5A">
        <w:rPr>
          <w:rFonts w:cs="Times New Roman"/>
          <w:szCs w:val="24"/>
        </w:rPr>
        <w:t xml:space="preserve"> (ypač Sanglaudos</w:t>
      </w:r>
      <w:r w:rsidR="00933C22" w:rsidRPr="00023A5A">
        <w:rPr>
          <w:rFonts w:cs="Times New Roman"/>
          <w:szCs w:val="24"/>
        </w:rPr>
        <w:t xml:space="preserve"> politikos</w:t>
      </w:r>
      <w:r w:rsidR="0037142C" w:rsidRPr="00023A5A">
        <w:rPr>
          <w:rFonts w:cs="Times New Roman"/>
          <w:szCs w:val="24"/>
        </w:rPr>
        <w:t>)</w:t>
      </w:r>
      <w:r w:rsidR="00E64534">
        <w:rPr>
          <w:rFonts w:cs="Times New Roman"/>
          <w:szCs w:val="24"/>
        </w:rPr>
        <w:t>,</w:t>
      </w:r>
      <w:r w:rsidR="0037142C" w:rsidRPr="00023A5A">
        <w:rPr>
          <w:rFonts w:cs="Times New Roman"/>
          <w:szCs w:val="24"/>
        </w:rPr>
        <w:t xml:space="preserve"> sąskaita. </w:t>
      </w:r>
      <w:r w:rsidRPr="00023A5A">
        <w:rPr>
          <w:rFonts w:cs="Times New Roman"/>
          <w:szCs w:val="24"/>
        </w:rPr>
        <w:t>Be to, visos VN turi turėti lygias galimybes pasinaudoti šiuo fondu.</w:t>
      </w:r>
    </w:p>
    <w:p w:rsidR="0037142C" w:rsidRPr="00933C22" w:rsidRDefault="00933C22" w:rsidP="0037142C">
      <w:pPr>
        <w:spacing w:after="0" w:line="240" w:lineRule="auto"/>
        <w:contextualSpacing/>
        <w:jc w:val="both"/>
        <w:rPr>
          <w:rFonts w:cs="Times New Roman"/>
          <w:szCs w:val="24"/>
        </w:rPr>
      </w:pPr>
      <w:r w:rsidRPr="00023A5A">
        <w:rPr>
          <w:rFonts w:cs="Times New Roman"/>
          <w:szCs w:val="24"/>
        </w:rPr>
        <w:t>Remiame anglies dioksido pasienio mechanizmo </w:t>
      </w:r>
      <w:r w:rsidRPr="00023A5A">
        <w:rPr>
          <w:rFonts w:cs="Times New Roman"/>
          <w:i/>
          <w:iCs/>
          <w:szCs w:val="24"/>
        </w:rPr>
        <w:t>(„</w:t>
      </w:r>
      <w:proofErr w:type="spellStart"/>
      <w:r w:rsidRPr="00023A5A">
        <w:rPr>
          <w:rFonts w:cs="Times New Roman"/>
          <w:i/>
          <w:iCs/>
          <w:szCs w:val="24"/>
        </w:rPr>
        <w:t>carbon</w:t>
      </w:r>
      <w:proofErr w:type="spellEnd"/>
      <w:r w:rsidRPr="00023A5A">
        <w:rPr>
          <w:rFonts w:cs="Times New Roman"/>
          <w:i/>
          <w:iCs/>
          <w:szCs w:val="24"/>
        </w:rPr>
        <w:t xml:space="preserve"> </w:t>
      </w:r>
      <w:proofErr w:type="spellStart"/>
      <w:r w:rsidRPr="00023A5A">
        <w:rPr>
          <w:rFonts w:cs="Times New Roman"/>
          <w:i/>
          <w:iCs/>
          <w:szCs w:val="24"/>
        </w:rPr>
        <w:t>border</w:t>
      </w:r>
      <w:proofErr w:type="spellEnd"/>
      <w:r w:rsidRPr="00023A5A">
        <w:rPr>
          <w:rFonts w:cs="Times New Roman"/>
          <w:i/>
          <w:iCs/>
          <w:szCs w:val="24"/>
        </w:rPr>
        <w:t xml:space="preserve"> </w:t>
      </w:r>
      <w:proofErr w:type="spellStart"/>
      <w:r w:rsidRPr="00023A5A">
        <w:rPr>
          <w:rFonts w:cs="Times New Roman"/>
          <w:i/>
          <w:iCs/>
          <w:szCs w:val="24"/>
        </w:rPr>
        <w:t>adjustment</w:t>
      </w:r>
      <w:proofErr w:type="spellEnd"/>
      <w:r w:rsidRPr="00023A5A">
        <w:rPr>
          <w:rFonts w:cs="Times New Roman"/>
          <w:i/>
          <w:iCs/>
          <w:szCs w:val="24"/>
        </w:rPr>
        <w:t xml:space="preserve"> </w:t>
      </w:r>
      <w:proofErr w:type="spellStart"/>
      <w:r w:rsidRPr="00023A5A">
        <w:rPr>
          <w:rFonts w:cs="Times New Roman"/>
          <w:i/>
          <w:iCs/>
          <w:szCs w:val="24"/>
        </w:rPr>
        <w:t>mechanism</w:t>
      </w:r>
      <w:proofErr w:type="spellEnd"/>
      <w:r w:rsidRPr="00023A5A">
        <w:rPr>
          <w:rFonts w:cs="Times New Roman"/>
          <w:i/>
          <w:iCs/>
          <w:szCs w:val="24"/>
        </w:rPr>
        <w:t>“)</w:t>
      </w:r>
      <w:r w:rsidRPr="00023A5A">
        <w:rPr>
          <w:rFonts w:cs="Times New Roman"/>
          <w:szCs w:val="24"/>
        </w:rPr>
        <w:t xml:space="preserve"> iniciatyvą, esame suinteresuoti konkurencinių sąlygų suvienodinimu mūsų gamintojams ir laukiame išsamaus </w:t>
      </w:r>
      <w:r w:rsidRPr="00023A5A">
        <w:rPr>
          <w:rFonts w:cs="Times New Roman"/>
          <w:szCs w:val="24"/>
        </w:rPr>
        <w:lastRenderedPageBreak/>
        <w:t>Europos Komisijos vertinimo ir diskusijų šiuo klausimu. Labai svarbu, kad pasiūlymas dėl anglies dioksido pasienio mechanizmo atitiktų PPO reikalavimus, nesukurtų nepageidaujamos naštos ES verslui ir numatytų platų ES pramonės sektorių padengimą (Lietuvai itin aktualus chemijos pramonės, ypač trąšų sektoriaus, įtraukimas).</w:t>
      </w:r>
    </w:p>
    <w:p w:rsidR="008022D7" w:rsidRDefault="008022D7" w:rsidP="00650E80">
      <w:pPr>
        <w:spacing w:after="0" w:line="240" w:lineRule="auto"/>
        <w:rPr>
          <w:rFonts w:eastAsia="Calibri" w:cs="Times New Roman"/>
          <w:szCs w:val="24"/>
        </w:rPr>
      </w:pPr>
    </w:p>
    <w:p w:rsidR="00443785" w:rsidRPr="000A3F18" w:rsidRDefault="00443785" w:rsidP="00650E80">
      <w:pPr>
        <w:spacing w:after="0" w:line="240" w:lineRule="auto"/>
        <w:rPr>
          <w:rFonts w:eastAsia="Calibri" w:cs="Times New Roman"/>
          <w:szCs w:val="24"/>
        </w:rPr>
      </w:pPr>
    </w:p>
    <w:p w:rsidR="003B0320" w:rsidRPr="000A3F18" w:rsidRDefault="003B0320" w:rsidP="00E64534">
      <w:pPr>
        <w:spacing w:after="0" w:line="240" w:lineRule="auto"/>
        <w:jc w:val="center"/>
        <w:rPr>
          <w:rFonts w:eastAsia="Calibri" w:cs="Times New Roman"/>
          <w:b/>
          <w:szCs w:val="24"/>
        </w:rPr>
      </w:pPr>
      <w:r w:rsidRPr="000A3F18">
        <w:rPr>
          <w:rFonts w:eastAsia="Calibri" w:cs="Times New Roman"/>
          <w:b/>
          <w:szCs w:val="24"/>
        </w:rPr>
        <w:t>PAŽYMA dėl š.</w:t>
      </w:r>
      <w:r w:rsidR="00BE0B4D" w:rsidRPr="000A3F18">
        <w:rPr>
          <w:rFonts w:eastAsia="Calibri" w:cs="Times New Roman"/>
          <w:b/>
          <w:szCs w:val="24"/>
        </w:rPr>
        <w:t xml:space="preserve"> </w:t>
      </w:r>
      <w:r w:rsidRPr="000A3F18">
        <w:rPr>
          <w:rFonts w:eastAsia="Calibri" w:cs="Times New Roman"/>
          <w:b/>
          <w:szCs w:val="24"/>
        </w:rPr>
        <w:t xml:space="preserve">m. </w:t>
      </w:r>
      <w:r w:rsidR="00BE0B4D" w:rsidRPr="000A3F18">
        <w:rPr>
          <w:rFonts w:eastAsia="Calibri" w:cs="Times New Roman"/>
          <w:b/>
          <w:szCs w:val="24"/>
        </w:rPr>
        <w:t>sausio 20</w:t>
      </w:r>
      <w:r w:rsidRPr="000A3F18">
        <w:rPr>
          <w:rFonts w:eastAsia="Calibri" w:cs="Times New Roman"/>
          <w:b/>
          <w:szCs w:val="24"/>
        </w:rPr>
        <w:t xml:space="preserve"> d. EURO GRUPĖS klausimų</w:t>
      </w:r>
    </w:p>
    <w:p w:rsidR="00B431FD" w:rsidRPr="000A3F18" w:rsidRDefault="00B431FD" w:rsidP="00E64534">
      <w:pPr>
        <w:spacing w:after="0" w:line="240" w:lineRule="auto"/>
        <w:rPr>
          <w:rFonts w:eastAsia="Calibri" w:cs="Times New Roman"/>
          <w:szCs w:val="24"/>
        </w:rPr>
      </w:pPr>
    </w:p>
    <w:p w:rsidR="003C47D0" w:rsidRPr="000A3F18" w:rsidRDefault="003C47D0" w:rsidP="00E64534">
      <w:pPr>
        <w:spacing w:after="0" w:line="240" w:lineRule="auto"/>
        <w:jc w:val="center"/>
        <w:rPr>
          <w:rFonts w:eastAsia="Calibri" w:cs="Times New Roman"/>
          <w:szCs w:val="24"/>
        </w:rPr>
      </w:pPr>
    </w:p>
    <w:p w:rsidR="003C47D0" w:rsidRPr="000A3F18" w:rsidRDefault="00B053E2" w:rsidP="00E64534">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0A3F18">
        <w:rPr>
          <w:rFonts w:cs="Times New Roman"/>
          <w:b/>
          <w:szCs w:val="24"/>
        </w:rPr>
        <w:t>Ta</w:t>
      </w:r>
      <w:r w:rsidR="00D63504" w:rsidRPr="000A3F18">
        <w:rPr>
          <w:rFonts w:cs="Times New Roman"/>
          <w:b/>
          <w:szCs w:val="24"/>
        </w:rPr>
        <w:t xml:space="preserve">rptautinio valiutos fondo </w:t>
      </w:r>
      <w:r w:rsidRPr="000A3F18">
        <w:rPr>
          <w:rFonts w:cs="Times New Roman"/>
          <w:b/>
          <w:szCs w:val="24"/>
        </w:rPr>
        <w:t>misija euro zonoje</w:t>
      </w:r>
    </w:p>
    <w:p w:rsidR="003C47D0" w:rsidRPr="000A3F18" w:rsidRDefault="003C47D0" w:rsidP="00E64534">
      <w:pPr>
        <w:spacing w:after="0" w:line="240" w:lineRule="auto"/>
        <w:jc w:val="both"/>
        <w:rPr>
          <w:rFonts w:cs="Times New Roman"/>
          <w:b/>
          <w:szCs w:val="24"/>
          <w:u w:val="single"/>
          <w:lang w:eastAsia="lt-LT" w:bidi="lt-LT"/>
        </w:rPr>
      </w:pPr>
    </w:p>
    <w:p w:rsidR="00F65E92" w:rsidRPr="000A3F18" w:rsidRDefault="003C47D0" w:rsidP="00E64534">
      <w:pPr>
        <w:spacing w:after="0" w:line="240" w:lineRule="auto"/>
        <w:contextualSpacing/>
        <w:jc w:val="both"/>
        <w:rPr>
          <w:rFonts w:eastAsia="Calibri"/>
          <w:kern w:val="3"/>
          <w:szCs w:val="24"/>
          <w:lang w:bidi="hi-IN"/>
        </w:rPr>
      </w:pPr>
      <w:r w:rsidRPr="000A3F18">
        <w:rPr>
          <w:rFonts w:cs="Times New Roman"/>
          <w:b/>
          <w:szCs w:val="24"/>
          <w:u w:val="single"/>
          <w:lang w:eastAsia="lt-LT" w:bidi="lt-LT"/>
        </w:rPr>
        <w:t>Klausimo esmė.</w:t>
      </w:r>
      <w:r w:rsidRPr="000A3F18">
        <w:rPr>
          <w:rFonts w:cs="Times New Roman"/>
          <w:szCs w:val="24"/>
          <w:lang w:eastAsia="lt-LT" w:bidi="lt-LT"/>
        </w:rPr>
        <w:t xml:space="preserve"> </w:t>
      </w:r>
      <w:r w:rsidR="00F65E92" w:rsidRPr="000A3F18">
        <w:rPr>
          <w:rFonts w:eastAsia="Calibri"/>
          <w:kern w:val="3"/>
          <w:szCs w:val="24"/>
          <w:lang w:bidi="hi-IN"/>
        </w:rPr>
        <w:t xml:space="preserve">2019 m. lapkričio mėn. vyko Tarptautinio valiutos fondo (TVF) misija, kurios metu TVF aiškinosi euro zonos ekonominę situaciją. TVF </w:t>
      </w:r>
      <w:r w:rsidR="00372175" w:rsidRPr="000A3F18">
        <w:rPr>
          <w:rFonts w:eastAsia="Calibri"/>
          <w:kern w:val="3"/>
          <w:szCs w:val="24"/>
          <w:lang w:bidi="hi-IN"/>
        </w:rPr>
        <w:t>išvados</w:t>
      </w:r>
      <w:r w:rsidR="00F65E92" w:rsidRPr="000A3F18">
        <w:rPr>
          <w:rFonts w:eastAsia="Calibri"/>
          <w:kern w:val="3"/>
          <w:szCs w:val="24"/>
          <w:lang w:bidi="hi-IN"/>
        </w:rPr>
        <w:t xml:space="preserve">: </w:t>
      </w:r>
    </w:p>
    <w:p w:rsidR="00F65E92" w:rsidRPr="000A3F18" w:rsidRDefault="00F65E92" w:rsidP="00E64534">
      <w:pPr>
        <w:spacing w:after="0" w:line="240" w:lineRule="auto"/>
        <w:contextualSpacing/>
        <w:jc w:val="both"/>
        <w:rPr>
          <w:rFonts w:eastAsia="Calibri"/>
          <w:kern w:val="3"/>
          <w:szCs w:val="24"/>
          <w:lang w:bidi="hi-IN"/>
        </w:rPr>
      </w:pPr>
      <w:r w:rsidRPr="000A3F18">
        <w:rPr>
          <w:rFonts w:eastAsia="Calibri"/>
          <w:b/>
          <w:kern w:val="3"/>
          <w:szCs w:val="24"/>
          <w:lang w:bidi="hi-IN"/>
        </w:rPr>
        <w:t>Makroekonominės perspektyvos.</w:t>
      </w:r>
      <w:r w:rsidRPr="000A3F18">
        <w:rPr>
          <w:rFonts w:eastAsia="Calibri"/>
          <w:kern w:val="3"/>
          <w:szCs w:val="24"/>
          <w:lang w:bidi="hi-IN"/>
        </w:rPr>
        <w:t xml:space="preserve"> Ekonominio augimo perspektyvos vis dar žemos, tačiau TVF tikisi šiek tiek didesnio ekonominio augimo nei </w:t>
      </w:r>
      <w:r w:rsidR="00804A77" w:rsidRPr="000A3F18">
        <w:rPr>
          <w:rFonts w:eastAsia="Calibri"/>
          <w:kern w:val="3"/>
          <w:szCs w:val="24"/>
          <w:lang w:bidi="hi-IN"/>
        </w:rPr>
        <w:t>Europos centrinis bankas (</w:t>
      </w:r>
      <w:r w:rsidRPr="000A3F18">
        <w:rPr>
          <w:rFonts w:eastAsia="Calibri"/>
          <w:kern w:val="3"/>
          <w:szCs w:val="24"/>
          <w:lang w:bidi="hi-IN"/>
        </w:rPr>
        <w:t>ECB</w:t>
      </w:r>
      <w:r w:rsidR="00804A77" w:rsidRPr="000A3F18">
        <w:rPr>
          <w:rFonts w:eastAsia="Calibri"/>
          <w:kern w:val="3"/>
          <w:szCs w:val="24"/>
          <w:lang w:bidi="hi-IN"/>
        </w:rPr>
        <w:t xml:space="preserve">) ir </w:t>
      </w:r>
      <w:r w:rsidRPr="000A3F18">
        <w:rPr>
          <w:rFonts w:eastAsia="Calibri"/>
          <w:kern w:val="3"/>
          <w:szCs w:val="24"/>
          <w:lang w:bidi="hi-IN"/>
        </w:rPr>
        <w:t>K</w:t>
      </w:r>
      <w:r w:rsidR="00804A77" w:rsidRPr="000A3F18">
        <w:rPr>
          <w:rFonts w:eastAsia="Calibri"/>
          <w:kern w:val="3"/>
          <w:szCs w:val="24"/>
          <w:lang w:bidi="hi-IN"/>
        </w:rPr>
        <w:t>omisija</w:t>
      </w:r>
      <w:r w:rsidRPr="000A3F18">
        <w:rPr>
          <w:rFonts w:eastAsia="Calibri"/>
          <w:kern w:val="3"/>
          <w:szCs w:val="24"/>
          <w:lang w:bidi="hi-IN"/>
        </w:rPr>
        <w:t xml:space="preserve"> dėl tikėtino išorinės paklausos atsigavimo. </w:t>
      </w:r>
    </w:p>
    <w:p w:rsidR="00F65E92" w:rsidRPr="000A3F18" w:rsidRDefault="00F65E92" w:rsidP="00E64534">
      <w:pPr>
        <w:spacing w:after="0" w:line="240" w:lineRule="auto"/>
        <w:contextualSpacing/>
        <w:jc w:val="both"/>
        <w:rPr>
          <w:rFonts w:eastAsia="Calibri"/>
          <w:kern w:val="3"/>
          <w:szCs w:val="24"/>
          <w:lang w:bidi="hi-IN"/>
        </w:rPr>
      </w:pPr>
      <w:r w:rsidRPr="000A3F18">
        <w:rPr>
          <w:rFonts w:eastAsia="Calibri"/>
          <w:b/>
          <w:kern w:val="3"/>
          <w:szCs w:val="24"/>
          <w:lang w:bidi="hi-IN"/>
        </w:rPr>
        <w:t>Fiskalinė politika.</w:t>
      </w:r>
      <w:r w:rsidRPr="000A3F18">
        <w:rPr>
          <w:rFonts w:eastAsia="Calibri"/>
          <w:kern w:val="3"/>
          <w:szCs w:val="24"/>
          <w:lang w:bidi="hi-IN"/>
        </w:rPr>
        <w:t xml:space="preserve"> Kol kas TVF nemato poreikio koordinuotam fiskaliniam stimului. Šiame etape aukštas skolas turinčioms euro zonos VN būtų tinkamiausia neutrali fiskalinė politika. TVF mano, kad ateinančios </w:t>
      </w:r>
      <w:proofErr w:type="spellStart"/>
      <w:r w:rsidRPr="000A3F18">
        <w:rPr>
          <w:rFonts w:eastAsia="Calibri"/>
          <w:kern w:val="3"/>
          <w:szCs w:val="24"/>
          <w:lang w:bidi="hi-IN"/>
        </w:rPr>
        <w:t>six-pack</w:t>
      </w:r>
      <w:proofErr w:type="spellEnd"/>
      <w:r w:rsidRPr="000A3F18">
        <w:rPr>
          <w:rFonts w:eastAsia="Calibri"/>
          <w:kern w:val="3"/>
          <w:szCs w:val="24"/>
          <w:lang w:bidi="hi-IN"/>
        </w:rPr>
        <w:t xml:space="preserve"> ir </w:t>
      </w:r>
      <w:proofErr w:type="spellStart"/>
      <w:r w:rsidRPr="000A3F18">
        <w:rPr>
          <w:rFonts w:eastAsia="Calibri"/>
          <w:kern w:val="3"/>
          <w:szCs w:val="24"/>
          <w:lang w:bidi="hi-IN"/>
        </w:rPr>
        <w:t>two-pack</w:t>
      </w:r>
      <w:proofErr w:type="spellEnd"/>
      <w:r w:rsidRPr="000A3F18">
        <w:rPr>
          <w:rFonts w:eastAsia="Calibri"/>
          <w:kern w:val="3"/>
          <w:szCs w:val="24"/>
          <w:lang w:bidi="hi-IN"/>
        </w:rPr>
        <w:t xml:space="preserve"> peržiūros rezultatas bus dar viena fiskalinių taisyklių interpretacija, nes sutarti dėl naujų taisyklių bus labai sunku.</w:t>
      </w:r>
    </w:p>
    <w:p w:rsidR="00F65E92" w:rsidRPr="000A3F18" w:rsidRDefault="00F65E92" w:rsidP="00F65E92">
      <w:pPr>
        <w:spacing w:after="0" w:line="240" w:lineRule="auto"/>
        <w:contextualSpacing/>
        <w:jc w:val="both"/>
        <w:rPr>
          <w:rFonts w:eastAsia="Calibri"/>
          <w:kern w:val="3"/>
          <w:szCs w:val="24"/>
          <w:lang w:bidi="hi-IN"/>
        </w:rPr>
      </w:pPr>
      <w:r w:rsidRPr="000A3F18">
        <w:rPr>
          <w:rFonts w:eastAsia="Calibri"/>
          <w:b/>
          <w:kern w:val="3"/>
          <w:szCs w:val="24"/>
          <w:lang w:bidi="hi-IN"/>
        </w:rPr>
        <w:t>Pinigų politika.</w:t>
      </w:r>
      <w:r w:rsidRPr="000A3F18">
        <w:rPr>
          <w:rFonts w:eastAsia="Calibri"/>
          <w:kern w:val="3"/>
          <w:szCs w:val="24"/>
          <w:lang w:bidi="hi-IN"/>
        </w:rPr>
        <w:t xml:space="preserve"> Infliacijos perspektyvos yra vangios, TVF remia ECB politiką ir pastaruosius sprendimus. Misijos metu ECB minėjo, kad esama politika pakankama ir tai, kad dar </w:t>
      </w:r>
      <w:r w:rsidR="000A3F18">
        <w:rPr>
          <w:rFonts w:eastAsia="Calibri"/>
          <w:kern w:val="3"/>
          <w:szCs w:val="24"/>
          <w:lang w:bidi="hi-IN"/>
        </w:rPr>
        <w:t>yra erdvės</w:t>
      </w:r>
      <w:r w:rsidRPr="000A3F18">
        <w:rPr>
          <w:rFonts w:eastAsia="Calibri"/>
          <w:kern w:val="3"/>
          <w:szCs w:val="24"/>
          <w:lang w:bidi="hi-IN"/>
        </w:rPr>
        <w:t xml:space="preserve"> laisvesnei pinigų politikai jeigu jos prireiktų.</w:t>
      </w:r>
    </w:p>
    <w:p w:rsidR="00F65E92" w:rsidRPr="000A3F18" w:rsidRDefault="00F65E92" w:rsidP="00F65E92">
      <w:pPr>
        <w:spacing w:after="0" w:line="240" w:lineRule="auto"/>
        <w:contextualSpacing/>
        <w:jc w:val="both"/>
        <w:rPr>
          <w:rFonts w:eastAsia="Calibri"/>
          <w:kern w:val="3"/>
          <w:szCs w:val="24"/>
          <w:lang w:bidi="hi-IN"/>
        </w:rPr>
      </w:pPr>
      <w:r w:rsidRPr="000A3F18">
        <w:rPr>
          <w:rFonts w:eastAsia="Calibri"/>
          <w:b/>
          <w:kern w:val="3"/>
          <w:szCs w:val="24"/>
          <w:lang w:bidi="hi-IN"/>
        </w:rPr>
        <w:t>Kiti politiniai prioritetai.</w:t>
      </w:r>
      <w:r w:rsidRPr="000A3F18">
        <w:rPr>
          <w:rFonts w:eastAsia="Calibri"/>
          <w:kern w:val="3"/>
          <w:szCs w:val="24"/>
          <w:lang w:bidi="hi-IN"/>
        </w:rPr>
        <w:t xml:space="preserve"> Pažanga ties euro zonos architektūros reformomis išlieka žema, tačiau yra teigiamų ženklų Bankų sąjungos srityje. TVF nuomone, šiuo metu tobulinant kovos su pinigų plovimu koordinavimą yra vietos įkurti centrinę kovos su pinigų plovimu instituciją.</w:t>
      </w:r>
    </w:p>
    <w:p w:rsidR="00F65E92" w:rsidRPr="000A3F18" w:rsidRDefault="003C47D0" w:rsidP="00F65E92">
      <w:pPr>
        <w:spacing w:after="0" w:line="240" w:lineRule="auto"/>
        <w:contextualSpacing/>
        <w:jc w:val="both"/>
        <w:rPr>
          <w:rFonts w:eastAsia="Calibri"/>
          <w:kern w:val="3"/>
          <w:szCs w:val="24"/>
          <w:lang w:bidi="hi-IN"/>
        </w:rPr>
      </w:pPr>
      <w:r w:rsidRPr="000A3F18">
        <w:rPr>
          <w:rFonts w:cs="Times New Roman"/>
          <w:b/>
          <w:szCs w:val="24"/>
          <w:u w:val="single"/>
          <w:lang w:eastAsia="lt-LT" w:bidi="lt-LT"/>
        </w:rPr>
        <w:t>Lietuvos pozicija.</w:t>
      </w:r>
      <w:r w:rsidRPr="000A3F18">
        <w:rPr>
          <w:rFonts w:cs="Times New Roman"/>
          <w:szCs w:val="24"/>
          <w:lang w:eastAsia="lt-LT" w:bidi="lt-LT"/>
        </w:rPr>
        <w:t xml:space="preserve"> </w:t>
      </w:r>
      <w:r w:rsidR="00F65E92" w:rsidRPr="000A3F18">
        <w:rPr>
          <w:rFonts w:eastAsia="Calibri"/>
          <w:kern w:val="3"/>
          <w:szCs w:val="24"/>
          <w:lang w:bidi="hi-IN"/>
        </w:rPr>
        <w:t>Pritariame TVF išvadoms.</w:t>
      </w:r>
    </w:p>
    <w:p w:rsidR="003C47D0" w:rsidRPr="000A3F18" w:rsidRDefault="003C47D0" w:rsidP="00F65E92">
      <w:pPr>
        <w:spacing w:after="0" w:line="240" w:lineRule="auto"/>
        <w:jc w:val="both"/>
        <w:rPr>
          <w:szCs w:val="24"/>
        </w:rPr>
      </w:pPr>
    </w:p>
    <w:p w:rsidR="00B64BD5" w:rsidRPr="000A3F18" w:rsidRDefault="00B64BD5" w:rsidP="00B64BD5">
      <w:pPr>
        <w:tabs>
          <w:tab w:val="left" w:pos="426"/>
          <w:tab w:val="left" w:pos="567"/>
        </w:tabs>
        <w:spacing w:after="0" w:line="240" w:lineRule="auto"/>
        <w:jc w:val="both"/>
        <w:rPr>
          <w:szCs w:val="24"/>
        </w:rPr>
      </w:pPr>
    </w:p>
    <w:p w:rsidR="00B431FD" w:rsidRPr="000A3F18" w:rsidRDefault="002D5289" w:rsidP="00B64BD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0A3F18">
        <w:rPr>
          <w:rFonts w:cs="Times New Roman"/>
          <w:b/>
          <w:szCs w:val="24"/>
        </w:rPr>
        <w:t>Atnaujintas Portugalijos biudžeto plano projektas</w:t>
      </w:r>
    </w:p>
    <w:p w:rsidR="003C47D0" w:rsidRPr="000A3F18" w:rsidRDefault="003C47D0" w:rsidP="00B64BD5">
      <w:pPr>
        <w:spacing w:after="0" w:line="240" w:lineRule="auto"/>
        <w:jc w:val="both"/>
        <w:rPr>
          <w:rFonts w:cs="Times New Roman"/>
          <w:szCs w:val="24"/>
          <w:lang w:eastAsia="lt-LT" w:bidi="lt-LT"/>
        </w:rPr>
      </w:pPr>
    </w:p>
    <w:p w:rsidR="002D3BF6" w:rsidRPr="000A3F18" w:rsidRDefault="000B19FB" w:rsidP="002D3BF6">
      <w:pPr>
        <w:spacing w:after="0" w:line="240" w:lineRule="auto"/>
        <w:contextualSpacing/>
        <w:jc w:val="both"/>
        <w:rPr>
          <w:rFonts w:eastAsia="Calibri"/>
          <w:kern w:val="3"/>
          <w:szCs w:val="24"/>
          <w:lang w:bidi="hi-IN"/>
        </w:rPr>
      </w:pPr>
      <w:r w:rsidRPr="000A3F18">
        <w:rPr>
          <w:rFonts w:cs="Times New Roman"/>
          <w:b/>
          <w:szCs w:val="24"/>
          <w:u w:val="single"/>
          <w:lang w:eastAsia="lt-LT" w:bidi="lt-LT"/>
        </w:rPr>
        <w:t>Klausimo esmė.</w:t>
      </w:r>
      <w:r w:rsidRPr="000A3F18">
        <w:rPr>
          <w:rFonts w:cs="Times New Roman"/>
          <w:szCs w:val="24"/>
          <w:lang w:eastAsia="lt-LT" w:bidi="lt-LT"/>
        </w:rPr>
        <w:t xml:space="preserve"> </w:t>
      </w:r>
      <w:r w:rsidR="002D3BF6" w:rsidRPr="000A3F18">
        <w:rPr>
          <w:rFonts w:eastAsia="Calibri"/>
          <w:kern w:val="3"/>
          <w:szCs w:val="24"/>
          <w:lang w:bidi="hi-IN"/>
        </w:rPr>
        <w:t xml:space="preserve">2019 m. spalio 15 d. Portugalija pateikė savo biudžeto plano projektą (BPP). Komisija lapkričio 20 d. pateikė </w:t>
      </w:r>
      <w:r w:rsidR="00372175" w:rsidRPr="000A3F18">
        <w:rPr>
          <w:rFonts w:eastAsia="Calibri"/>
          <w:kern w:val="3"/>
          <w:szCs w:val="24"/>
          <w:lang w:bidi="hi-IN"/>
        </w:rPr>
        <w:t xml:space="preserve">nuomonę, kad </w:t>
      </w:r>
      <w:r w:rsidR="002D3BF6" w:rsidRPr="000A3F18">
        <w:rPr>
          <w:rFonts w:eastAsia="Calibri"/>
          <w:kern w:val="3"/>
          <w:szCs w:val="24"/>
          <w:lang w:bidi="hi-IN"/>
        </w:rPr>
        <w:t xml:space="preserve">Portugalijos BPP rizikuoja neatitikti Stabilumo ir augimo pakto (SAP) reikalavimų dėl tikėtino reikšmingo nuokrypio nuo vidutinio laikotarpio tikslo 2019 ir 2020 m. Taip pat, Komisija pažymėjo, kad Portugalija padarė ribotą pažangą vykdant 2019 m. fiskalines Tarybos rekomendacijas. </w:t>
      </w:r>
    </w:p>
    <w:p w:rsidR="002D3BF6" w:rsidRPr="000A3F18" w:rsidRDefault="002D3BF6" w:rsidP="002D3BF6">
      <w:pPr>
        <w:spacing w:after="0" w:line="240" w:lineRule="auto"/>
        <w:contextualSpacing/>
        <w:jc w:val="both"/>
        <w:rPr>
          <w:rFonts w:eastAsia="Calibri"/>
          <w:kern w:val="3"/>
          <w:szCs w:val="24"/>
          <w:lang w:bidi="hi-IN"/>
        </w:rPr>
      </w:pPr>
      <w:r w:rsidRPr="000A3F18">
        <w:rPr>
          <w:rFonts w:eastAsia="Calibri"/>
          <w:kern w:val="3"/>
          <w:szCs w:val="24"/>
          <w:lang w:bidi="hi-IN"/>
        </w:rPr>
        <w:t>Gruodžio 17 d. Portugalija pateikė atnaujintą BPP. Komisijos analizės ir įvertinimo dėl atnaujinto BPP dar nėra.</w:t>
      </w:r>
    </w:p>
    <w:p w:rsidR="002D3BF6" w:rsidRPr="000A3F18" w:rsidRDefault="00AE7ADF" w:rsidP="002D3BF6">
      <w:pPr>
        <w:spacing w:after="0" w:line="240" w:lineRule="auto"/>
        <w:contextualSpacing/>
        <w:jc w:val="both"/>
        <w:rPr>
          <w:rFonts w:eastAsia="Calibri"/>
          <w:kern w:val="3"/>
          <w:szCs w:val="24"/>
          <w:lang w:bidi="hi-IN"/>
        </w:rPr>
      </w:pPr>
      <w:r w:rsidRPr="000A3F18">
        <w:rPr>
          <w:rFonts w:cs="Times New Roman"/>
          <w:b/>
          <w:szCs w:val="24"/>
          <w:u w:val="single"/>
          <w:lang w:eastAsia="lt-LT"/>
        </w:rPr>
        <w:t>Lietuvos pozicija.</w:t>
      </w:r>
      <w:r w:rsidRPr="000A3F18">
        <w:rPr>
          <w:rFonts w:cs="Times New Roman"/>
          <w:b/>
          <w:szCs w:val="24"/>
          <w:lang w:eastAsia="lt-LT"/>
        </w:rPr>
        <w:t xml:space="preserve"> </w:t>
      </w:r>
      <w:r w:rsidR="002D3BF6" w:rsidRPr="000A3F18">
        <w:rPr>
          <w:rFonts w:eastAsia="Calibri"/>
          <w:kern w:val="3"/>
          <w:szCs w:val="24"/>
          <w:lang w:bidi="hi-IN"/>
        </w:rPr>
        <w:t xml:space="preserve">Laukiame Komisijos analizės ir įvertinimo. Pasisakome už griežtą </w:t>
      </w:r>
      <w:r w:rsidR="00372175" w:rsidRPr="000A3F18">
        <w:rPr>
          <w:rFonts w:eastAsia="Calibri"/>
          <w:kern w:val="3"/>
          <w:szCs w:val="24"/>
          <w:lang w:bidi="hi-IN"/>
        </w:rPr>
        <w:t>SAP</w:t>
      </w:r>
      <w:r w:rsidR="002D3BF6" w:rsidRPr="000A3F18">
        <w:rPr>
          <w:rFonts w:eastAsia="Calibri"/>
          <w:kern w:val="3"/>
          <w:szCs w:val="24"/>
          <w:lang w:bidi="hi-IN"/>
        </w:rPr>
        <w:t xml:space="preserve"> laikymąsi.</w:t>
      </w:r>
    </w:p>
    <w:p w:rsidR="00AE7ADF" w:rsidRPr="00E64534" w:rsidRDefault="00AE7ADF" w:rsidP="00AE7ADF">
      <w:pPr>
        <w:spacing w:after="0" w:line="240" w:lineRule="auto"/>
        <w:jc w:val="both"/>
        <w:rPr>
          <w:rFonts w:eastAsia="Calibri" w:cs="Times New Roman"/>
          <w:b/>
          <w:szCs w:val="24"/>
        </w:rPr>
      </w:pPr>
    </w:p>
    <w:p w:rsidR="00E74E3D" w:rsidRPr="000A3F18" w:rsidRDefault="00E74E3D" w:rsidP="00AE7ADF">
      <w:pPr>
        <w:spacing w:after="0" w:line="240" w:lineRule="auto"/>
        <w:jc w:val="both"/>
        <w:rPr>
          <w:rFonts w:eastAsia="Calibri" w:cs="Times New Roman"/>
          <w:b/>
          <w:szCs w:val="24"/>
        </w:rPr>
      </w:pPr>
    </w:p>
    <w:p w:rsidR="00AE7ADF" w:rsidRPr="000A3F18" w:rsidRDefault="00D63504" w:rsidP="00AE7ADF">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sidRPr="000A3F18">
        <w:rPr>
          <w:b/>
          <w:szCs w:val="24"/>
          <w:lang w:bidi="lt-LT"/>
        </w:rPr>
        <w:t xml:space="preserve">Gruodžio mėn. </w:t>
      </w:r>
      <w:r w:rsidR="00065F6A" w:rsidRPr="000A3F18">
        <w:rPr>
          <w:b/>
          <w:szCs w:val="24"/>
          <w:lang w:bidi="lt-LT"/>
        </w:rPr>
        <w:t>Europos Sąjungos vadovų susitikimo</w:t>
      </w:r>
      <w:r w:rsidR="0016384B" w:rsidRPr="000A3F18">
        <w:rPr>
          <w:b/>
          <w:szCs w:val="24"/>
          <w:lang w:bidi="lt-LT"/>
        </w:rPr>
        <w:t xml:space="preserve"> sprendimai dėl Ekonominės pinigų sąjungos </w:t>
      </w:r>
    </w:p>
    <w:p w:rsidR="006022CA" w:rsidRPr="000A3F18" w:rsidRDefault="006022CA" w:rsidP="00443785">
      <w:pPr>
        <w:autoSpaceDE w:val="0"/>
        <w:autoSpaceDN w:val="0"/>
        <w:adjustRightInd w:val="0"/>
        <w:spacing w:after="0" w:line="240" w:lineRule="auto"/>
        <w:jc w:val="both"/>
        <w:rPr>
          <w:rFonts w:cs="Times New Roman"/>
          <w:szCs w:val="24"/>
          <w:lang w:bidi="lt-LT"/>
        </w:rPr>
      </w:pPr>
    </w:p>
    <w:p w:rsidR="0049353A" w:rsidRPr="000A3F18" w:rsidRDefault="000B19FB" w:rsidP="00443785">
      <w:pPr>
        <w:autoSpaceDE w:val="0"/>
        <w:autoSpaceDN w:val="0"/>
        <w:adjustRightInd w:val="0"/>
        <w:spacing w:after="0" w:line="240" w:lineRule="auto"/>
        <w:jc w:val="both"/>
        <w:rPr>
          <w:szCs w:val="24"/>
        </w:rPr>
      </w:pPr>
      <w:r w:rsidRPr="000A3F18">
        <w:rPr>
          <w:rFonts w:cs="Times New Roman"/>
          <w:b/>
          <w:szCs w:val="24"/>
          <w:u w:val="single"/>
          <w:lang w:eastAsia="lt-LT" w:bidi="lt-LT"/>
        </w:rPr>
        <w:t>Klausimo esmė.</w:t>
      </w:r>
      <w:r w:rsidRPr="000A3F18">
        <w:rPr>
          <w:rFonts w:cs="Times New Roman"/>
          <w:szCs w:val="24"/>
          <w:lang w:eastAsia="lt-LT" w:bidi="lt-LT"/>
        </w:rPr>
        <w:t xml:space="preserve"> </w:t>
      </w:r>
      <w:r w:rsidR="0049353A" w:rsidRPr="000A3F18">
        <w:rPr>
          <w:rFonts w:cs="Times New Roman"/>
          <w:szCs w:val="24"/>
          <w:lang w:bidi="lt-LT"/>
        </w:rPr>
        <w:t xml:space="preserve">Įtraukios sudėties Euro grupėje bus pristatyti 2019 m. gruodžio 13 d. Europos Sąjungos vadovų (angl. </w:t>
      </w:r>
      <w:r w:rsidR="0049353A" w:rsidRPr="000A3F18">
        <w:rPr>
          <w:rFonts w:cs="Times New Roman"/>
          <w:i/>
          <w:szCs w:val="24"/>
          <w:lang w:bidi="lt-LT"/>
        </w:rPr>
        <w:t xml:space="preserve">Euro </w:t>
      </w:r>
      <w:proofErr w:type="spellStart"/>
      <w:r w:rsidR="0049353A" w:rsidRPr="000A3F18">
        <w:rPr>
          <w:rFonts w:cs="Times New Roman"/>
          <w:i/>
          <w:szCs w:val="24"/>
          <w:lang w:bidi="lt-LT"/>
        </w:rPr>
        <w:t>Summit</w:t>
      </w:r>
      <w:proofErr w:type="spellEnd"/>
      <w:r w:rsidR="0049353A" w:rsidRPr="000A3F18">
        <w:rPr>
          <w:rFonts w:cs="Times New Roman"/>
          <w:i/>
          <w:szCs w:val="24"/>
          <w:lang w:bidi="lt-LT"/>
        </w:rPr>
        <w:t xml:space="preserve"> </w:t>
      </w:r>
      <w:proofErr w:type="spellStart"/>
      <w:r w:rsidR="0049353A" w:rsidRPr="000A3F18">
        <w:rPr>
          <w:rFonts w:cs="Times New Roman"/>
          <w:i/>
          <w:szCs w:val="24"/>
          <w:lang w:bidi="lt-LT"/>
        </w:rPr>
        <w:t>in</w:t>
      </w:r>
      <w:proofErr w:type="spellEnd"/>
      <w:r w:rsidR="0049353A" w:rsidRPr="000A3F18">
        <w:rPr>
          <w:rFonts w:cs="Times New Roman"/>
          <w:i/>
          <w:szCs w:val="24"/>
          <w:lang w:bidi="lt-LT"/>
        </w:rPr>
        <w:t xml:space="preserve"> </w:t>
      </w:r>
      <w:proofErr w:type="spellStart"/>
      <w:r w:rsidR="0049353A" w:rsidRPr="000A3F18">
        <w:rPr>
          <w:rFonts w:cs="Times New Roman"/>
          <w:i/>
          <w:szCs w:val="24"/>
          <w:lang w:bidi="lt-LT"/>
        </w:rPr>
        <w:t>inclusive</w:t>
      </w:r>
      <w:proofErr w:type="spellEnd"/>
      <w:r w:rsidR="0049353A" w:rsidRPr="000A3F18">
        <w:rPr>
          <w:rFonts w:cs="Times New Roman"/>
          <w:i/>
          <w:szCs w:val="24"/>
          <w:lang w:bidi="lt-LT"/>
        </w:rPr>
        <w:t xml:space="preserve"> </w:t>
      </w:r>
      <w:proofErr w:type="spellStart"/>
      <w:r w:rsidR="0049353A" w:rsidRPr="000A3F18">
        <w:rPr>
          <w:rFonts w:cs="Times New Roman"/>
          <w:i/>
          <w:szCs w:val="24"/>
          <w:lang w:bidi="lt-LT"/>
        </w:rPr>
        <w:t>format</w:t>
      </w:r>
      <w:proofErr w:type="spellEnd"/>
      <w:r w:rsidR="0049353A" w:rsidRPr="000A3F18">
        <w:rPr>
          <w:rFonts w:cs="Times New Roman"/>
          <w:szCs w:val="24"/>
          <w:lang w:bidi="lt-LT"/>
        </w:rPr>
        <w:t xml:space="preserve">) (toliau – EVT) susitikime priimti sprendimai dėl Ekonominės pinigų sąjungos (toliau – EPS) gilinimo. </w:t>
      </w:r>
      <w:r w:rsidR="0049353A" w:rsidRPr="000A3F18">
        <w:rPr>
          <w:szCs w:val="24"/>
        </w:rPr>
        <w:t>EVT susitikimo pareiškime palankiai įvertinta įtraukios sudėties Euro grupės pažanga, padaryta stiprinant EPS.</w:t>
      </w:r>
    </w:p>
    <w:p w:rsidR="0049353A" w:rsidRPr="000A3F18" w:rsidRDefault="0049353A" w:rsidP="00443785">
      <w:pPr>
        <w:autoSpaceDE w:val="0"/>
        <w:autoSpaceDN w:val="0"/>
        <w:adjustRightInd w:val="0"/>
        <w:spacing w:after="0" w:line="240" w:lineRule="auto"/>
        <w:jc w:val="both"/>
        <w:rPr>
          <w:rFonts w:cs="Times New Roman"/>
          <w:szCs w:val="24"/>
          <w:lang w:bidi="lt-LT"/>
        </w:rPr>
      </w:pPr>
      <w:r w:rsidRPr="000A3F18">
        <w:rPr>
          <w:szCs w:val="24"/>
        </w:rPr>
        <w:t xml:space="preserve">Euro grupei pavesta tęsti darbą, susijusį su </w:t>
      </w:r>
      <w:r w:rsidRPr="000A3F18">
        <w:rPr>
          <w:rFonts w:cs="Times New Roman"/>
          <w:szCs w:val="24"/>
          <w:lang w:bidi="lt-LT"/>
        </w:rPr>
        <w:t>Europos stabilumo mechanizmo (toliau – ESM)</w:t>
      </w:r>
      <w:r w:rsidRPr="000A3F18">
        <w:rPr>
          <w:szCs w:val="24"/>
        </w:rPr>
        <w:t xml:space="preserve"> reformų paketu,</w:t>
      </w:r>
      <w:r w:rsidRPr="000A3F18">
        <w:rPr>
          <w:rFonts w:cs="Times New Roman"/>
          <w:szCs w:val="24"/>
          <w:lang w:bidi="lt-LT"/>
        </w:rPr>
        <w:t xml:space="preserve"> siekiant susitarimo dėl nuostatų, reglamentuojančių Vyriausybės vertybinių popierių (VVP) kolektyvinių veiksmų, susijusių su VVP sąlygų keitimu, modelio keitimą iš esamo euro zonos dviejų dalių modelio </w:t>
      </w:r>
      <w:r w:rsidRPr="000A3F18">
        <w:rPr>
          <w:rFonts w:cs="Times New Roman"/>
          <w:i/>
          <w:szCs w:val="24"/>
          <w:lang w:bidi="lt-LT"/>
        </w:rPr>
        <w:t>(</w:t>
      </w:r>
      <w:proofErr w:type="spellStart"/>
      <w:r w:rsidRPr="000A3F18">
        <w:rPr>
          <w:rFonts w:cs="Times New Roman"/>
          <w:i/>
          <w:szCs w:val="24"/>
          <w:lang w:bidi="lt-LT"/>
        </w:rPr>
        <w:t>two</w:t>
      </w:r>
      <w:proofErr w:type="spellEnd"/>
      <w:r w:rsidRPr="000A3F18">
        <w:rPr>
          <w:rFonts w:cs="Times New Roman"/>
          <w:i/>
          <w:szCs w:val="24"/>
          <w:lang w:bidi="lt-LT"/>
        </w:rPr>
        <w:t xml:space="preserve"> </w:t>
      </w:r>
      <w:proofErr w:type="spellStart"/>
      <w:r w:rsidRPr="000A3F18">
        <w:rPr>
          <w:rFonts w:cs="Times New Roman"/>
          <w:i/>
          <w:szCs w:val="24"/>
          <w:lang w:bidi="lt-LT"/>
        </w:rPr>
        <w:t>limb</w:t>
      </w:r>
      <w:proofErr w:type="spellEnd"/>
      <w:r w:rsidRPr="000A3F18">
        <w:rPr>
          <w:rFonts w:cs="Times New Roman"/>
          <w:i/>
          <w:szCs w:val="24"/>
          <w:lang w:bidi="lt-LT"/>
        </w:rPr>
        <w:t xml:space="preserve"> </w:t>
      </w:r>
      <w:proofErr w:type="spellStart"/>
      <w:r w:rsidRPr="000A3F18">
        <w:rPr>
          <w:rFonts w:cs="Times New Roman"/>
          <w:i/>
          <w:szCs w:val="24"/>
          <w:lang w:bidi="lt-LT"/>
        </w:rPr>
        <w:t>CAC‘s</w:t>
      </w:r>
      <w:proofErr w:type="spellEnd"/>
      <w:r w:rsidRPr="000A3F18">
        <w:rPr>
          <w:rFonts w:cs="Times New Roman"/>
          <w:i/>
          <w:szCs w:val="24"/>
          <w:lang w:bidi="lt-LT"/>
        </w:rPr>
        <w:t xml:space="preserve"> </w:t>
      </w:r>
      <w:proofErr w:type="spellStart"/>
      <w:r w:rsidRPr="000A3F18">
        <w:rPr>
          <w:rFonts w:cs="Times New Roman"/>
          <w:i/>
          <w:szCs w:val="24"/>
          <w:lang w:bidi="lt-LT"/>
        </w:rPr>
        <w:t>model</w:t>
      </w:r>
      <w:proofErr w:type="spellEnd"/>
      <w:r w:rsidRPr="000A3F18">
        <w:rPr>
          <w:rFonts w:cs="Times New Roman"/>
          <w:i/>
          <w:szCs w:val="24"/>
          <w:lang w:bidi="lt-LT"/>
        </w:rPr>
        <w:t>)</w:t>
      </w:r>
      <w:r w:rsidRPr="000A3F18">
        <w:rPr>
          <w:rFonts w:cs="Times New Roman"/>
          <w:szCs w:val="24"/>
          <w:lang w:bidi="lt-LT"/>
        </w:rPr>
        <w:t xml:space="preserve"> į vienos dalies modelį </w:t>
      </w:r>
      <w:r w:rsidRPr="000A3F18">
        <w:rPr>
          <w:rFonts w:cs="Times New Roman"/>
          <w:i/>
          <w:szCs w:val="24"/>
          <w:lang w:bidi="lt-LT"/>
        </w:rPr>
        <w:t>(</w:t>
      </w:r>
      <w:proofErr w:type="spellStart"/>
      <w:r w:rsidRPr="000A3F18">
        <w:rPr>
          <w:rFonts w:cs="Times New Roman"/>
          <w:i/>
          <w:szCs w:val="24"/>
          <w:lang w:bidi="lt-LT"/>
        </w:rPr>
        <w:t>single</w:t>
      </w:r>
      <w:proofErr w:type="spellEnd"/>
      <w:r w:rsidRPr="000A3F18">
        <w:rPr>
          <w:rFonts w:cs="Times New Roman"/>
          <w:i/>
          <w:szCs w:val="24"/>
          <w:lang w:bidi="lt-LT"/>
        </w:rPr>
        <w:t xml:space="preserve"> </w:t>
      </w:r>
      <w:proofErr w:type="spellStart"/>
      <w:r w:rsidRPr="000A3F18">
        <w:rPr>
          <w:rFonts w:cs="Times New Roman"/>
          <w:i/>
          <w:szCs w:val="24"/>
          <w:lang w:bidi="lt-LT"/>
        </w:rPr>
        <w:t>limb</w:t>
      </w:r>
      <w:proofErr w:type="spellEnd"/>
      <w:r w:rsidRPr="000A3F18">
        <w:rPr>
          <w:rFonts w:cs="Times New Roman"/>
          <w:i/>
          <w:szCs w:val="24"/>
          <w:lang w:bidi="lt-LT"/>
        </w:rPr>
        <w:t xml:space="preserve"> </w:t>
      </w:r>
      <w:proofErr w:type="spellStart"/>
      <w:r w:rsidRPr="000A3F18">
        <w:rPr>
          <w:rFonts w:cs="Times New Roman"/>
          <w:i/>
          <w:szCs w:val="24"/>
          <w:lang w:bidi="lt-LT"/>
        </w:rPr>
        <w:t>CAC‘s</w:t>
      </w:r>
      <w:proofErr w:type="spellEnd"/>
      <w:r w:rsidRPr="000A3F18">
        <w:rPr>
          <w:rFonts w:cs="Times New Roman"/>
          <w:i/>
          <w:szCs w:val="24"/>
          <w:lang w:bidi="lt-LT"/>
        </w:rPr>
        <w:t xml:space="preserve"> </w:t>
      </w:r>
      <w:proofErr w:type="spellStart"/>
      <w:r w:rsidRPr="000A3F18">
        <w:rPr>
          <w:rFonts w:cs="Times New Roman"/>
          <w:i/>
          <w:szCs w:val="24"/>
          <w:lang w:bidi="lt-LT"/>
        </w:rPr>
        <w:t>model</w:t>
      </w:r>
      <w:proofErr w:type="spellEnd"/>
      <w:r w:rsidRPr="000A3F18">
        <w:rPr>
          <w:rFonts w:cs="Times New Roman"/>
          <w:i/>
          <w:szCs w:val="24"/>
          <w:lang w:bidi="lt-LT"/>
        </w:rPr>
        <w:t>)</w:t>
      </w:r>
      <w:r w:rsidRPr="000A3F18">
        <w:rPr>
          <w:rFonts w:cs="Times New Roman"/>
          <w:szCs w:val="24"/>
          <w:lang w:bidi="lt-LT"/>
        </w:rPr>
        <w:t>, įtraukimo į ESM sutarties priedą. Taip pat siekiant susitarimo dėl ESM veikimo, kaip bendra finansinio stabilumo stiprinimo priemonė Bendrajam pertvarkymo fondui (</w:t>
      </w:r>
      <w:proofErr w:type="spellStart"/>
      <w:r w:rsidRPr="000A3F18">
        <w:rPr>
          <w:rFonts w:cs="Times New Roman"/>
          <w:szCs w:val="24"/>
          <w:lang w:bidi="lt-LT"/>
        </w:rPr>
        <w:t>Common</w:t>
      </w:r>
      <w:proofErr w:type="spellEnd"/>
      <w:r w:rsidRPr="000A3F18">
        <w:rPr>
          <w:rFonts w:cs="Times New Roman"/>
          <w:szCs w:val="24"/>
          <w:lang w:bidi="lt-LT"/>
        </w:rPr>
        <w:t xml:space="preserve"> </w:t>
      </w:r>
      <w:proofErr w:type="spellStart"/>
      <w:r w:rsidRPr="000A3F18">
        <w:rPr>
          <w:rFonts w:cs="Times New Roman"/>
          <w:szCs w:val="24"/>
          <w:lang w:bidi="lt-LT"/>
        </w:rPr>
        <w:t>Backstop</w:t>
      </w:r>
      <w:proofErr w:type="spellEnd"/>
      <w:r w:rsidRPr="000A3F18">
        <w:rPr>
          <w:rFonts w:cs="Times New Roman"/>
          <w:szCs w:val="24"/>
          <w:lang w:bidi="lt-LT"/>
        </w:rPr>
        <w:t xml:space="preserve">), ankstyvo aktyvavimo, iš dalies keičiant </w:t>
      </w:r>
      <w:r w:rsidR="00CC5E6B" w:rsidRPr="000A3F18">
        <w:rPr>
          <w:rFonts w:cs="Times New Roman"/>
          <w:szCs w:val="24"/>
          <w:lang w:bidi="lt-LT"/>
        </w:rPr>
        <w:t>Tarpvyriausybinį susitarimą.</w:t>
      </w:r>
    </w:p>
    <w:p w:rsidR="0049353A" w:rsidRPr="000A3F18" w:rsidRDefault="0049353A" w:rsidP="00443785">
      <w:pPr>
        <w:autoSpaceDE w:val="0"/>
        <w:autoSpaceDN w:val="0"/>
        <w:adjustRightInd w:val="0"/>
        <w:spacing w:after="0" w:line="240" w:lineRule="auto"/>
        <w:jc w:val="both"/>
        <w:rPr>
          <w:rFonts w:cs="Times New Roman"/>
          <w:szCs w:val="24"/>
          <w:lang w:bidi="lt-LT"/>
        </w:rPr>
      </w:pPr>
      <w:r w:rsidRPr="000A3F18">
        <w:rPr>
          <w:rFonts w:cs="Times New Roman"/>
          <w:szCs w:val="24"/>
          <w:lang w:bidi="lt-LT"/>
        </w:rPr>
        <w:lastRenderedPageBreak/>
        <w:t>Taip pat Euro grupei pavesta toliau vykdyti darbą, susijusį su visais tolesnio Bankų sąjungos stiprinimo elementais (ypatingai dėl Europos indėlių draudimo sistemos sukūrimo).</w:t>
      </w:r>
    </w:p>
    <w:p w:rsidR="0049353A" w:rsidRPr="000A3F18" w:rsidRDefault="0049353A" w:rsidP="00443785">
      <w:pPr>
        <w:autoSpaceDE w:val="0"/>
        <w:autoSpaceDN w:val="0"/>
        <w:adjustRightInd w:val="0"/>
        <w:spacing w:after="0" w:line="240" w:lineRule="auto"/>
        <w:jc w:val="both"/>
        <w:rPr>
          <w:rFonts w:cs="Times New Roman"/>
          <w:szCs w:val="24"/>
          <w:lang w:bidi="lt-LT"/>
        </w:rPr>
      </w:pPr>
      <w:r w:rsidRPr="000A3F18">
        <w:rPr>
          <w:rFonts w:cs="Times New Roman"/>
          <w:szCs w:val="24"/>
          <w:lang w:bidi="lt-LT"/>
        </w:rPr>
        <w:t xml:space="preserve">Bus tęsiamos diskusijos dėl Biudžetinės priemonės konkurencingumui ir konvergencijai euro zonoje (BICC) Tarpvyriausybinio susitarimo (IGA) poreikio, turinio, modalumų ir dydžio. </w:t>
      </w:r>
    </w:p>
    <w:p w:rsidR="0049353A" w:rsidRPr="000A3F18" w:rsidRDefault="0049353A" w:rsidP="00443785">
      <w:pPr>
        <w:spacing w:after="0" w:line="240" w:lineRule="auto"/>
        <w:jc w:val="both"/>
        <w:rPr>
          <w:rFonts w:cs="Times New Roman"/>
          <w:szCs w:val="24"/>
          <w:lang w:eastAsia="lt-LT" w:bidi="lt-LT"/>
        </w:rPr>
      </w:pPr>
      <w:r w:rsidRPr="000A3F18">
        <w:rPr>
          <w:rFonts w:cs="Times New Roman"/>
          <w:b/>
          <w:szCs w:val="24"/>
          <w:u w:val="single"/>
          <w:lang w:eastAsia="lt-LT"/>
        </w:rPr>
        <w:t xml:space="preserve">Lietuvos pozicija. </w:t>
      </w:r>
    </w:p>
    <w:p w:rsidR="0049353A" w:rsidRPr="000A3F18" w:rsidRDefault="0049353A" w:rsidP="00443785">
      <w:pPr>
        <w:spacing w:after="0" w:line="240" w:lineRule="auto"/>
        <w:jc w:val="both"/>
        <w:rPr>
          <w:rFonts w:cs="Times New Roman"/>
          <w:szCs w:val="24"/>
          <w:lang w:eastAsia="lt-LT" w:bidi="lt-LT"/>
        </w:rPr>
      </w:pPr>
      <w:r w:rsidRPr="000A3F18">
        <w:rPr>
          <w:rFonts w:cs="Times New Roman"/>
          <w:b/>
          <w:szCs w:val="24"/>
          <w:lang w:eastAsia="lt-LT" w:bidi="lt-LT"/>
        </w:rPr>
        <w:t xml:space="preserve">Dėl </w:t>
      </w:r>
      <w:proofErr w:type="spellStart"/>
      <w:r w:rsidRPr="000A3F18">
        <w:rPr>
          <w:rFonts w:cs="Times New Roman"/>
          <w:b/>
          <w:szCs w:val="24"/>
          <w:lang w:eastAsia="lt-LT" w:bidi="lt-LT"/>
        </w:rPr>
        <w:t>CACs</w:t>
      </w:r>
      <w:proofErr w:type="spellEnd"/>
      <w:r w:rsidRPr="000A3F18">
        <w:rPr>
          <w:rFonts w:cs="Times New Roman"/>
          <w:b/>
          <w:szCs w:val="24"/>
          <w:lang w:eastAsia="lt-LT" w:bidi="lt-LT"/>
        </w:rPr>
        <w:t>:</w:t>
      </w:r>
      <w:r w:rsidRPr="000A3F18">
        <w:rPr>
          <w:rFonts w:cs="Times New Roman"/>
          <w:szCs w:val="24"/>
          <w:lang w:eastAsia="lt-LT" w:bidi="lt-LT"/>
        </w:rPr>
        <w:t xml:space="preserve"> </w:t>
      </w:r>
      <w:r w:rsidRPr="000A3F18">
        <w:rPr>
          <w:szCs w:val="24"/>
        </w:rPr>
        <w:t xml:space="preserve">iš esmės Lietuvai nėra skirtumo dėl </w:t>
      </w:r>
      <w:proofErr w:type="spellStart"/>
      <w:r w:rsidRPr="000A3F18">
        <w:rPr>
          <w:szCs w:val="24"/>
        </w:rPr>
        <w:t>CAC‘s</w:t>
      </w:r>
      <w:proofErr w:type="spellEnd"/>
      <w:r w:rsidRPr="000A3F18">
        <w:rPr>
          <w:szCs w:val="24"/>
        </w:rPr>
        <w:t xml:space="preserve"> nuostatų, reglamentuojančių </w:t>
      </w:r>
      <w:proofErr w:type="spellStart"/>
      <w:r w:rsidRPr="000A3F18">
        <w:rPr>
          <w:szCs w:val="24"/>
        </w:rPr>
        <w:t>CAC‘s</w:t>
      </w:r>
      <w:proofErr w:type="spellEnd"/>
      <w:r w:rsidRPr="000A3F18">
        <w:rPr>
          <w:szCs w:val="24"/>
        </w:rPr>
        <w:t xml:space="preserve"> modelio keitimą, įtraukimo į ESM sutartį pasirinkto būdo. Tačiau, jeigu būtų nuspręsta šiame etape įtraukti naują 5 priedą su konkrečiomis teisinėmis sąlygomis į ESM sutartį, tai prailgintų Susitarimo dėl ESM sutarties keitimo pasirašymo ir ratifikavimo procesą dar 1,5-2 mėn.</w:t>
      </w:r>
    </w:p>
    <w:p w:rsidR="0049353A" w:rsidRPr="000A3F18" w:rsidRDefault="0049353A" w:rsidP="00443785">
      <w:pPr>
        <w:spacing w:after="0" w:line="240" w:lineRule="auto"/>
        <w:jc w:val="both"/>
        <w:rPr>
          <w:rFonts w:eastAsia="Calibri"/>
          <w:kern w:val="3"/>
          <w:szCs w:val="24"/>
          <w:lang w:bidi="hi-IN"/>
        </w:rPr>
      </w:pPr>
      <w:r w:rsidRPr="000A3F18">
        <w:rPr>
          <w:rFonts w:cs="Times New Roman"/>
          <w:b/>
          <w:szCs w:val="24"/>
          <w:lang w:eastAsia="lt-LT" w:bidi="lt-LT"/>
        </w:rPr>
        <w:t xml:space="preserve">Dėl </w:t>
      </w:r>
      <w:proofErr w:type="spellStart"/>
      <w:r w:rsidRPr="000A3F18">
        <w:rPr>
          <w:rFonts w:cs="Times New Roman"/>
          <w:b/>
          <w:szCs w:val="24"/>
          <w:lang w:eastAsia="lt-LT" w:bidi="lt-LT"/>
        </w:rPr>
        <w:t>Common</w:t>
      </w:r>
      <w:proofErr w:type="spellEnd"/>
      <w:r w:rsidRPr="000A3F18">
        <w:rPr>
          <w:rFonts w:cs="Times New Roman"/>
          <w:b/>
          <w:szCs w:val="24"/>
          <w:lang w:eastAsia="lt-LT" w:bidi="lt-LT"/>
        </w:rPr>
        <w:t xml:space="preserve"> </w:t>
      </w:r>
      <w:proofErr w:type="spellStart"/>
      <w:r w:rsidRPr="000A3F18">
        <w:rPr>
          <w:rFonts w:cs="Times New Roman"/>
          <w:b/>
          <w:szCs w:val="24"/>
          <w:lang w:eastAsia="lt-LT" w:bidi="lt-LT"/>
        </w:rPr>
        <w:t>backstop</w:t>
      </w:r>
      <w:proofErr w:type="spellEnd"/>
      <w:r w:rsidRPr="000A3F18">
        <w:rPr>
          <w:rFonts w:cs="Times New Roman"/>
          <w:b/>
          <w:szCs w:val="24"/>
          <w:lang w:eastAsia="lt-LT" w:bidi="lt-LT"/>
        </w:rPr>
        <w:t>:</w:t>
      </w:r>
      <w:r w:rsidRPr="000A3F18">
        <w:rPr>
          <w:rFonts w:cs="Times New Roman"/>
          <w:szCs w:val="24"/>
          <w:lang w:eastAsia="lt-LT" w:bidi="lt-LT"/>
        </w:rPr>
        <w:t xml:space="preserve"> </w:t>
      </w:r>
      <w:r w:rsidRPr="000A3F18">
        <w:rPr>
          <w:rFonts w:eastAsia="Calibri"/>
          <w:kern w:val="3"/>
          <w:szCs w:val="24"/>
          <w:lang w:bidi="hi-IN"/>
        </w:rPr>
        <w:t xml:space="preserve">palaikome ankstyvą </w:t>
      </w:r>
      <w:proofErr w:type="spellStart"/>
      <w:r w:rsidRPr="000A3F18">
        <w:rPr>
          <w:rFonts w:eastAsia="Calibri"/>
          <w:kern w:val="3"/>
          <w:szCs w:val="24"/>
          <w:lang w:bidi="hi-IN"/>
        </w:rPr>
        <w:t>Common</w:t>
      </w:r>
      <w:proofErr w:type="spellEnd"/>
      <w:r w:rsidRPr="000A3F18">
        <w:rPr>
          <w:rFonts w:eastAsia="Calibri"/>
          <w:kern w:val="3"/>
          <w:szCs w:val="24"/>
          <w:lang w:bidi="hi-IN"/>
        </w:rPr>
        <w:t xml:space="preserve"> </w:t>
      </w:r>
      <w:proofErr w:type="spellStart"/>
      <w:r w:rsidRPr="000A3F18">
        <w:rPr>
          <w:rFonts w:eastAsia="Calibri"/>
          <w:kern w:val="3"/>
          <w:szCs w:val="24"/>
          <w:lang w:bidi="hi-IN"/>
        </w:rPr>
        <w:t>Backstop</w:t>
      </w:r>
      <w:proofErr w:type="spellEnd"/>
      <w:r w:rsidRPr="000A3F18">
        <w:rPr>
          <w:rFonts w:eastAsia="Calibri"/>
          <w:kern w:val="3"/>
          <w:szCs w:val="24"/>
          <w:lang w:bidi="hi-IN"/>
        </w:rPr>
        <w:t xml:space="preserve"> aktyvavimą, nes tai prisidėtų prie spartesnio Bendro pertvarkymo mechanizmo, kurio tikslas – užtikrinti tvarkingą žlungančių bankų pertvarkymą, kartu kuo labiau sumažinant poveikį mokesčių mokėtojams ir realiajai ekonomikai, efektyvumo ir patikimumo sustiprinimo.</w:t>
      </w:r>
    </w:p>
    <w:p w:rsidR="0049353A" w:rsidRPr="000A3F18" w:rsidRDefault="0049353A" w:rsidP="00443785">
      <w:pPr>
        <w:spacing w:after="0" w:line="240" w:lineRule="auto"/>
        <w:jc w:val="both"/>
        <w:rPr>
          <w:szCs w:val="24"/>
        </w:rPr>
      </w:pPr>
      <w:r w:rsidRPr="000A3F18">
        <w:rPr>
          <w:rFonts w:eastAsia="Calibri"/>
          <w:b/>
          <w:kern w:val="3"/>
          <w:szCs w:val="24"/>
          <w:lang w:bidi="hi-IN"/>
        </w:rPr>
        <w:t xml:space="preserve">Dėl EDIS: </w:t>
      </w:r>
      <w:r w:rsidRPr="000A3F18">
        <w:rPr>
          <w:szCs w:val="24"/>
        </w:rPr>
        <w:t>laikomės požiūrio, kad EDIS būtų kuriama laipsniškai, atsižvelgiant į jau pasiektą pažangą rizikos mažinimo srityje. Pagalba likvidumui svarstytina kaip pakankama tik pirmojo EDIS etapo tikslams pasiekti. Tai negali būti alternatyva pilnam indėlių apdraudimui ES nuolatiniu ilguoju laikotarpiu.</w:t>
      </w:r>
    </w:p>
    <w:p w:rsidR="00481D35" w:rsidRPr="000A3F18" w:rsidRDefault="0049353A" w:rsidP="00443785">
      <w:pPr>
        <w:spacing w:after="0" w:line="240" w:lineRule="auto"/>
        <w:jc w:val="both"/>
        <w:rPr>
          <w:szCs w:val="24"/>
        </w:rPr>
      </w:pPr>
      <w:r w:rsidRPr="000A3F18">
        <w:rPr>
          <w:b/>
          <w:szCs w:val="24"/>
        </w:rPr>
        <w:t>Dėl BICC:</w:t>
      </w:r>
      <w:r w:rsidRPr="000A3F18">
        <w:rPr>
          <w:szCs w:val="24"/>
        </w:rPr>
        <w:t xml:space="preserve"> </w:t>
      </w:r>
      <w:r w:rsidR="00076418" w:rsidRPr="000A3F18">
        <w:rPr>
          <w:szCs w:val="24"/>
        </w:rPr>
        <w:t>Manome, kad be kitų klausimų, kurie turės būti įtraukti į ataskaitą dėl IGA [apie būtinumą, turinį, tvarką ir dydį], reikia aiškiai paminėti, kad dalyvavimas IGA nėra privalomas ir kad valstybės narės pačios gali pasirinkti, ar nori prisijungti prie šio susitarimo.</w:t>
      </w:r>
    </w:p>
    <w:p w:rsidR="004E391F" w:rsidRPr="000A3F18" w:rsidRDefault="004E391F" w:rsidP="00443785">
      <w:pPr>
        <w:spacing w:after="0" w:line="240" w:lineRule="auto"/>
        <w:jc w:val="both"/>
        <w:rPr>
          <w:szCs w:val="24"/>
        </w:rPr>
      </w:pPr>
    </w:p>
    <w:sectPr w:rsidR="004E391F" w:rsidRPr="000A3F18"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0B19FB">
          <w:rPr>
            <w:noProof/>
          </w:rPr>
          <w:t>4</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 w:id="1">
    <w:p w:rsidR="0009586B" w:rsidRDefault="0009586B" w:rsidP="0009586B">
      <w:pPr>
        <w:pStyle w:val="Puslapioinaostekstas"/>
      </w:pPr>
      <w:r>
        <w:rPr>
          <w:rStyle w:val="Puslapioinaosnuoroda"/>
        </w:rPr>
        <w:footnoteRef/>
      </w:r>
      <w:r>
        <w:t xml:space="preserve"> Tarybos 2003 m. spalio 27 d. direktyva 2003/96/EB pakeičianti Bendrijos energetikos produktų ir elektros energijos mokesčių struktūrą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B7F25"/>
    <w:multiLevelType w:val="hybridMultilevel"/>
    <w:tmpl w:val="F0523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00D75"/>
    <w:rsid w:val="00005269"/>
    <w:rsid w:val="00023A5A"/>
    <w:rsid w:val="00034872"/>
    <w:rsid w:val="00036C9B"/>
    <w:rsid w:val="000424F9"/>
    <w:rsid w:val="000463FC"/>
    <w:rsid w:val="00047C1C"/>
    <w:rsid w:val="000568E5"/>
    <w:rsid w:val="00063D6F"/>
    <w:rsid w:val="00065F6A"/>
    <w:rsid w:val="00076418"/>
    <w:rsid w:val="0008168D"/>
    <w:rsid w:val="000922B3"/>
    <w:rsid w:val="0009586B"/>
    <w:rsid w:val="000A3F18"/>
    <w:rsid w:val="000A53EF"/>
    <w:rsid w:val="000A6246"/>
    <w:rsid w:val="000B11EF"/>
    <w:rsid w:val="000B19FB"/>
    <w:rsid w:val="000D2193"/>
    <w:rsid w:val="000E0FF2"/>
    <w:rsid w:val="000E1C7D"/>
    <w:rsid w:val="000E5CCD"/>
    <w:rsid w:val="000F4E61"/>
    <w:rsid w:val="0010259B"/>
    <w:rsid w:val="00111005"/>
    <w:rsid w:val="00112FEC"/>
    <w:rsid w:val="00114A4B"/>
    <w:rsid w:val="001205F2"/>
    <w:rsid w:val="00120D14"/>
    <w:rsid w:val="00136BB0"/>
    <w:rsid w:val="001371BE"/>
    <w:rsid w:val="001517F4"/>
    <w:rsid w:val="001530B0"/>
    <w:rsid w:val="00161E7E"/>
    <w:rsid w:val="001629E9"/>
    <w:rsid w:val="0016384B"/>
    <w:rsid w:val="001658BC"/>
    <w:rsid w:val="00166524"/>
    <w:rsid w:val="00173C4E"/>
    <w:rsid w:val="00174CBD"/>
    <w:rsid w:val="00182EC2"/>
    <w:rsid w:val="0018563F"/>
    <w:rsid w:val="00194F39"/>
    <w:rsid w:val="00196D2C"/>
    <w:rsid w:val="001B180A"/>
    <w:rsid w:val="001B2A89"/>
    <w:rsid w:val="001E3F01"/>
    <w:rsid w:val="001F0CD8"/>
    <w:rsid w:val="00202592"/>
    <w:rsid w:val="00220E49"/>
    <w:rsid w:val="002404FC"/>
    <w:rsid w:val="0024632F"/>
    <w:rsid w:val="00251724"/>
    <w:rsid w:val="00254E26"/>
    <w:rsid w:val="002572F3"/>
    <w:rsid w:val="00267738"/>
    <w:rsid w:val="00273820"/>
    <w:rsid w:val="00283951"/>
    <w:rsid w:val="002879EE"/>
    <w:rsid w:val="002907CC"/>
    <w:rsid w:val="0029554C"/>
    <w:rsid w:val="00297D77"/>
    <w:rsid w:val="002A1419"/>
    <w:rsid w:val="002D3BF6"/>
    <w:rsid w:val="002D5289"/>
    <w:rsid w:val="002D667F"/>
    <w:rsid w:val="002D71E1"/>
    <w:rsid w:val="002F5336"/>
    <w:rsid w:val="002F602E"/>
    <w:rsid w:val="00310DA9"/>
    <w:rsid w:val="00315CA2"/>
    <w:rsid w:val="00323F70"/>
    <w:rsid w:val="003316EF"/>
    <w:rsid w:val="00333F58"/>
    <w:rsid w:val="00341355"/>
    <w:rsid w:val="0034338B"/>
    <w:rsid w:val="00343558"/>
    <w:rsid w:val="00351711"/>
    <w:rsid w:val="00357088"/>
    <w:rsid w:val="00364BD5"/>
    <w:rsid w:val="00366E6B"/>
    <w:rsid w:val="0037142C"/>
    <w:rsid w:val="00372175"/>
    <w:rsid w:val="00375E81"/>
    <w:rsid w:val="00380CB2"/>
    <w:rsid w:val="00382E88"/>
    <w:rsid w:val="003948F6"/>
    <w:rsid w:val="003A4523"/>
    <w:rsid w:val="003B0320"/>
    <w:rsid w:val="003B2508"/>
    <w:rsid w:val="003B7DA9"/>
    <w:rsid w:val="003C47D0"/>
    <w:rsid w:val="003C76C8"/>
    <w:rsid w:val="003F41B7"/>
    <w:rsid w:val="003F5087"/>
    <w:rsid w:val="00400088"/>
    <w:rsid w:val="00420E11"/>
    <w:rsid w:val="00421F54"/>
    <w:rsid w:val="00443785"/>
    <w:rsid w:val="004534C6"/>
    <w:rsid w:val="00453C04"/>
    <w:rsid w:val="00462C72"/>
    <w:rsid w:val="00481D35"/>
    <w:rsid w:val="004868E1"/>
    <w:rsid w:val="0049353A"/>
    <w:rsid w:val="004952B0"/>
    <w:rsid w:val="004E391F"/>
    <w:rsid w:val="004E56FE"/>
    <w:rsid w:val="004F0024"/>
    <w:rsid w:val="00516233"/>
    <w:rsid w:val="005234AB"/>
    <w:rsid w:val="00523C46"/>
    <w:rsid w:val="0053086E"/>
    <w:rsid w:val="00531BF1"/>
    <w:rsid w:val="00546EBA"/>
    <w:rsid w:val="00561308"/>
    <w:rsid w:val="00563C6C"/>
    <w:rsid w:val="00567F26"/>
    <w:rsid w:val="00590243"/>
    <w:rsid w:val="005B21D3"/>
    <w:rsid w:val="005B54DC"/>
    <w:rsid w:val="005C106D"/>
    <w:rsid w:val="005C1381"/>
    <w:rsid w:val="005C2F00"/>
    <w:rsid w:val="005C3976"/>
    <w:rsid w:val="005C44E5"/>
    <w:rsid w:val="005C6384"/>
    <w:rsid w:val="005D6A77"/>
    <w:rsid w:val="005F6ADD"/>
    <w:rsid w:val="006022CA"/>
    <w:rsid w:val="00613C5B"/>
    <w:rsid w:val="0062763B"/>
    <w:rsid w:val="00634DF1"/>
    <w:rsid w:val="00646CDD"/>
    <w:rsid w:val="0064710E"/>
    <w:rsid w:val="00650E80"/>
    <w:rsid w:val="006662BC"/>
    <w:rsid w:val="00676CED"/>
    <w:rsid w:val="00687257"/>
    <w:rsid w:val="00696329"/>
    <w:rsid w:val="006A5604"/>
    <w:rsid w:val="006B0A30"/>
    <w:rsid w:val="006B5E52"/>
    <w:rsid w:val="006D0DD1"/>
    <w:rsid w:val="007061A3"/>
    <w:rsid w:val="007137FE"/>
    <w:rsid w:val="007168A7"/>
    <w:rsid w:val="00725FE5"/>
    <w:rsid w:val="00733567"/>
    <w:rsid w:val="007424A4"/>
    <w:rsid w:val="0074462A"/>
    <w:rsid w:val="00744CC1"/>
    <w:rsid w:val="007652C2"/>
    <w:rsid w:val="007668C2"/>
    <w:rsid w:val="007672AC"/>
    <w:rsid w:val="007674B9"/>
    <w:rsid w:val="00785520"/>
    <w:rsid w:val="00792C64"/>
    <w:rsid w:val="0079426C"/>
    <w:rsid w:val="007A58DF"/>
    <w:rsid w:val="007A74C5"/>
    <w:rsid w:val="007B5B45"/>
    <w:rsid w:val="007B5FE5"/>
    <w:rsid w:val="007C034B"/>
    <w:rsid w:val="007D319A"/>
    <w:rsid w:val="007D405D"/>
    <w:rsid w:val="007E1F06"/>
    <w:rsid w:val="008022D7"/>
    <w:rsid w:val="00804A77"/>
    <w:rsid w:val="00815894"/>
    <w:rsid w:val="008242FA"/>
    <w:rsid w:val="00827E85"/>
    <w:rsid w:val="00841E12"/>
    <w:rsid w:val="00841E83"/>
    <w:rsid w:val="0084520E"/>
    <w:rsid w:val="00855CDB"/>
    <w:rsid w:val="008618AA"/>
    <w:rsid w:val="00861D50"/>
    <w:rsid w:val="00863C8A"/>
    <w:rsid w:val="00871363"/>
    <w:rsid w:val="008818DE"/>
    <w:rsid w:val="00886F69"/>
    <w:rsid w:val="008C3792"/>
    <w:rsid w:val="008F18CC"/>
    <w:rsid w:val="008F7763"/>
    <w:rsid w:val="009038E8"/>
    <w:rsid w:val="009124DE"/>
    <w:rsid w:val="00923C71"/>
    <w:rsid w:val="0092533A"/>
    <w:rsid w:val="00933C22"/>
    <w:rsid w:val="0093518F"/>
    <w:rsid w:val="00953707"/>
    <w:rsid w:val="00955E06"/>
    <w:rsid w:val="00960522"/>
    <w:rsid w:val="00967F62"/>
    <w:rsid w:val="00976406"/>
    <w:rsid w:val="00981199"/>
    <w:rsid w:val="0099647D"/>
    <w:rsid w:val="009B65E9"/>
    <w:rsid w:val="009C7962"/>
    <w:rsid w:val="009C7F6C"/>
    <w:rsid w:val="009D4DFA"/>
    <w:rsid w:val="00A20375"/>
    <w:rsid w:val="00A3381D"/>
    <w:rsid w:val="00A442E5"/>
    <w:rsid w:val="00A47A9A"/>
    <w:rsid w:val="00A51160"/>
    <w:rsid w:val="00A6317F"/>
    <w:rsid w:val="00A7013E"/>
    <w:rsid w:val="00A75D59"/>
    <w:rsid w:val="00A819D2"/>
    <w:rsid w:val="00A925A5"/>
    <w:rsid w:val="00A95557"/>
    <w:rsid w:val="00AE7ADF"/>
    <w:rsid w:val="00AF438B"/>
    <w:rsid w:val="00B053E2"/>
    <w:rsid w:val="00B11CD7"/>
    <w:rsid w:val="00B1257E"/>
    <w:rsid w:val="00B163C2"/>
    <w:rsid w:val="00B249C7"/>
    <w:rsid w:val="00B267AE"/>
    <w:rsid w:val="00B431FD"/>
    <w:rsid w:val="00B55356"/>
    <w:rsid w:val="00B57322"/>
    <w:rsid w:val="00B577B4"/>
    <w:rsid w:val="00B64BD5"/>
    <w:rsid w:val="00B720FA"/>
    <w:rsid w:val="00B744B0"/>
    <w:rsid w:val="00B77813"/>
    <w:rsid w:val="00B85022"/>
    <w:rsid w:val="00B87ADC"/>
    <w:rsid w:val="00B923D0"/>
    <w:rsid w:val="00BB541E"/>
    <w:rsid w:val="00BD76AA"/>
    <w:rsid w:val="00BE0B4D"/>
    <w:rsid w:val="00BE0F68"/>
    <w:rsid w:val="00BE2E6B"/>
    <w:rsid w:val="00BF0B01"/>
    <w:rsid w:val="00BF134E"/>
    <w:rsid w:val="00BF528C"/>
    <w:rsid w:val="00C01740"/>
    <w:rsid w:val="00C05BBA"/>
    <w:rsid w:val="00C07DD2"/>
    <w:rsid w:val="00C21322"/>
    <w:rsid w:val="00C317EA"/>
    <w:rsid w:val="00C32423"/>
    <w:rsid w:val="00C55B38"/>
    <w:rsid w:val="00C57A83"/>
    <w:rsid w:val="00C8168C"/>
    <w:rsid w:val="00C81C48"/>
    <w:rsid w:val="00CA70EF"/>
    <w:rsid w:val="00CB5FED"/>
    <w:rsid w:val="00CC5E6B"/>
    <w:rsid w:val="00CC76C0"/>
    <w:rsid w:val="00CD1D3B"/>
    <w:rsid w:val="00CD3C8A"/>
    <w:rsid w:val="00CE1BB0"/>
    <w:rsid w:val="00CE2FE8"/>
    <w:rsid w:val="00D041A2"/>
    <w:rsid w:val="00D05CC5"/>
    <w:rsid w:val="00D108B2"/>
    <w:rsid w:val="00D327C9"/>
    <w:rsid w:val="00D32E2E"/>
    <w:rsid w:val="00D609E6"/>
    <w:rsid w:val="00D63504"/>
    <w:rsid w:val="00D63FE8"/>
    <w:rsid w:val="00D64A40"/>
    <w:rsid w:val="00D75A2B"/>
    <w:rsid w:val="00D876C0"/>
    <w:rsid w:val="00D93099"/>
    <w:rsid w:val="00DA485E"/>
    <w:rsid w:val="00DA5388"/>
    <w:rsid w:val="00DA765A"/>
    <w:rsid w:val="00DB08A9"/>
    <w:rsid w:val="00DB34D7"/>
    <w:rsid w:val="00DB4864"/>
    <w:rsid w:val="00DC1957"/>
    <w:rsid w:val="00DC573C"/>
    <w:rsid w:val="00DD0818"/>
    <w:rsid w:val="00DD0A51"/>
    <w:rsid w:val="00DD1D02"/>
    <w:rsid w:val="00DD2365"/>
    <w:rsid w:val="00DD26BC"/>
    <w:rsid w:val="00DD2CB1"/>
    <w:rsid w:val="00DE03D9"/>
    <w:rsid w:val="00E124C5"/>
    <w:rsid w:val="00E2576D"/>
    <w:rsid w:val="00E358C8"/>
    <w:rsid w:val="00E40A00"/>
    <w:rsid w:val="00E43571"/>
    <w:rsid w:val="00E45973"/>
    <w:rsid w:val="00E64534"/>
    <w:rsid w:val="00E74E3D"/>
    <w:rsid w:val="00E84CA5"/>
    <w:rsid w:val="00EA3088"/>
    <w:rsid w:val="00EA4103"/>
    <w:rsid w:val="00EB073D"/>
    <w:rsid w:val="00EB5451"/>
    <w:rsid w:val="00ED5919"/>
    <w:rsid w:val="00EE7170"/>
    <w:rsid w:val="00F1175E"/>
    <w:rsid w:val="00F125D8"/>
    <w:rsid w:val="00F14480"/>
    <w:rsid w:val="00F25802"/>
    <w:rsid w:val="00F278AB"/>
    <w:rsid w:val="00F33441"/>
    <w:rsid w:val="00F35B12"/>
    <w:rsid w:val="00F36CC4"/>
    <w:rsid w:val="00F62110"/>
    <w:rsid w:val="00F65E92"/>
    <w:rsid w:val="00F725F9"/>
    <w:rsid w:val="00F80FD8"/>
    <w:rsid w:val="00F90228"/>
    <w:rsid w:val="00F92876"/>
    <w:rsid w:val="00F96563"/>
    <w:rsid w:val="00FA0A4E"/>
    <w:rsid w:val="00FB6F2E"/>
    <w:rsid w:val="00FD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 w:type="paragraph" w:customStyle="1" w:styleId="Text3">
    <w:name w:val="Text 3"/>
    <w:basedOn w:val="prastasis"/>
    <w:link w:val="Text3Char"/>
    <w:rsid w:val="0009586B"/>
    <w:pPr>
      <w:spacing w:after="0" w:line="240" w:lineRule="auto"/>
      <w:ind w:left="1701"/>
      <w:outlineLvl w:val="2"/>
    </w:pPr>
    <w:rPr>
      <w:rFonts w:eastAsia="Times New Roman" w:cs="Times New Roman"/>
      <w:szCs w:val="24"/>
      <w:lang w:val="en-GB"/>
    </w:rPr>
  </w:style>
  <w:style w:type="character" w:customStyle="1" w:styleId="Text3Char">
    <w:name w:val="Text 3 Char"/>
    <w:link w:val="Text3"/>
    <w:locked/>
    <w:rsid w:val="0009586B"/>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uiPriority w:val="99"/>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rsid w:val="00166524"/>
    <w:rPr>
      <w:sz w:val="20"/>
      <w:szCs w:val="20"/>
    </w:rPr>
  </w:style>
  <w:style w:type="character" w:styleId="Puslapioinaosnuoroda">
    <w:name w:val="footnote reference"/>
    <w:basedOn w:val="Numatytasispastraiposriftas"/>
    <w:uiPriority w:val="99"/>
    <w:semiHidden/>
    <w:unhideWhenUsed/>
    <w:rsid w:val="00166524"/>
    <w:rPr>
      <w:vertAlign w:val="superscript"/>
    </w:rPr>
  </w:style>
  <w:style w:type="paragraph" w:customStyle="1" w:styleId="PointManual">
    <w:name w:val="Point Manual"/>
    <w:basedOn w:val="prastasis"/>
    <w:link w:val="PointManualChar"/>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 w:type="table" w:styleId="Lentelstinklelis">
    <w:name w:val="Table Grid"/>
    <w:basedOn w:val="prastojilentel"/>
    <w:qFormat/>
    <w:rsid w:val="00B163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ManualChar">
    <w:name w:val="Point Manual Char"/>
    <w:link w:val="PointManual"/>
    <w:locked/>
    <w:rsid w:val="00B163C2"/>
    <w:rPr>
      <w:rFonts w:ascii="Times New Roman" w:hAnsi="Times New Roman" w:cs="Times New Roman"/>
      <w:sz w:val="24"/>
    </w:rPr>
  </w:style>
  <w:style w:type="character" w:styleId="Emfaz">
    <w:name w:val="Emphasis"/>
    <w:basedOn w:val="Numatytasispastraiposriftas"/>
    <w:uiPriority w:val="20"/>
    <w:qFormat/>
    <w:rsid w:val="00B163C2"/>
    <w:rPr>
      <w:i/>
      <w:iCs/>
    </w:rPr>
  </w:style>
  <w:style w:type="paragraph" w:customStyle="1" w:styleId="text10">
    <w:name w:val="text1"/>
    <w:basedOn w:val="prastasis"/>
    <w:rsid w:val="00B163C2"/>
    <w:pPr>
      <w:spacing w:before="100" w:beforeAutospacing="1" w:after="100" w:afterAutospacing="1" w:line="240" w:lineRule="auto"/>
    </w:pPr>
    <w:rPr>
      <w:rFonts w:eastAsia="Times New Roman" w:cs="Times New Roman"/>
      <w:szCs w:val="24"/>
      <w:lang w:eastAsia="lt-LT"/>
    </w:rPr>
  </w:style>
  <w:style w:type="paragraph" w:styleId="Betarp">
    <w:name w:val="No Spacing"/>
    <w:basedOn w:val="prastasis"/>
    <w:uiPriority w:val="1"/>
    <w:qFormat/>
    <w:rsid w:val="00E2576D"/>
    <w:pPr>
      <w:spacing w:before="100" w:beforeAutospacing="1" w:after="100" w:afterAutospacing="1" w:line="240" w:lineRule="auto"/>
    </w:pPr>
    <w:rPr>
      <w:rFonts w:eastAsia="Times New Roman" w:cs="Times New Roman"/>
      <w:szCs w:val="24"/>
      <w:lang w:eastAsia="lt-LT"/>
    </w:rPr>
  </w:style>
  <w:style w:type="paragraph" w:customStyle="1" w:styleId="PointManual1">
    <w:name w:val="Point Manual (1)"/>
    <w:basedOn w:val="prastasis"/>
    <w:rsid w:val="00B1257E"/>
    <w:pPr>
      <w:spacing w:after="0" w:line="240" w:lineRule="auto"/>
      <w:ind w:left="1134" w:hanging="567"/>
    </w:pPr>
    <w:rPr>
      <w:rFonts w:eastAsia="Calibri" w:cs="Times New Roman"/>
      <w:lang w:val="en-GB"/>
    </w:rPr>
  </w:style>
  <w:style w:type="character" w:customStyle="1" w:styleId="Ohne">
    <w:name w:val="Ohne"/>
    <w:basedOn w:val="Numatytasispastraiposriftas"/>
    <w:rsid w:val="001F0CD8"/>
  </w:style>
  <w:style w:type="character" w:customStyle="1" w:styleId="st1">
    <w:name w:val="st1"/>
    <w:rsid w:val="00923C71"/>
  </w:style>
  <w:style w:type="paragraph" w:customStyle="1" w:styleId="Text3">
    <w:name w:val="Text 3"/>
    <w:basedOn w:val="prastasis"/>
    <w:link w:val="Text3Char"/>
    <w:rsid w:val="0009586B"/>
    <w:pPr>
      <w:spacing w:after="0" w:line="240" w:lineRule="auto"/>
      <w:ind w:left="1701"/>
      <w:outlineLvl w:val="2"/>
    </w:pPr>
    <w:rPr>
      <w:rFonts w:eastAsia="Times New Roman" w:cs="Times New Roman"/>
      <w:szCs w:val="24"/>
      <w:lang w:val="en-GB"/>
    </w:rPr>
  </w:style>
  <w:style w:type="character" w:customStyle="1" w:styleId="Text3Char">
    <w:name w:val="Text 3 Char"/>
    <w:link w:val="Text3"/>
    <w:locked/>
    <w:rsid w:val="0009586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4484">
      <w:bodyDiv w:val="1"/>
      <w:marLeft w:val="0"/>
      <w:marRight w:val="0"/>
      <w:marTop w:val="0"/>
      <w:marBottom w:val="0"/>
      <w:divBdr>
        <w:top w:val="none" w:sz="0" w:space="0" w:color="auto"/>
        <w:left w:val="none" w:sz="0" w:space="0" w:color="auto"/>
        <w:bottom w:val="none" w:sz="0" w:space="0" w:color="auto"/>
        <w:right w:val="none" w:sz="0" w:space="0" w:color="auto"/>
      </w:divBdr>
    </w:div>
    <w:div w:id="301034277">
      <w:bodyDiv w:val="1"/>
      <w:marLeft w:val="0"/>
      <w:marRight w:val="0"/>
      <w:marTop w:val="0"/>
      <w:marBottom w:val="0"/>
      <w:divBdr>
        <w:top w:val="none" w:sz="0" w:space="0" w:color="auto"/>
        <w:left w:val="none" w:sz="0" w:space="0" w:color="auto"/>
        <w:bottom w:val="none" w:sz="0" w:space="0" w:color="auto"/>
        <w:right w:val="none" w:sz="0" w:space="0" w:color="auto"/>
      </w:divBdr>
    </w:div>
    <w:div w:id="399597877">
      <w:bodyDiv w:val="1"/>
      <w:marLeft w:val="0"/>
      <w:marRight w:val="0"/>
      <w:marTop w:val="0"/>
      <w:marBottom w:val="0"/>
      <w:divBdr>
        <w:top w:val="none" w:sz="0" w:space="0" w:color="auto"/>
        <w:left w:val="none" w:sz="0" w:space="0" w:color="auto"/>
        <w:bottom w:val="none" w:sz="0" w:space="0" w:color="auto"/>
        <w:right w:val="none" w:sz="0" w:space="0" w:color="auto"/>
      </w:divBdr>
    </w:div>
    <w:div w:id="444808073">
      <w:bodyDiv w:val="1"/>
      <w:marLeft w:val="0"/>
      <w:marRight w:val="0"/>
      <w:marTop w:val="0"/>
      <w:marBottom w:val="0"/>
      <w:divBdr>
        <w:top w:val="none" w:sz="0" w:space="0" w:color="auto"/>
        <w:left w:val="none" w:sz="0" w:space="0" w:color="auto"/>
        <w:bottom w:val="none" w:sz="0" w:space="0" w:color="auto"/>
        <w:right w:val="none" w:sz="0" w:space="0" w:color="auto"/>
      </w:divBdr>
      <w:divsChild>
        <w:div w:id="869299129">
          <w:marLeft w:val="0"/>
          <w:marRight w:val="0"/>
          <w:marTop w:val="0"/>
          <w:marBottom w:val="0"/>
          <w:divBdr>
            <w:top w:val="none" w:sz="0" w:space="0" w:color="auto"/>
            <w:left w:val="none" w:sz="0" w:space="0" w:color="auto"/>
            <w:bottom w:val="none" w:sz="0" w:space="0" w:color="auto"/>
            <w:right w:val="none" w:sz="0" w:space="0" w:color="auto"/>
          </w:divBdr>
        </w:div>
      </w:divsChild>
    </w:div>
    <w:div w:id="702249576">
      <w:bodyDiv w:val="1"/>
      <w:marLeft w:val="0"/>
      <w:marRight w:val="0"/>
      <w:marTop w:val="0"/>
      <w:marBottom w:val="0"/>
      <w:divBdr>
        <w:top w:val="none" w:sz="0" w:space="0" w:color="auto"/>
        <w:left w:val="none" w:sz="0" w:space="0" w:color="auto"/>
        <w:bottom w:val="none" w:sz="0" w:space="0" w:color="auto"/>
        <w:right w:val="none" w:sz="0" w:space="0" w:color="auto"/>
      </w:divBdr>
    </w:div>
    <w:div w:id="892279979">
      <w:bodyDiv w:val="1"/>
      <w:marLeft w:val="0"/>
      <w:marRight w:val="0"/>
      <w:marTop w:val="0"/>
      <w:marBottom w:val="0"/>
      <w:divBdr>
        <w:top w:val="none" w:sz="0" w:space="0" w:color="auto"/>
        <w:left w:val="none" w:sz="0" w:space="0" w:color="auto"/>
        <w:bottom w:val="none" w:sz="0" w:space="0" w:color="auto"/>
        <w:right w:val="none" w:sz="0" w:space="0" w:color="auto"/>
      </w:divBdr>
    </w:div>
    <w:div w:id="1055620308">
      <w:bodyDiv w:val="1"/>
      <w:marLeft w:val="0"/>
      <w:marRight w:val="0"/>
      <w:marTop w:val="0"/>
      <w:marBottom w:val="0"/>
      <w:divBdr>
        <w:top w:val="none" w:sz="0" w:space="0" w:color="auto"/>
        <w:left w:val="none" w:sz="0" w:space="0" w:color="auto"/>
        <w:bottom w:val="none" w:sz="0" w:space="0" w:color="auto"/>
        <w:right w:val="none" w:sz="0" w:space="0" w:color="auto"/>
      </w:divBdr>
      <w:divsChild>
        <w:div w:id="1619337630">
          <w:marLeft w:val="0"/>
          <w:marRight w:val="0"/>
          <w:marTop w:val="0"/>
          <w:marBottom w:val="0"/>
          <w:divBdr>
            <w:top w:val="none" w:sz="0" w:space="0" w:color="auto"/>
            <w:left w:val="none" w:sz="0" w:space="0" w:color="auto"/>
            <w:bottom w:val="none" w:sz="0" w:space="0" w:color="auto"/>
            <w:right w:val="none" w:sz="0" w:space="0" w:color="auto"/>
          </w:divBdr>
        </w:div>
      </w:divsChild>
    </w:div>
    <w:div w:id="1068307162">
      <w:bodyDiv w:val="1"/>
      <w:marLeft w:val="0"/>
      <w:marRight w:val="0"/>
      <w:marTop w:val="0"/>
      <w:marBottom w:val="0"/>
      <w:divBdr>
        <w:top w:val="none" w:sz="0" w:space="0" w:color="auto"/>
        <w:left w:val="none" w:sz="0" w:space="0" w:color="auto"/>
        <w:bottom w:val="none" w:sz="0" w:space="0" w:color="auto"/>
        <w:right w:val="none" w:sz="0" w:space="0" w:color="auto"/>
      </w:divBdr>
    </w:div>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164323958">
      <w:bodyDiv w:val="1"/>
      <w:marLeft w:val="0"/>
      <w:marRight w:val="0"/>
      <w:marTop w:val="0"/>
      <w:marBottom w:val="0"/>
      <w:divBdr>
        <w:top w:val="none" w:sz="0" w:space="0" w:color="auto"/>
        <w:left w:val="none" w:sz="0" w:space="0" w:color="auto"/>
        <w:bottom w:val="none" w:sz="0" w:space="0" w:color="auto"/>
        <w:right w:val="none" w:sz="0" w:space="0" w:color="auto"/>
      </w:divBdr>
    </w:div>
    <w:div w:id="1266814076">
      <w:bodyDiv w:val="1"/>
      <w:marLeft w:val="0"/>
      <w:marRight w:val="0"/>
      <w:marTop w:val="0"/>
      <w:marBottom w:val="0"/>
      <w:divBdr>
        <w:top w:val="none" w:sz="0" w:space="0" w:color="auto"/>
        <w:left w:val="none" w:sz="0" w:space="0" w:color="auto"/>
        <w:bottom w:val="none" w:sz="0" w:space="0" w:color="auto"/>
        <w:right w:val="none" w:sz="0" w:space="0" w:color="auto"/>
      </w:divBdr>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1303004431">
      <w:bodyDiv w:val="1"/>
      <w:marLeft w:val="0"/>
      <w:marRight w:val="0"/>
      <w:marTop w:val="0"/>
      <w:marBottom w:val="0"/>
      <w:divBdr>
        <w:top w:val="none" w:sz="0" w:space="0" w:color="auto"/>
        <w:left w:val="none" w:sz="0" w:space="0" w:color="auto"/>
        <w:bottom w:val="none" w:sz="0" w:space="0" w:color="auto"/>
        <w:right w:val="none" w:sz="0" w:space="0" w:color="auto"/>
      </w:divBdr>
    </w:div>
    <w:div w:id="1338389856">
      <w:bodyDiv w:val="1"/>
      <w:marLeft w:val="0"/>
      <w:marRight w:val="0"/>
      <w:marTop w:val="0"/>
      <w:marBottom w:val="0"/>
      <w:divBdr>
        <w:top w:val="none" w:sz="0" w:space="0" w:color="auto"/>
        <w:left w:val="none" w:sz="0" w:space="0" w:color="auto"/>
        <w:bottom w:val="none" w:sz="0" w:space="0" w:color="auto"/>
        <w:right w:val="none" w:sz="0" w:space="0" w:color="auto"/>
      </w:divBdr>
    </w:div>
    <w:div w:id="1757244516">
      <w:bodyDiv w:val="1"/>
      <w:marLeft w:val="0"/>
      <w:marRight w:val="0"/>
      <w:marTop w:val="0"/>
      <w:marBottom w:val="0"/>
      <w:divBdr>
        <w:top w:val="none" w:sz="0" w:space="0" w:color="auto"/>
        <w:left w:val="none" w:sz="0" w:space="0" w:color="auto"/>
        <w:bottom w:val="none" w:sz="0" w:space="0" w:color="auto"/>
        <w:right w:val="none" w:sz="0" w:space="0" w:color="auto"/>
      </w:divBdr>
    </w:div>
    <w:div w:id="2059280091">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34A1-B70B-47AE-8322-F28E1CF0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13959</Words>
  <Characters>7957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85</cp:revision>
  <cp:lastPrinted>2020-01-13T12:49:00Z</cp:lastPrinted>
  <dcterms:created xsi:type="dcterms:W3CDTF">2020-01-09T14:15:00Z</dcterms:created>
  <dcterms:modified xsi:type="dcterms:W3CDTF">2020-01-13T12:49:00Z</dcterms:modified>
</cp:coreProperties>
</file>